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edline-mdln-análisis-growth-18-oct-2026"/>
    <w:p>
      <w:pPr>
        <w:pStyle w:val="Heading1"/>
      </w:pPr>
      <w:r>
        <w:t xml:space="preserve">Medline (MDLN): análisis growth, 18-oct-2026</w:t>
      </w:r>
    </w:p>
    <w:p>
      <w:pPr>
        <w:pStyle w:val="FirstParagraph"/>
      </w:pPr>
      <w:r>
        <w:rPr>
          <w:bCs/>
          <w:b/>
        </w:rPr>
        <w:t xml:space="preserve">Señal: Vender / no comprar (acción robusta: no comprar; veredicto de robustez FRÁGIL, la variante «ventas del analista» da Mantener)</w:t>
      </w:r>
      <w:r>
        <w:t xml:space="preserve"> </w:t>
      </w:r>
      <w:r>
        <w:t xml:space="preserve">· Puntuación 43,8/100 · Señales de cambio de tendencia 1/8</w:t>
      </w:r>
      <w:r>
        <w:t xml:space="preserve"> </w:t>
      </w:r>
      <w:r>
        <w:t xml:space="preserve">Precio 35,96 USD (cierre del 16-oct-2026) · Objetivo 12 m 36,5 USD (ponderada +1,5 %, base +4,0 %, bajista −50,4 %, alcista +48,5 %) · Compra hasta:</w:t>
      </w:r>
      <w:r>
        <w:t xml:space="preserve"> </w:t>
      </w:r>
      <w:r>
        <w:rPr>
          <w:bCs/>
          <w:b/>
        </w:rPr>
        <w:t xml:space="preserve">no hay</w:t>
      </w:r>
      <w:r>
        <w:t xml:space="preserve"> </w:t>
      </w:r>
      <w:r>
        <w:t xml:space="preserve">(la puntuación queda por debajo de 60; el límite de valoración del motor, 34,80 USD, no basta)</w:t>
      </w:r>
      <w:r>
        <w:t xml:space="preserve"> </w:t>
      </w:r>
      <w:r>
        <w:t xml:space="preserve">Peso orientativo: no entra</w:t>
      </w:r>
    </w:p>
    <w:p>
      <w:pPr>
        <w:pStyle w:val="BlockText"/>
      </w:pPr>
      <w:r>
        <w:rPr>
          <w:bCs/>
          <w:b/>
        </w:rPr>
        <w:t xml:space="preserve">Perfil.</w:t>
      </w:r>
      <w:r>
        <w:t xml:space="preserve"> </w:t>
      </w:r>
      <w:r>
        <w:t xml:space="preserve">Medline no es una growth: es el mayor fabricante y distribuidor de material médico-quirúrgico de EE. UU., crece un 10-12 % al año (casi todo por volumen) con un margen bruto del 26 % y un margen EBITDA del 11-12 %. El escáner la mandó al método growth porque solo tiene un año de cuentas como cotizada (salida a bolsa el 17-dic-2025, tras la compra apalancada de Blackstone, Carlyle y Hellman &amp; Friedman en 2021). El método growth la puntúa bajo (no hay tecnología nueva ni giro de percepción). En el diario va la comprobación rápida de calidad value que se pidió: hoy tampoco pasa el filtro value.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Medline vende unos 335.000 productos (guantes, batas, kits quirúrgicos, camas, material de curas, laboratorio) a hospitales, residencias y atención domiciliaria. Un tercio de su marca propia lo fabrica ella, y entrega al día siguiente al 95 % de sus clientes de EE. UU.</w:t>
      </w:r>
    </w:p>
    <w:p>
      <w:pPr>
        <w:numPr>
          <w:ilvl w:val="0"/>
          <w:numId w:val="1001"/>
        </w:numPr>
        <w:pStyle w:val="Compact"/>
      </w:pPr>
      <w:r>
        <w:t xml:space="preserve">Gana cuota año tras año: ventas +11,5 % en 2025 (orgánico +10,5 %) y +11,1 % en el 1S26, con una retención de contratos de más del 98 % y unos 1.000 M de contratos nuevos al año.</w:t>
      </w:r>
    </w:p>
    <w:p>
      <w:pPr>
        <w:numPr>
          <w:ilvl w:val="0"/>
          <w:numId w:val="1001"/>
        </w:numPr>
        <w:pStyle w:val="Compact"/>
      </w:pPr>
      <w:r>
        <w:t xml:space="preserve">Pero el beneficio no acompaña: sin el reembolso de aranceles, el EBITDA ajustado del 1S26 cae un 12 % (aranceles, inflación de costes, remediación de calidad tras dos cartas de la FDA, el incendio de Tracy) y la guía de EBITDA de 2026 se recortó un 6 %.</w:t>
      </w:r>
    </w:p>
    <w:p>
      <w:pPr>
        <w:numPr>
          <w:ilvl w:val="0"/>
          <w:numId w:val="1001"/>
        </w:numPr>
        <w:pStyle w:val="Compact"/>
      </w:pPr>
      <w:r>
        <w:t xml:space="preserve">A 16,9 veces el EBITDA de los 12 meses siguientes (comparables de distribución, ~13,5), con 10.073 M de deuda neta (2,9x) y los fondos vendiendo (6.200 M en dos colocaciones; aún tienen dos tercios de las acciones), el precio pide crecer el FCF un 9,5 % anual durante 10 años.</w:t>
      </w:r>
    </w:p>
    <w:p>
      <w:pPr>
        <w:numPr>
          <w:ilvl w:val="0"/>
          <w:numId w:val="1001"/>
        </w:numPr>
        <w:pStyle w:val="Compact"/>
      </w:pPr>
      <w:r>
        <w:t xml:space="preserve">El método growth no ve recorrido (ponderada +1,5 %) y la puntuación (43,8) es de vender o no comprar. No entra.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Medline Brand</w:t>
      </w:r>
      <w:r>
        <w:t xml:space="preserve"> </w:t>
      </w:r>
      <w:r>
        <w:t xml:space="preserve">(48 % de las ventas de 2025: 13.720 M; EBITDA ajustado 3.334 M, margen 24,3 %): productos de marca propia en tres líneas, Front Line Care (curas, incontinencia, cuidado de la piel, guantes), Surgical Solutions (kits y batas quirúrgicas, campos, instrumental desechable) y Laboratory and Diagnostics. Es la parte que gana dinero [2][3].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Supply Chain Solutions</w:t>
      </w:r>
      <w:r>
        <w:t xml:space="preserve"> </w:t>
      </w:r>
      <w:r>
        <w:t xml:space="preserve">(52 %: 14.712 M; EBITDA 805 M, margen 5,5 %): distribución de productos de otros fabricantes (más de 1.300 proveedores) con su red logística: 70 centros (45 en EE. UU.), 26 millones de pies cuadrados de almacenes y más de 2.100 camiones propios. Es la puerta de entrada al hospital: el contrato «Prime Vendor» (el hospital le compra casi todo el material durante unos cinco años) supone el 63,4 % de las ventas [2].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tiene de nuevo:</w:t>
      </w:r>
      <w:r>
        <w:t xml:space="preserve"> </w:t>
      </w:r>
      <w:r>
        <w:t xml:space="preserve">nada tecnológico. Su ventaja es de escala y logística: fabricante y distribuidor a la vez (los rivales suelen ser una cosa u otra), con márgenes de marca propia sobre el volumen de distribución. Tecnología 2/5 (productos casi de consumo, con alguna gama propia); posición 4/5 (líder por ventas, pero con problemas de calidad abiertos) [2].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+9,7 % (1S25)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Folleto 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+11,4 %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 del folleto (9M25 +10,3 %) 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−89 M de devoluciones a clientes por los aranceles IEEPA; sin ellas, +12,9 % 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16.100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+8,0 %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Implícito en la guía orgánica de +9/10 %</w:t>
            </w:r>
          </w:p>
        </w:tc>
      </w:tr>
    </w:tbl>
    <w:p>
      <w:pPr>
        <w:pStyle w:val="BodyText"/>
      </w:pPr>
      <w:r>
        <w:t xml:space="preserve">Años: 2023 23.231 M · 2024 25.507 M (+9,8 %) · 2025 28.432 M (+11,5 %) · 2026 guía ≈ 31.130 M (+9,5 %; consenso 31.230 M). Doce meses a jun-2026: 29.939 M (+12,1 %); CAGR a 2 años ≈ +10,9 %; aceleración ≈ 0 pp [1][2][3].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 de ventas</w:t>
      </w:r>
      <w:r>
        <w:t xml:space="preserve"> </w:t>
      </w:r>
      <w:r>
        <w:t xml:space="preserve">subida dos veces (+8/9 % → +8,5/9,5 % → +9/10 %), pero la del</w:t>
      </w:r>
      <w:r>
        <w:t xml:space="preserve"> </w:t>
      </w:r>
      <w:r>
        <w:rPr>
          <w:bCs/>
          <w:b/>
        </w:rPr>
        <w:t xml:space="preserve">EBITDA ajustado se recortó</w:t>
      </w:r>
      <w:r>
        <w:t xml:space="preserve"> </w:t>
      </w:r>
      <w:r>
        <w:t xml:space="preserve">de 3.500-3.600 a 3.300-3.400 M (sin el reembolso de aranceles) el 5-ago [1][4].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Calidad del crecimiento:</w:t>
      </w:r>
      <w:r>
        <w:t xml:space="preserve"> </w:t>
      </w:r>
      <w:r>
        <w:t xml:space="preserve">casi todo es volumen (contratos nuevos y más compras de los clientes que ya tiene), con precio neutro; las compras aportaron 1,2 puntos en 2025 [5].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Consenso</w:t>
      </w:r>
      <w:r>
        <w:t xml:space="preserve">: 2027 33.680 M (+7,85 %). El motor proyecta 35.914 M a jun-2028 con la regla mecánica; la del informe (34.800 M, base) manda por ser menor (v11) [7].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t xml:space="preserve">Mercado alcanzable: ~375.000 M USD al año (material médico-quirúrgico en EE. UU. y fuera, cálculo de la empresa en el folleto) [5][8]. Penetración del 8 %: hay espacio, pero es un mercado maduro que crece al 3-5 %; Medline crece por cuota.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Rivales:</w:t>
      </w:r>
      <w:r>
        <w:t xml:space="preserve"> </w:t>
      </w:r>
      <w:r>
        <w:t xml:space="preserve">Cardinal Health, Owens &amp; Minor, McKesson y Henry Schein en distribución y contratos «Prime Vendor»; fabricantes como Becton Dickinson, Cardinal (marca propia), Ansell o Mölnlycke en producto [2].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Clientes:</w:t>
      </w:r>
      <w:r>
        <w:t xml:space="preserve"> </w:t>
      </w:r>
      <w:r>
        <w:t xml:space="preserve">sin ninguno por encima del 10 %; los cinco mayores de EE. UU. suman el 11,3 %. Pero el 69 % de las ventas pasa por contratos de tres centrales de compras (Vizient, HealthTrust y Premier): poder de negociación concentrado [2].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Aranceles:</w:t>
      </w:r>
      <w:r>
        <w:t xml:space="preserve"> </w:t>
      </w:r>
      <w:r>
        <w:t xml:space="preserve">el 5 % del coste de ventas viene de China; buena parte de lo fabricado fuera viene de Asia y México. Los aranceles explican la caída de margen de 2025; el Supremo anuló en feb-2026 los aranceles IEEPA y Medline espera recuperar unos 507 M (332 M aceptados), de los que devuelve una parte a los clientes [1][2].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de EBITDA recortada (5-ago); objetivos a la baja: Truist 47, UBS 45 → 43, Barclays 45 → 43; objetivo medio 44,42 USD frente a ~50,65 en agosto; BPA 2027 de consenso 1,58 frente a 1,55 en 2026 [4][7][9]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sobre la media de 200 y girando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35,96 USD, un 10,1 % por debajo de la media; tendencia bajista 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−24,5 % en 6 meses con el S&amp;P 500 al alza 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Mejora del múltiplo ≥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 NTM de ~14,5x en el mínimo de junio a ~16,9x (+16 %); cálculo propio aproximado 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ajustado sin reembolso: 1T26 −10,6 %, 2T26 −12,6 % [1][3]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Analistas en Compra pero recortando; bufetes que investigan posibles fraudes; Weiss «D»; foros apagados [9][10][11]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 de directivos o entrada de inversores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Venden los fondos: 86,25 M acciones a 41 USD (10-mar) y 72,55 M a 37 USD (28-may) [12][13]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Catalizador nuevo en 6 meses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el 4-nov (seguro de Tracy, resto del reembolso de aranceles); guía de 2027 en febrero; un año en bolsa el 17-dic-2026, requisito para poder entrar en el S&amp;P 500 (posible, no anunciado) [1][14]</w:t>
            </w:r>
          </w:p>
        </w:tc>
      </w:tr>
    </w:tbl>
    <w:p>
      <w:pPr>
        <w:pStyle w:val="BodyText"/>
      </w:pPr>
      <w:r>
        <w:t xml:space="preserve">Euforia: no (−12,3 % desde el primer cierre; EV / beneficio bruto NTM de solo 6,9 veces).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 </w:t>
      </w:r>
      <w:r>
        <w:t xml:space="preserve">de 12 meses: 26,2 % (con 332 M de reembolso de aranceles en el coste; sin él, ~25,1 %), frente al 27,3 % de 2024 [1][3].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EBITDA ajustado</w:t>
      </w:r>
      <w:r>
        <w:t xml:space="preserve"> </w:t>
      </w:r>
      <w:r>
        <w:t xml:space="preserve">de 12 meses: 11,7 % con el reembolso (3.500 M); unos 10,9 % sin él; 13,2 % en 2024. La guía de 2026 (3.350 M sin reembolso) es un 10,8 % sobre ventas [1][3].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</w:t>
      </w:r>
      <w:r>
        <w:t xml:space="preserve"> </w:t>
      </w:r>
      <w:r>
        <w:t xml:space="preserve">de 12 meses: 1.546 M (5,2 % de las ventas); 2024 1.415 M, 2025 1.297 M (existencias por los aranceles). La bajada de intereses tras la salida (gasto del 2T −46,6 %) ayuda [1][3].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12,1 + 5,2 = 17,3 (el motor lo puntúa 0 de 5). Es la de un negocio maduro, no de una growth.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Beneficio neto</w:t>
      </w:r>
      <w:r>
        <w:t xml:space="preserve"> </w:t>
      </w:r>
      <w:r>
        <w:t xml:space="preserve">atribuido a Medline Inc. del 1S26: 189 M (con los 336 M del incendio de Tracy); BPA ajustado del 1S26 0,83 USD [1].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</w:t>
      </w:r>
      <w:r>
        <w:t xml:space="preserve"> </w:t>
      </w:r>
      <w:r>
        <w:t xml:space="preserve">2.677 M (con 350 M de depósitos) y</w:t>
      </w:r>
      <w:r>
        <w:t xml:space="preserve"> </w:t>
      </w:r>
      <w:r>
        <w:rPr>
          <w:bCs/>
          <w:b/>
        </w:rPr>
        <w:t xml:space="preserve">deuda</w:t>
      </w:r>
      <w:r>
        <w:t xml:space="preserve"> </w:t>
      </w:r>
      <w:r>
        <w:t xml:space="preserve">12.750 M a 27-jun-2026: deuda neta 10.073 M, 2,9 veces el EBITDA ajustado de 12 meses (3,1 sin el reembolso; 3,5 sobre el EBITDA contable). Venía de 4,9x en 2024: la salida a bolsa sirvió para amortizar deuda [1][3].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Vencimientos:</w:t>
      </w:r>
      <w:r>
        <w:t xml:space="preserve"> </w:t>
      </w:r>
      <w:r>
        <w:t xml:space="preserve">8.027 M en 2029 (bonos del 3,875 %, 5,25 % y 6,25 % y préstamo), el resto en 2031-2033; línea de crédito de 1.000 M sin usar. Refinanciado en mayo-junio de 2026 a 2031-2033 [1][19].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Acuerdo de ahorros fiscales (TRA):</w:t>
      </w:r>
      <w:r>
        <w:t xml:space="preserve"> </w:t>
      </w:r>
      <w:r>
        <w:t xml:space="preserve">4.404 M a pagar a los antiguos dueños (90 % de los ahorros fiscales que se generen); no es deuda financiera, pero se lleva caja durante años [1].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Dilución:</w:t>
      </w:r>
      <w:r>
        <w:t xml:space="preserve"> </w:t>
      </w:r>
      <w:r>
        <w:t xml:space="preserve">baja (~1 % al año por unidades de incentivo); pagos en acciones 0,4 % de las ventas. Las colocaciones de los fondos son acciones ya existentes [1].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 de caja:</w:t>
      </w:r>
      <w:r>
        <w:t xml:space="preserve"> </w:t>
      </w:r>
      <w:r>
        <w:t xml:space="preserve">FCF positivo.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t xml:space="preserve">Empresa familiar de 1966: los Mills conservan el 17,8 % del voto y no han vendido; consejero delegado Jim Boyle (de la casa). Los fondos (Carlyle 14,2 %, Blackstone 11,7 %, H&amp;F 11,7 %, GIC 9,0 %, ADIA 2,6 % del voto) controlan con la familia unos dos tercios de las acciones [18].</w:t>
      </w:r>
    </w:p>
    <w:p>
      <w:pPr>
        <w:numPr>
          <w:ilvl w:val="0"/>
          <w:numId w:val="1007"/>
        </w:numPr>
        <w:pStyle w:val="Compact"/>
      </w:pPr>
      <w:r>
        <w:t xml:space="preserve">En nueve meses como cotizada: dos cartas de advertencia de la FDA (jeringas angiográficas, 25-mar; contaminación microbiana en medicamentos acabados de Waukegan, 28-may), el incendio que destruyó el centro de Tracy (11-jun) y la jubilación por salud del director de operaciones (30-ago) sin sucesor anunciado. Joseph Baratta (Blackstone) deja el consejo el 31-dic [16][17][18].</w:t>
      </w:r>
    </w:p>
    <w:p>
      <w:pPr>
        <w:numPr>
          <w:ilvl w:val="0"/>
          <w:numId w:val="1007"/>
        </w:numPr>
        <w:pStyle w:val="Compact"/>
      </w:pPr>
      <w:r>
        <w:t xml:space="preserve">Historial 3/5: ventas por encima de lo prometido, EBITDA por debajo. Dirección 3/5.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t xml:space="preserve">EV = 35,96 × 1.340 M + 12.750 − 2.677 = 58.259 M. Métrica: EV/EBITDA de los 12 meses siguientes (es rentable de forma estable), con un EBITDA NTM estimado de 3.450 M (guía del 2S26 + 1S27 a +7 %; no hay consenso público) =</w:t>
      </w:r>
      <w:r>
        <w:t xml:space="preserve"> </w:t>
      </w:r>
      <w:r>
        <w:rPr>
          <w:bCs/>
          <w:b/>
        </w:rPr>
        <w:t xml:space="preserve">16,9 veces</w:t>
      </w:r>
      <w:r>
        <w:t xml:space="preserve"> </w:t>
      </w:r>
      <w:r>
        <w:t xml:space="preserve">[1][4].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a jun-2028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 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−50,4 %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+48,5 %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+1,5 %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Margen EBITDA implícito del 10,7 % en los tres casos (sin objetivo público de margen). La proyección mecánica (35.914 M en el base) es mayor que la del informe y v11 toma la menor.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Múltiplo:</w:t>
      </w:r>
      <w:r>
        <w:t xml:space="preserve"> </w:t>
      </w:r>
      <w:r>
        <w:t xml:space="preserve">la «mediana de 3 años» solo es de 10 meses en bolsa (~18,5x; máximo 21,6x en febrero, mínimo ~14,5x en junio). Los distribuidores cotizan a ~13-13,5x (Cardinal Health 13,3x, McKesson 13,0-13,7x) [20]: Medline tiene prima por su marca propia y su crecimiento.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Bajista −50 %:</w:t>
      </w:r>
      <w:r>
        <w:t xml:space="preserve"> </w:t>
      </w:r>
      <w:r>
        <w:t xml:space="preserve">es la regla (base × 0,6 = 9,8x). Para un negocio de material médico parece duro, pero con 10.000 M de deuda neta cada vuelta de múltiplo mueve el precio unos 2,6 USD (7 %).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el consenso:</w:t>
      </w:r>
      <w:r>
        <w:t xml:space="preserve"> </w:t>
      </w:r>
      <w:r>
        <w:t xml:space="preserve">objetivo medio de 44,42 USD (mediana 45, rango 34-55; 23 de 27 en Compra) [7]. Los analistas valoran sobre todo el BPA de 2027 a ~28 veces.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inverso:</w:t>
      </w:r>
      <w:r>
        <w:t xml:space="preserve"> </w:t>
      </w:r>
      <w:r>
        <w:t xml:space="preserve">con el FCF de 12 meses (1.546 M, ya después de intereses), descontando al 8,5 % y con crecimiento final del 3 %, el precio pide que el FCF crezca un</w:t>
      </w:r>
      <w:r>
        <w:t xml:space="preserve"> </w:t>
      </w:r>
      <w:r>
        <w:rPr>
          <w:bCs/>
          <w:b/>
        </w:rPr>
        <w:t xml:space="preserve">9,5 % anual durante 10 años</w:t>
      </w:r>
      <w:r>
        <w:t xml:space="preserve">: posible si el margen vuelve al 13 %, exigente con el de hoy.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Precio máximo de compra:</w:t>
      </w:r>
      <w:r>
        <w:t xml:space="preserve"> </w:t>
      </w:r>
      <w:r>
        <w:t xml:space="preserve">el motor da 34,80 USD (ponderada 5 % y base 0 %), pero no sirve de límite: con 43,8 puntos no habría Comprar a ningún precio.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Analistas:</w:t>
      </w:r>
      <w:r>
        <w:t xml:space="preserve"> </w:t>
      </w:r>
      <w:r>
        <w:t xml:space="preserve">todavía optimistas (16 compra fuerte, 7 compra, 4 mantener), pero recortando objetivos desde agosto (Truist, UBS, Barclays) [7][9].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Prensa y bufetes:</w:t>
      </w:r>
      <w:r>
        <w:t xml:space="preserve"> </w:t>
      </w:r>
      <w:r>
        <w:t xml:space="preserve">desde junio domina una avalancha de anuncios de bufetes de demandas (Kaplan Fox, Bleichmar Fonti &amp; Auld, Kessler Topaz) que «investigan» si la empresa ocultó los problemas de calidad, tras la caída del 2-jun (FDA) y la del 5-ago (resultados). Son captación de clientes, no demandas admitidas [10][11].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Seeking Alpha y prensa financiera:</w:t>
      </w:r>
      <w:r>
        <w:t xml:space="preserve"> </w:t>
      </w:r>
      <w:r>
        <w:t xml:space="preserve">el tema recurrente es la salida de los fondos («PE overhang»: los dueños de antes siguen teniendo alrededor de dos tercios) y el margen; Weiss la califica D (Vender) por margen fino y PER alto [10].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StockTwits:</w:t>
      </w:r>
      <w:r>
        <w:t xml:space="preserve"> </w:t>
      </w:r>
      <w:r>
        <w:t xml:space="preserve">poco movimiento y tono «neutral»; mensajes sueltos alcistas en septiembre (acumulación institucional) y bajistas en octubre (ventas de dentro).</w:t>
      </w:r>
      <w:r>
        <w:t xml:space="preserve"> </w:t>
      </w:r>
      <w:r>
        <w:rPr>
          <w:bCs/>
          <w:b/>
        </w:rPr>
        <w:t xml:space="preserve">Reddit</w:t>
      </w:r>
      <w:r>
        <w:t xml:space="preserve"> </w:t>
      </w:r>
      <w:r>
        <w:t xml:space="preserve">(r/stocks, r/investing): no se encontraron hilos relevantes en las búsquedas;</w:t>
      </w:r>
      <w:r>
        <w:t xml:space="preserve"> </w:t>
      </w:r>
      <w:r>
        <w:rPr>
          <w:bCs/>
          <w:b/>
        </w:rPr>
        <w:t xml:space="preserve">en castellano</w:t>
      </w:r>
      <w:r>
        <w:t xml:space="preserve"> </w:t>
      </w:r>
      <w:r>
        <w:t xml:space="preserve">(Investing.com ES, Rankia): solo fichas y consenso, sin debate.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los datos:</w:t>
      </w:r>
      <w:r>
        <w:t xml:space="preserve"> </w:t>
      </w:r>
      <w:r>
        <w:t xml:space="preserve">el sentimiento está bajo y sin euforia, lo que en teoría ayuda a un giro, pero no hay ninguna señal de giro en los datos (márgenes y revisiones a la baja). No mejora.</w:t>
      </w:r>
    </w:p>
    <w:bookmarkEnd w:id="29"/>
    <w:bookmarkStart w:id="30" w:name="bis.-precio-y-noticias-antes-de-decidir"/>
    <w:p>
      <w:pPr>
        <w:pStyle w:val="Heading2"/>
      </w:pPr>
      <w:r>
        <w:t xml:space="preserve">10 bis. Precio y noticias antes de decidir</w:t>
      </w:r>
    </w:p>
    <w:p>
      <w:pPr>
        <w:pStyle w:val="FirstParagraph"/>
      </w:pPr>
      <w:r>
        <w:rPr>
          <w:bCs/>
          <w:b/>
        </w:rPr>
        <w:t xml:space="preserve">Movimiento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movimiento.mjs MDLN</w:t>
      </w:r>
      <w:r>
        <w:t xml:space="preserve">, cierre del 16-oct): 1 m +12,0 % · 3 m −7,5 % · 6 m −24,5 % · 12 m n.d. (cotiza desde el 17-dic-2025) · −28,1 % desde el máximo de 52 semanas e histórico (50,88 USD, 25-feb) · +13,7 % sobre el mínimo (31,49, junio) · −10,1 % bajo la media de 200 sesiones · tendencia</w:t>
      </w:r>
      <w:r>
        <w:t xml:space="preserve"> </w:t>
      </w:r>
      <w:r>
        <w:rPr>
          <w:bCs/>
          <w:b/>
        </w:rPr>
        <w:t xml:space="preserve">bajista</w:t>
      </w:r>
      <w:r>
        <w:t xml:space="preserve"> </w:t>
      </w:r>
      <w:r>
        <w:t xml:space="preserve">· volatilidad de 60 días 48 %. Mayor caída de un mes: −25,8 % (hasta el 2-jun); mayor subida: +30,1 % (hasta el 2-jul). Sin avisos P1-P5.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dic-2025 (+41 %)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 a 29 USD (216 M acciones, 6.265 M), primer cierre a 41 [15]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may-jun-2026 (−25,8 %)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1T26 con EBITDA −10,6 % (6-may, −7,3 %), colocación de mayo a 37 USD y carta de la FDA publicada el 2-jun (−7,2 %) [3][13][16]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jun-jul-2026 (+30,1 %)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Rebote desde 31,49 sin noticia propia clara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ago-2026 (−10,8 %)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2T26: guía de EBITDA recortada; −12,8 % el 5-ago [1][4]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10-mar-2026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Colocación: 86,25 M acciones a 41 USD (3.500 M) de Blackstone, Carlyle, H&amp;F y ADIA [12]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28-may-2026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Colocación ampliada: 72,55 M a 37 USD (2.700 M) de Blackstone, H&amp;F y ADIA; el bloqueo de la salida (180 días) venció a mediados de junio; no hay colocación nueva desde mayo (SEC hasta el 15-oct) [13][18]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28-may / 2-jun-2026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carta de advertencia de la FDA (Waukegan); investigaciones de bufetes [11][16]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11-jun-2026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Incendio de Tracy: 336 M de pérdidas antes de seguros; 50-100 M más en el 2S [1][4]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2-jun-2026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Refinanciación a 2031-2033 [19]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9-jul / 15-oct-2026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jubila el director de operaciones; Baratta (Blackstone) deja el consejo [17][18]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25-sep / 9-oct-2026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UBS y Barclays bajan el objetivo a 43 USD 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4-nov-2026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3T26 [14]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Veredicto global: no cambia.</w:t>
      </w:r>
      <w:r>
        <w:t xml:space="preserve"> </w:t>
      </w:r>
      <w:r>
        <w:t xml:space="preserve">No hay nada pendiente con fecha que pueda mover el precio más de un 5 % aparte de los resultados (que no retrasan, regla 11). La venta de los fondos es un riesgo permanente: unos 880 M de acciones ya sin bloqueo; si se anunciara otra colocación, el veredicto pasaría a «retrasa» hasta su precio. Como la señal no es de compra, el veredicto no cambia la decisión.</w:t>
      </w:r>
    </w:p>
    <w:bookmarkEnd w:id="30"/>
    <w:bookmarkStart w:id="31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Margen:</w:t>
      </w:r>
      <w:r>
        <w:t xml:space="preserve"> </w:t>
      </w:r>
      <w:r>
        <w:t xml:space="preserve">aranceles (lo no cubierto por la sentencia IEEPA, los de las secciones 232 y 301), inflación de costes y fletes por el conflicto de Oriente Medio y la remediación de calidad. Otro recorte de la guía de EBITDA en el 3T confirmaría que el problema no es puntual.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Calidad y regulador:</w:t>
      </w:r>
      <w:r>
        <w:t xml:space="preserve"> </w:t>
      </w:r>
      <w:r>
        <w:t xml:space="preserve">dos cartas de advertencia de la FDA en 2026. Si no se cierran, puede haber retiradas de producto, suspensión de certificados de exportación o pérdida de contratos de hospitales; las demandas de valores pueden llegar.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Venta de los fondos:</w:t>
      </w:r>
      <w:r>
        <w:t xml:space="preserve"> </w:t>
      </w:r>
      <w:r>
        <w:t xml:space="preserve">dos tercios de las acciones en manos de los dueños de antes, sin bloqueo; cada colocación se ha hecho con descuento (41 y 37 USD).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Deuda y TRA:</w:t>
      </w:r>
      <w:r>
        <w:t xml:space="preserve"> </w:t>
      </w:r>
      <w:r>
        <w:t xml:space="preserve">10.073 M de deuda neta y 4.404 M del acuerdo fiscal; 8.027 M vencen en 2029.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Concentración en centrales de compras:</w:t>
      </w:r>
      <w:r>
        <w:t xml:space="preserve"> </w:t>
      </w:r>
      <w:r>
        <w:t xml:space="preserve">el 69 % de las ventas pasa por Vizient, HealthTrust y Premier.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Riesgo de IA (valoración explícita):</w:t>
      </w:r>
      <w:r>
        <w:t xml:space="preserve"> </w:t>
      </w:r>
      <w:r>
        <w:t xml:space="preserve">bajo y algo favorable. El negocio es físico (fabricar, almacenar y entregar material a hospitales) y la IA no sustituye el producto. Le ayuda en previsión de demanda, automatización de almacenes y en sus herramientas de inventario para clientes (TrackPoint). La amenaza está en las plataformas de compras con IA, que pueden dar más transparencia de precios a hospitales y centrales y apretar el margen de distribución (5,5 % en Supply Chain Solutions). Efecto en la tesis: neutro; no cambia la señal.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Alertas del motor (v11):</w:t>
      </w:r>
      <w:r>
        <w:t xml:space="preserve"> </w:t>
      </w:r>
      <w:r>
        <w:t xml:space="preserve">ninguna. Aviso de las pruebas: G2 (el objetivo se mueve con el precio: se deja fijo), G6 (bajista −50 %) y G8 (el precio ya descuenta crecer un 10 % anual 10 años, más que nuestro 8 %).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Qué cambiaría la señal:</w:t>
      </w:r>
      <w:r>
        <w:t xml:space="preserve"> </w:t>
      </w:r>
      <w:r>
        <w:t xml:space="preserve">que el EBITDA vuelva a crecer más que las ventas durante dos trimestres, con el margen en el 12-13 % y sin nuevas cartas de la FDA. Aun así la puntuación seguiría lejos de 60: el camino natural es el análisis value, no el growth.</w:t>
      </w:r>
    </w:p>
    <w:bookmarkEnd w:id="31"/>
    <w:bookmarkStart w:id="32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4-nov-2026:</w:t>
      </w:r>
      <w:r>
        <w:t xml:space="preserve"> </w:t>
      </w:r>
      <w:r>
        <w:t xml:space="preserve">resultados del 3T26 (seguro de Tracy, reembolso de aranceles, guía de EBITDA) [14].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17-dic-2026:</w:t>
      </w:r>
      <w:r>
        <w:t xml:space="preserve"> </w:t>
      </w:r>
      <w:r>
        <w:t xml:space="preserve">un año en bolsa (requisito para poder entrar en el S&amp;P 500).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31-dic-2026:</w:t>
      </w:r>
      <w:r>
        <w:t xml:space="preserve"> </w:t>
      </w:r>
      <w:r>
        <w:t xml:space="preserve">sale Baratta (Blackstone) del consejo.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Feb-2027:</w:t>
      </w:r>
      <w:r>
        <w:t xml:space="preserve"> </w:t>
      </w:r>
      <w:r>
        <w:t xml:space="preserve">resultados de 2026 y guía de 2027.</w:t>
      </w:r>
    </w:p>
    <w:p>
      <w:pPr>
        <w:numPr>
          <w:ilvl w:val="0"/>
          <w:numId w:val="1011"/>
        </w:numPr>
        <w:pStyle w:val="Compact"/>
      </w:pPr>
      <w:r>
        <w:t xml:space="preserve">Sin fecha: nuevas colocaciones de los fondos, respuesta de la FDA a la remediación, nombramiento del nuevo director de operaciones.</w:t>
      </w:r>
    </w:p>
    <w:bookmarkEnd w:id="32"/>
    <w:bookmarkStart w:id="33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t xml:space="preserve">No entra en el bolsillo growth: no es una growth (crece al 10 %, sin tecnología nueva) y la señal es Vender / no comprar. Tampoco hoy en la cartera value (ROIC − WACC negativo con el fondo de comercio de la compra apalancada y sin historia de PER; ver el diario). Se revisará como value cuando tenga dos ejercicios completos como cotizada y la deuda baje de 2,5 veces el EBITDA, o si el precio cae a la zona de 12-13 veces el EBITDA (unos 25-27 USD).</w:t>
      </w:r>
    </w:p>
    <w:bookmarkEnd w:id="33"/>
    <w:bookmarkStart w:id="34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 +12,1 % (1/5), CAGR 2 a +10,9 % (1/5), aceleración ≈ 0 (3/5)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8 % (3/5), tecnología 2/5, posición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de 8 señales (catalizador)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26 % (1/5), regla del 40 = 17 (0/5), FCF positivo (4/5)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(5/5), dilución ~1 % (5/5)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3/5, dirección 3/5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 / no comprar (&lt; 50)</w:t>
            </w:r>
          </w:p>
        </w:tc>
      </w:tr>
    </w:tbl>
    <w:p>
      <w:pPr>
        <w:pStyle w:val="BodyText"/>
      </w:pPr>
      <w:r>
        <w:rPr>
          <w:bCs/>
          <w:b/>
        </w:rPr>
        <w:t xml:space="preserve">Pruebas de robustez</w:t>
      </w:r>
      <w:r>
        <w:t xml:space="preserve"> </w:t>
      </w:r>
      <w:r>
        <w:t xml:space="preserve">(</w:t>
      </w:r>
      <w:r>
        <w:rPr>
          <w:rStyle w:val="VerbatimChar"/>
        </w:rPr>
        <w:t xml:space="preserve">robustez-growth.mjs --precios</w:t>
      </w:r>
      <w:r>
        <w:t xml:space="preserve">): FRÁGIL; señal robusta Vender (con «ventas del analista», Mantener por 1,5 %); v7 6,9/10,4 → Vender; pesos 35/50/15 −8,4 %; precio de hoy (35,96, objetivo fijo) igual.</w:t>
      </w:r>
    </w:p>
    <w:bookmarkEnd w:id="34"/>
    <w:bookmarkStart w:id="35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Medline, 8-K y nota de resultados del 2T26 (5-ago-2026) y 10-Q del 2T26, SEC: https://www.sec.gov/Archives/edgar/data/0002046386/000204638626000049/ex9912q26pressrelease.htm ; https://www.sec.gov/Archives/edgar/data/0002046386/000204638626000051/mdln-20260627.htm</w:t>
      </w:r>
      <w:r>
        <w:t xml:space="preserve"> </w:t>
      </w:r>
      <w:r>
        <w:t xml:space="preserve">[2] Medline, 10-K de 2025 (25-feb-2026), SEC: https://www.sec.gov/Archives/edgar/data/2046386/000204638626000009/mdln-20251231.htm ; XBRL con herramientas/cuentas.mjs</w:t>
      </w:r>
      <w:r>
        <w:t xml:space="preserve"> </w:t>
      </w:r>
      <w:r>
        <w:t xml:space="preserve">[3] Medline, resultados del 4T25 (25-feb-2026) y del 1T26 (6-may-2026), SEC: https://www.sec.gov/Archives/edgar/data/2046386/000204638626000007/ex9914q25pressrelease.htm ; https://www.sec.gov/Archives/edgar/data/0002046386/000204638626000022/ex9911q26pressrelease.htm</w:t>
      </w:r>
      <w:r>
        <w:t xml:space="preserve"> </w:t>
      </w:r>
      <w:r>
        <w:t xml:space="preserve">[4] Guía de 2026 y sus revisiones; resumen de la conferencia del 2T (Nasdaq): https://nasdaq.com/articles/medline-q2-earnings-call-highlights</w:t>
      </w:r>
      <w:r>
        <w:t xml:space="preserve"> </w:t>
      </w:r>
      <w:r>
        <w:t xml:space="preserve">[5] Folleto S-1/A de la salida a bolsa, SEC: https://www.sec.gov/Archives/edgar/data/2046386/000119312525311099/d55108ds1a.htm</w:t>
      </w:r>
      <w:r>
        <w:t xml:space="preserve"> </w:t>
      </w:r>
      <w:r>
        <w:t xml:space="preserve">[6] Yahoo Finance vía herramientas/movimiento.mjs MDLN (hasta el 16-oct-2026)</w:t>
      </w:r>
      <w:r>
        <w:t xml:space="preserve"> </w:t>
      </w:r>
      <w:r>
        <w:t xml:space="preserve">[7] StockAnalysis, cotización y previsiones (datos del 9-oct-2026): https://stockanalysis.com/stocks/MDLN/forecast/</w:t>
      </w:r>
      <w:r>
        <w:t xml:space="preserve"> </w:t>
      </w:r>
      <w:r>
        <w:t xml:space="preserve">[8] Mercado alcanzable de 375.000 M USD según el folleto (BioXconomy): https://bioxconomy.com/investment/medline-targets-5-37bn-in-landmark-ipo</w:t>
      </w:r>
      <w:r>
        <w:t xml:space="preserve"> </w:t>
      </w:r>
      <w:r>
        <w:t xml:space="preserve">[9] MarketBeat (Truist, 6-ago-2026) e Investing.com ES (consenso): https://www.marketbeat.com/instant-alerts/truist-financial-lowers-medline-nasdaqmdln-price-target-to-4700-2026-08-06/ ; https://es.investing.com/equities/medline-inc-consensus-estimates</w:t>
      </w:r>
      <w:r>
        <w:t xml:space="preserve"> </w:t>
      </w:r>
      <w:r>
        <w:t xml:space="preserve">[10] StockTwits MDLN; Weiss Ratings: https://stocktwits.com/symbol/MDLN ; https://weissratings.com/en/instant-news-alerts/medline-inc-mdln-down-5-1-should-i-bank-what-i-have-left</w:t>
      </w:r>
      <w:r>
        <w:t xml:space="preserve"> </w:t>
      </w:r>
      <w:r>
        <w:t xml:space="preserve">[11] Kalkine Media (Kaplan Fox) y Kessler Topaz: https://kalkinemedia.com/ca/news/announcements/medline-inc-mdln-under-securities-probe-following-fda-warning-and-7-stock-decline ; https://www.ktmc.com/mdln-medline-inc-investigation/</w:t>
      </w:r>
      <w:r>
        <w:t xml:space="preserve"> </w:t>
      </w:r>
      <w:r>
        <w:t xml:space="preserve">[12] Medline, colocación de marzo de 2026: https://newsroom.medline.com/?p=150471</w:t>
      </w:r>
      <w:r>
        <w:t xml:space="preserve"> </w:t>
      </w:r>
      <w:r>
        <w:t xml:space="preserve">[13] Medline, colocación ampliada de mayo de 2026: https://ir.medline.com/news-releases/news-release-details/medline-inc-announces-pricing-upsized-secondary-offering-class</w:t>
      </w:r>
      <w:r>
        <w:t xml:space="preserve"> </w:t>
      </w:r>
      <w:r>
        <w:t xml:space="preserve">[14] Medline, fecha de resultados del 3T26 (6-oct-2026), vía StockAnalysis: https://stockanalysis.com/stocks/MDLN/</w:t>
      </w:r>
      <w:r>
        <w:t xml:space="preserve"> </w:t>
      </w:r>
      <w:r>
        <w:t xml:space="preserve">[15] Fierce Healthcare, salida a bolsa (17-dic-2025): https://www.fiercehealthcare.com/medtech/medline-makes-nasdaq-debut-raising-626b-years-largest-ipo</w:t>
      </w:r>
      <w:r>
        <w:t xml:space="preserve"> </w:t>
      </w:r>
      <w:r>
        <w:t xml:space="preserve">[16] Cartas de la FDA: https://www.medicaldevice-network.com/news/medline-hit-with-fda-warning-letter-over-angiographic-syringe-manufacturing-failures/ ; https://www.geneonline.com/fda-issues-warning-letter-to-medline-over-recurring-bacterial-contamination-in-drug-products/</w:t>
      </w:r>
      <w:r>
        <w:t xml:space="preserve"> </w:t>
      </w:r>
      <w:r>
        <w:t xml:space="preserve">[17] 8-K del 9-jul-2026: https://www.sec.gov/Archives/edgar/data/2046386/000110465926082249/tm2620110d1_8k.htm</w:t>
      </w:r>
      <w:r>
        <w:t xml:space="preserve"> </w:t>
      </w:r>
      <w:r>
        <w:t xml:space="preserve">[18] 8-K del 15-oct-2026 y 424B4 del 26-may-2026 (accionistas principales): https://www.sec.gov/Archives/edgar/data/2046386/000110465926116255/tm2627622d1_8k.htm ; https://www.sec.gov/Archives/edgar/data/0002046386/000119312526239247/d68812d424b4.htm</w:t>
      </w:r>
      <w:r>
        <w:t xml:space="preserve"> </w:t>
      </w:r>
      <w:r>
        <w:t xml:space="preserve">[19] 8-K del 2-jun-2026 (refinanciación): https://www.sec.gov/Archives/edgar/data/2046386/000119312526252557/d50280d8k.htm</w:t>
      </w:r>
      <w:r>
        <w:t xml:space="preserve"> </w:t>
      </w:r>
      <w:r>
        <w:t xml:space="preserve">[20] AAII (jul-2026) y ValueInvesting.io (EV/EBITDA de Cardinal Health y McKesson): https://www.aaii.com/investingideas/article/515614-4-undervalued-health-care-providers–services-stocks-for-monday-july-20 ; https://www.valueinvesting.io/MCK/valuation/ev_ebitda-multiples</w:t>
      </w:r>
      <w:r>
        <w:t xml:space="preserve"> </w:t>
      </w:r>
      <w:r>
        <w:t xml:space="preserve">[21] Quiver Quant, subida del 22-sep-2026 tras una conferencia sanitaria: https://www.quiverquant.com/news/Medline+gains+as+investors+revisit+growth+outlook+after+upbeat+conference+remarks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2026-10-18T16:28:15Z</dcterms:created>
  <dcterms:modified xsi:type="dcterms:W3CDTF">2026-10-18T16:28:15Z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