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Grupo Aeroméxico, S.A.B. de C.V.</w:t>
      </w:r>
    </w:p>
    <w:p>
      <w:pPr>
        <w:spacing w:after="60"/>
        <w:rPr>
          <w:color w:val="52514E"/>
          <w:sz w:val="22"/>
          <w:szCs w:val="22"/>
        </w:rPr>
      </w:pPr>
      <w:r>
        <w:rPr>
          <w:color w:val="52514E"/>
          <w:sz w:val="22"/>
          <w:szCs w:val="22"/>
        </w:rPr>
        <w:t xml:space="preserve">AERO · NYSE (ADS; también BMV en pesos) · ISIN n.d.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15,98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19,25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+20,4 % (base +15,1 %)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22,65 USD · mercado 25,51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2.331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3,5x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Grupo Aeroméxico, S.A.B. de C.V.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AERO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(ADS; también BMV en pesos)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Aerolíneas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Ciudad de México · 1934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https://www.aeromexico.com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15,98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12,26 – 23,05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5.889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 M USD/día en la NYSE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19,25 USD</w:t>
      </w:r>
      <w:r>
        <w:t xml:space="preserve"> frente a 15,98 · Rentabilidad a 12 meses </w:t>
      </w:r>
      <w:r>
        <w:rPr>
          <w:b/>
          <w:bCs/>
        </w:rPr>
        <w:t xml:space="preserve">+20,4 % (base +15,1 %)</w:t>
      </w:r>
      <w:r>
        <w:t xml:space="preserve"> · Valor intrínseco 22,65 USD · con la prima implícita del mercado: 25,51 (+59,6 %) · Alcista / bajista +155,1 % / -85,9 %</w:t>
      </w:r>
    </w:p>
    <w:p>
      <w:pPr>
        <w:spacing w:after="100"/>
      </w:pPr>
      <w:r>
        <w:rPr>
          <w:b/>
        </w:rPr>
        <w:t xml:space="preserve">La recomendación y por qué.</w:t>
      </w:r>
      <w:r>
        <w:t xml:space="preserve"> Mantener, con convicción media, aunque la regla da Comprar. El objetivo a 12 meses es de 19,25 USD por ADS (nuestro BPA de 2028 por un PER de 7,1 veces), con una rentabilidad ponderada del 20,4 % y del 15,1 % en el base; el valor intrínseco es de 22,65, un 41,7 % por encima de los 15,98 del cierre del 16-oct, y el objetivo medio de los analistas (28,06) queda por encima de todo nuestro rango salvo el alcista [25]. No compramos hoy porque la huelga de pilotos tiene fecha (mediados de noviembre) y la prueba de robustez da Esperar: con un BPA un 10 % menor la rentabilidad cae al 8,4 %. La convicción es media: subiría con el convenio firmado y un margen operativo del 3T26 dentro de la guía (14-17 %); bajaría con el queroseno por encima de 3,5 USD por galón.</w:t>
      </w:r>
    </w:p>
    <w:p>
      <w:pPr>
        <w:spacing w:after="100"/>
      </w:pPr>
      <w:r>
        <w:rPr>
          <w:b/>
        </w:rPr>
        <w:t xml:space="preserve">El negocio.</w:t>
      </w:r>
      <w:r>
        <w:t xml:space="preserve"> La aerolínea de red de México, con el 25 % del pasaje doméstico, el 14 % del internacional (21 % con Delta) y un 43 % del ingreso de pasaje en clase premium [1, 4]. El ROIC, con los aviones arrendados en el capital, es del 32,9 % frente a un WACC del 9,78 %; a mitad de ciclo y con el 30 % de impuestos, del 17,5 % [40]. Los +150 puntos de los filtros salen de dividir por un patrimonio negativo (−594 M) tras el Chapter 11. La sostenibilidad del crecimiento es «Sí»: el 5,5 % anual proyectado es menor que el 9,2 % que financia la reinversión y no exige ganar cuota.</w:t>
      </w:r>
    </w:p>
    <w:p>
      <w:pPr>
        <w:spacing w:after="100"/>
      </w:pPr>
      <w:r>
        <w:rPr>
          <w:b/>
        </w:rPr>
        <w:t xml:space="preserve">Sector y ciclo.</w:t>
      </w:r>
      <w:r>
        <w:t xml:space="preserve"> El ciclo manda: el queroseno subió un 79,6 % por galón en el 2T26 con la guerra de Oriente Medio, sin coberturas, y la empresa perdió 0,40 USD por ADS en el trimestre [4, 9]. A favor, sus motores son CFM LEAP y GE: los problemas de Pratt &amp; Whitney inmovilizan a Volaris y Viva, no a Aeroméxico [1].</w:t>
      </w:r>
    </w:p>
    <w:p>
      <w:pPr>
        <w:spacing w:after="100"/>
      </w:pPr>
      <w:r>
        <w:rPr>
          <w:b/>
        </w:rPr>
        <w:t xml:space="preserve">Finanzas.</w:t>
      </w:r>
      <w:r>
        <w:t xml:space="preserve"> Ingresos de 5.361 M en 2025 y una guía de 6.050-6.120 M en 2026 [1, 4]. La deuda neta ajustada es de 3.556 M, 2,1 veces el EBITDA, con liquidez de 1.237 M y sin vencimientos de bonos hasta 2029 [4]. La caja libre de los últimos 12 meses fue de solo 140 M.</w:t>
      </w:r>
    </w:p>
    <w:p>
      <w:pPr>
        <w:spacing w:after="100"/>
      </w:pPr>
      <w:r>
        <w:rPr>
          <w:b/>
        </w:rPr>
        <w:t xml:space="preserve">Equipo y gobierno.</w:t>
      </w:r>
      <w:r>
        <w:t xml:space="preserve"> Cumplió la guía de 2025 y recortó la de 2026 en julio por el combustible [4]. Consejeros y directivos compraron 103.212 ADS en marzo [21]. Más de un tercio del capital es de fondos del Chapter 11 (Apollo 18,9 %, Silver Point 9,0 %) y Delta tiene el 18,7 % [1, 19]: sus ventas son un riesgo de oferta.</w:t>
      </w:r>
    </w:p>
    <w:p>
      <w:pPr>
        <w:spacing w:after="100"/>
      </w:pPr>
      <w:r>
        <w:rPr>
          <w:b/>
        </w:rPr>
        <w:t xml:space="preserve">Valoración.</w:t>
      </w:r>
      <w:r>
        <w:t xml:space="preserve"> El DCF da 23,34 USD; el precio exige solo un crecimiento del 2,7 % anual frente a nuestro 4,7 %, o una rentabilidad implícita del 11,1 %, por encima del WACC. Cotiza a 7,3 veces el BPA del consenso frente a 9,8 de los comparables [27]. Nuestro BPA de 2028 (2,59) queda un 30,6 % por debajo del consenso (3,73), por los intereses y los impuestos.</w:t>
      </w:r>
    </w:p>
    <w:p>
      <w:pPr>
        <w:spacing w:after="100"/>
      </w:pPr>
      <w:r>
        <w:rPr>
          <w:b/>
        </w:rPr>
        <w:t xml:space="preserve">Riesgos y catalizadores.</w:t>
      </w:r>
      <w:r>
        <w:t xml:space="preserve"> El queroseno (escenario bajista: 2,26 USD de valor y 8,64 a 12 meses), los pilotos (−5 % a −10 %) y las colocaciones de los fondos (−10 % temporal). El riesgo de la IA es bajo: no sustituye el vuelo, aunque los agentes de reserva pueden presionar la venta directa. Catalizadores: resultados del 3T26 el 19-oct, junta de la recompra de 100 M el 26-oct y fin de la prórroga de la huelga a mediados de noviembre [22, 36, 39].</w:t>
      </w:r>
    </w:p>
    <w:p>
      <w:pPr>
        <w:spacing w:after="100"/>
      </w:pPr>
      <w:r>
        <w:rPr>
          <w:b/>
        </w:rPr>
        <w:t xml:space="preserve">Qué cambiaría la decisión.</w:t>
      </w:r>
      <w:r>
        <w:t xml:space="preserve"> Compraríamos por debajo de 14,78 USD (límite robusto) con el convenio de pilotos firmado, y venderíamos por encima de 21,38. Pasaríamos a Vender con una huelga de más de una semana o con el queroseno por encima de 3,5 USD por galón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19,25 USD</w:t>
      </w:r>
      <w:r>
        <w:t xml:space="preserve"> (rentabilidad +20,4 % (base +15,1 %)) · Valor intrínseco: 22,65 USD (+41,7 % sobre 15,98) · con la prima implícita del mercado: 25,51 (+59,6 %)</w:t>
      </w:r>
    </w:p>
    <w:p>
      <w:pPr>
        <w:spacing w:after="100"/>
      </w:pPr>
      <w:r>
        <w:t xml:space="preserve">Grupo Aeroméxico es la aerolínea de red de México: 169 aviones, el 25 % del pasaje doméstico, la empresa conjunta con Delta en el transfronterizo y un 43 % del ingreso de pasaje en premium [1, 4]. Salió del Chapter 11 en 2022 con la deuda recortada y volvió a bolsa en Nueva York en noviembre de 2025 a 19,00 USD por ADS [2]. Con los aviones arrendados en el capital, gana un ROIC del 32,9 %, y del 17,5 % a mitad de ciclo [40].</w:t>
      </w:r>
    </w:p>
    <w:p>
      <w:pPr>
        <w:spacing w:after="100"/>
      </w:pPr>
      <w:r>
        <w:t xml:space="preserve">El precio (15,98) descuenta poco: el DCF inverso pide un crecimiento del 2,7 % anual frente a nuestro 4,7 %, y cotiza a 7,3 veces el BPA del consenso frente a 9,8 de los comparables [27]. La caída del 27,2 % en 2026 recoge el queroseno de la guerra de Oriente Medio y la pérdida del 2T26 [4, 23].</w:t>
      </w:r>
    </w:p>
    <w:p>
      <w:pPr>
        <w:spacing w:after="100"/>
      </w:pPr>
      <w:r>
        <w:t xml:space="preserve">Para invertir hay que creer que 2026 es un mal año del ciclo y no el nuevo nivel: que el margen EBITDA vuelve al 27 % con el queroseno a unos 3 USD, que los pilotos firman sin huelga y que los fondos del Chapter 11 venden de forma ordenada. La deuda y los arrendamientos (4.069 M) hacen que el error cueste mucho: el bajista deja la acción en 8,64 a 12 meses.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 × 1,44 = 8,64 · 7,1x × 2,59 = 18,39 · 9,2x × 3,43 = 31,56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 / 15,1 %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28,06 (nuestro base -34,5 %)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155,1 % / -85,9 %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 frente a 9,8 % y 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(5,6 % anual proyectado; financiable al ROIC actual: 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16,42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16,42 y 21,38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21,38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da Comprar (rentabilidad ponderada a 12 meses del 20,4 %, del base del 15,1 % y valor intrínseco de 22,65, por encima del precio), pero no la seguimos hoy por tres razones que la valoración no recoge. Primera, la huelga de pilotos: el emplazamiento de ASPA se prorrogó 45 días desde el 1-oct y vence a mediados de noviembre, y la regla 13 dice que el informe retrasa la compra hasta que haya convenio. Segunda, la prueba de robustez: con el BPA un 10 % más bajo la rentabilidad cae al 8,4 %, el colchón de BPA es de solo un 3 % y la acción robusta es Esperar, con un límite de 14,78 USD. Tercera, no hay historia del PER (M2): el múltiplo de referencia es el de hoy. Los resultados del 3T26 salen mañana. Pasaríamos a Comprar con el convenio firmado y un precio por debajo de 14,78.</w:t>
      </w:r>
    </w:p>
    <w:p>
      <w:pPr>
        <w:pStyle w:val="Heading2"/>
      </w:pPr>
      <w:r>
        <w:t xml:space="preserve">Qué cambiaría la recomendación</w:t>
      </w:r>
    </w:p>
    <w:p>
      <w:pPr>
        <w:pStyle w:val="ListParagraph"/>
        <w:numPr>
          <w:ilvl w:val="0"/>
          <w:numId w:val="2"/>
        </w:numPr>
        <w:spacing w:after="60"/>
      </w:pPr>
      <w:r>
        <w:t xml:space="preserve">Convenio de pilotos firmado y precio por debajo de 14,78 USD: pasaríamos a Comprar.</w:t>
      </w:r>
    </w:p>
    <w:p>
      <w:pPr>
        <w:pStyle w:val="ListParagraph"/>
        <w:numPr>
          <w:ilvl w:val="0"/>
          <w:numId w:val="2"/>
        </w:numPr>
        <w:spacing w:after="60"/>
      </w:pPr>
      <w:r>
        <w:t xml:space="preserve">Precio por encima de 21,38 USD: pasaríamos a Vender.</w:t>
      </w:r>
    </w:p>
    <w:p>
      <w:pPr>
        <w:pStyle w:val="ListParagraph"/>
        <w:numPr>
          <w:ilvl w:val="0"/>
          <w:numId w:val="2"/>
        </w:numPr>
        <w:spacing w:after="60"/>
      </w:pPr>
      <w:r>
        <w:t xml:space="preserve">Huelga de más de una semana o un convenio con subidas por encima del 8 % anual: revisaríamos el BPA a la baja y la recomendación a Vender.</w:t>
      </w:r>
    </w:p>
    <w:p>
      <w:pPr>
        <w:pStyle w:val="ListParagraph"/>
        <w:numPr>
          <w:ilvl w:val="0"/>
          <w:numId w:val="2"/>
        </w:numPr>
        <w:spacing w:after="60"/>
      </w:pPr>
      <w:r>
        <w:t xml:space="preserve">Queroseno por encima de 3,5 USD por galón dos trimestres seguidos: Vender.</w:t>
      </w:r>
    </w:p>
    <w:p>
      <w:pPr>
        <w:pStyle w:val="ListParagraph"/>
        <w:numPr>
          <w:ilvl w:val="0"/>
          <w:numId w:val="2"/>
        </w:numPr>
        <w:spacing w:after="60"/>
      </w:pPr>
      <w:r>
        <w:t xml:space="preserve">Margen operativo del 3T26 por debajo del 14 % (fondo de la guía): recortaríamos el BPA de 2027.</w:t>
      </w:r>
    </w:p>
    <w:p>
      <w:pPr>
        <w:pStyle w:val="Heading2"/>
      </w:pPr>
      <w:r>
        <w:t xml:space="preserve">Dónde discrepamos del mercado</w:t>
      </w:r>
    </w:p>
    <w:p>
      <w:pPr>
        <w:keepNext/>
        <w:spacing w:after="100"/>
      </w:pPr>
      <w:r>
        <w:rPr>
          <w:b/>
          <w:bCs/>
        </w:rPr>
        <w:t xml:space="preserve">Lo que descuenta el precio.</w:t>
      </w:r>
    </w:p>
    <w:p>
      <w:pPr>
        <w:spacing w:after="100"/>
      </w:pPr>
      <w:r>
        <w:t xml:space="preserve">Un PER de 7,1 veces nuestro BPA de 2027 y un descuento frente a Copa y LATAM: el mercado paga a Aeroméxico como una aerolínea emergente endeudada con riesgo de huelga y de colocaciones, aunque los analistas mantengan un objetivo medio de 28,06 con 8 de 11 en comprar [25].</w:t>
      </w:r>
    </w:p>
    <w:p>
      <w:pPr>
        <w:keepNext/>
        <w:spacing w:after="100"/>
      </w:pPr>
      <w:r>
        <w:rPr>
          <w:b/>
          <w:bCs/>
        </w:rPr>
        <w:t xml:space="preserve">Lo que creemos nosotros.</w:t>
      </w:r>
    </w:p>
    <w:p>
      <w:pPr>
        <w:spacing w:after="100"/>
      </w:pPr>
      <w:r>
        <w:t xml:space="preserve">La rentabilidad es mejor que la de sus comparables y el precio descuenta un crecimiento menor que el que financia la reinversión. Pero nuestro BPA de 2028 (2,59) está un 30,6 % por debajo del consenso: los analistas cuentan menos intereses e impuestos de los que vemos.</w:t>
      </w:r>
    </w:p>
    <w:p>
      <w:pPr>
        <w:keepNext/>
        <w:spacing w:after="100"/>
      </w:pPr>
      <w:r>
        <w:rPr>
          <w:b/>
          <w:bCs/>
        </w:rPr>
        <w:t xml:space="preserve">Por qué podemos tener razón.</w:t>
      </w:r>
    </w:p>
    <w:p>
      <w:pPr>
        <w:spacing w:after="100"/>
      </w:pPr>
      <w:r>
        <w:t xml:space="preserve">Los intereses de la deuda y los arrendamientos fueron de 546 M en 2025 y las pérdidas fiscales se agotan [1]. Somos más prudentes que la calle en el beneficio y aun así sale una rentabilidad del 20,4 %; lo que nos frena es el calendario (pilotos) y la cola del bajista, no el valor.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9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ROIC alto con los arrendamientos en el capital</w:t>
      </w:r>
      <w:r>
        <w:t xml:space="preserve">: 32,9 % en 2025 y 17,5 % a mitad de ciclo, frente a un WACC del 9,78 %.</w:t>
      </w:r>
    </w:p>
    <w:p>
      <w:pPr>
        <w:pStyle w:val="ListParagraph"/>
        <w:numPr>
          <w:ilvl w:val="0"/>
          <w:numId w:val="2"/>
        </w:numPr>
        <w:spacing w:after="60"/>
      </w:pPr>
      <w:r>
        <w:rPr>
          <w:b/>
        </w:rPr>
        <w:t xml:space="preserve">Precio exigente solo con el ciclo malo</w:t>
      </w:r>
      <w:r>
        <w:t xml:space="preserve">: el DCF inverso pide un crecimiento del 2,7 % frente a nuestro 4,7 %.</w:t>
      </w:r>
    </w:p>
    <w:p>
      <w:pPr>
        <w:pStyle w:val="ListParagraph"/>
        <w:numPr>
          <w:ilvl w:val="0"/>
          <w:numId w:val="2"/>
        </w:numPr>
        <w:spacing w:after="60"/>
      </w:pPr>
      <w:r>
        <w:rPr>
          <w:b/>
        </w:rPr>
        <w:t xml:space="preserve">Sin motores Pratt &amp; Whitney GTF</w:t>
      </w:r>
      <w:r>
        <w:t xml:space="preserve">: sus rivales ULCC tienen aviones en tierra y Aeroméxico no [1].</w:t>
      </w:r>
    </w:p>
    <w:p>
      <w:pPr>
        <w:pStyle w:val="ListParagraph"/>
        <w:numPr>
          <w:ilvl w:val="0"/>
          <w:numId w:val="2"/>
        </w:numPr>
        <w:spacing w:after="60"/>
      </w:pPr>
      <w:r>
        <w:rPr>
          <w:b/>
        </w:rPr>
        <w:t xml:space="preserve">Recompra de hasta 100 M al año</w:t>
      </w:r>
      <w:r>
        <w:t xml:space="preserve">, un 4 % de la capitalización, a votar el 26-oct [39].</w:t>
      </w:r>
    </w:p>
    <w:p>
      <w:pPr>
        <w:pStyle w:val="ListParagraph"/>
        <w:numPr>
          <w:ilvl w:val="0"/>
          <w:numId w:val="2"/>
        </w:numPr>
        <w:spacing w:after="60"/>
      </w:pPr>
      <w:r>
        <w:rPr>
          <w:b/>
        </w:rPr>
        <w:t xml:space="preserve">Delta como socio y accionista (18,7 %)</w:t>
      </w:r>
      <w:r>
        <w:t xml:space="preserve"> y la inmunidad de la empresa conjunta confirmada por el tribunal en ago-2026 [37].</w:t>
      </w:r>
    </w:p>
    <w:p>
      <w:pPr>
        <w:pStyle w:val="Heading2"/>
      </w:pPr>
      <w:r>
        <w:t xml:space="preserve">En contra</w:t>
      </w:r>
    </w:p>
    <w:p>
      <w:pPr>
        <w:pStyle w:val="ListParagraph"/>
        <w:numPr>
          <w:ilvl w:val="0"/>
          <w:numId w:val="2"/>
        </w:numPr>
        <w:spacing w:after="60"/>
      </w:pPr>
      <w:r>
        <w:rPr>
          <w:b/>
        </w:rPr>
        <w:t xml:space="preserve">Queroseno sin coberturas</w:t>
      </w:r>
      <w:r>
        <w:t xml:space="preserve">: −0,40 USD por ADS en el 2T26 con el galón un 79,6 % más caro [4].</w:t>
      </w:r>
    </w:p>
    <w:p>
      <w:pPr>
        <w:pStyle w:val="ListParagraph"/>
        <w:numPr>
          <w:ilvl w:val="0"/>
          <w:numId w:val="2"/>
        </w:numPr>
        <w:spacing w:after="60"/>
      </w:pPr>
      <w:r>
        <w:rPr>
          <w:b/>
        </w:rPr>
        <w:t xml:space="preserve">Huelga de pilotos con fecha</w:t>
      </w:r>
      <w:r>
        <w:t xml:space="preserve">: el emplazamiento vence a mediados de noviembre de 2026 [22].</w:t>
      </w:r>
    </w:p>
    <w:p>
      <w:pPr>
        <w:pStyle w:val="ListParagraph"/>
        <w:numPr>
          <w:ilvl w:val="0"/>
          <w:numId w:val="2"/>
        </w:numPr>
        <w:spacing w:after="60"/>
      </w:pPr>
      <w:r>
        <w:rPr>
          <w:b/>
        </w:rPr>
        <w:t xml:space="preserve">Apalancamiento</w:t>
      </w:r>
      <w:r>
        <w:t xml:space="preserve">: 4.069 M de deuda y arrendamientos; el bajista deja el valor de la acción en 2,26 USD.</w:t>
      </w:r>
    </w:p>
    <w:p>
      <w:pPr>
        <w:pStyle w:val="ListParagraph"/>
        <w:numPr>
          <w:ilvl w:val="0"/>
          <w:numId w:val="2"/>
        </w:numPr>
        <w:spacing w:after="60"/>
      </w:pPr>
      <w:r>
        <w:rPr>
          <w:b/>
        </w:rPr>
        <w:t xml:space="preserve">Oferta de papel</w:t>
      </w:r>
      <w:r>
        <w:t xml:space="preserve">: Apollo (18,9 %) y Silver Point (9,0 %) entraron en el Chapter 11 y el flotante es del 21 % [19].</w:t>
      </w:r>
    </w:p>
    <w:p>
      <w:pPr>
        <w:pStyle w:val="ListParagraph"/>
        <w:numPr>
          <w:ilvl w:val="0"/>
          <w:numId w:val="2"/>
        </w:numPr>
        <w:spacing w:after="60"/>
      </w:pPr>
      <w:r>
        <w:rPr>
          <w:b/>
        </w:rPr>
        <w:t xml:space="preserve">Sin historia de múltiplos</w:t>
      </w:r>
      <w:r>
        <w:t xml:space="preserve">: el ADS cotiza desde nov-2025 y el objetivo a 12 meses usa el PER de hoy.</w:t>
      </w:r>
    </w:p>
    <w:p>
      <w:pPr>
        <w:pStyle w:val="Heading2"/>
      </w:pPr>
      <w:r>
        <w:t xml:space="preserve">Qué tiene que pasar para que la tesis funcione</w:t>
      </w:r>
    </w:p>
    <w:p>
      <w:pPr>
        <w:spacing w:after="100"/>
      </w:pPr>
      <w:r>
        <w:t xml:space="preserve">La tesis depende de que 2026 sea un año malo del ciclo y no el nuevo nivel: margen operativo del 3T26 dentro del 14-17 % de la guía, queroseno por debajo de 3,5 USD por galón y un convenio de pilotos sin huelga en noviembre. La señal de que no se cumple: una guía de 2027 con un margen EBITDAR por debajo del 26 % o una huelga de más de una semana. Después, cualquier colocación de Apollo o Silver Point con descuento.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en el 2T26 (17,5 % en el 2T25); guía del 3T26 del 14-17 %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14 % en el 3T26 o del 15,5 %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BPA de 2027 supone volver al margen de 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queroseno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con 3,2 USD por galón en el 3T26 y 3,0 en el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3,5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21 % de las ventas, sin coberturas.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Negociación con ASPA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Oferta del 3,2 % rechazada; prórroga hasta mediados de noviembre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Huelga o subida por encima del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Condición de la compra.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doméstica (AFAC)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presión de Volaris y Viva.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apalancamiento multiplica el ciclo.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4,1x / 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 / 7,3x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Aeroméxico nace en 1934 y fue de propiedad estatal hasta su privatización; en 2012 volvió a la Bolsa Mexicana con Grupo Aeroméxico como cabecera [1]. Delta, socia desde la fundación de SkyTeam en 2000, compró el 49 % en 2017 y firmó con ella una empresa conjunta con inmunidad antimonopolio para las rutas EE. UU.-México desde 2016 [1]. La pandemia llevó al grupo al Chapter 11 en junio de 2020; salió en marzo de 2022 con Apollo como nuevo accionista de referencia, deuda y arrendamientos renegociados y la bolsa mexicana abandonada [1]. Tomó el control de PLM (fidelización) en 2022, devolvió 1.298 M a sus accionistas en 2023-2025 y volvió a cotizar en la NYSE y la BMV el 6-nov-2025 a 19 USD por ADS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(Aeronaves de México)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 SkyTeam con Delta, Air France y Korean Air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conjunta con Delta en las rutas transfronterizas, con inmunidad antimonopolio del DOT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Delta sube al 49 % del capital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Chapter 11 en Nueva York por la pandemia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del Chapter 11 (marzo) con Apollo como mayor accionista; control de PLM (julio)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garantizados de 1.110 M y reducción de capital de 818,5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DOT ordena terminar la inmunidad de la empresa conjunta con Delta (septiembre); salida a bolsa en NYSE y BMV (6 de noviembre)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Tribunal de Apelación del 11.º Circuito anula la orden del DOT (20 de agosto); propuesta de recompra de 100 M al año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Grupo Aeroméxico es la única aerolínea de red (full service) con base en México y la única que vuela largo radio desde el país: 169 aviones a jun-2026 (135 Boeing 737 y 787 de Aeroméxico y 34 Embraer 190 de Aeroméxico Connect), 48 destinos nacionales y 51 internacionales, con el centro de operaciones en la Terminal 2 del aeropuerto de Ciudad de México (MEX), saturado y con franjas limitadas [1]. En 2025 el pasaje dio el 90,7 % de los ingresos, la carga el 5,8 % y el resto la fidelización (Aeroméxico Rewards) y otros servicios [1]. El 63,3 % del pasaje es internacional, sobre todo EE. UU., donde opera con Delta en una empresa conjunta que reparte ingresos y coordina horarios [1]. Clientes: viajero de negocios y de ocio menos sensible al precio, con tres clases de cabina [1].</w:t>
      </w:r>
    </w:p>
    <w:p>
      <w:pPr>
        <w:pStyle w:val="Heading2"/>
      </w:pPr>
      <w:r>
        <w:t xml:space="preserve">Cómo gana dinero</w:t>
      </w:r>
    </w:p>
    <w:p>
      <w:pPr>
        <w:spacing w:after="100"/>
      </w:pPr>
      <w:r>
        <w:t xml:space="preserve">Vende asientos-milla a una tarifa (14,7 centavos de USD por pasajero-milla en el 2T26) y el margen depende de llenar el avión (factor de ocupación del 84,9 % en el 2T26) y de controlar el coste por asiento-milla, del que el combustible es la partida mayor (21,2 % de los ingresos en 2025, 33 % en el 2T26) [1, 4]. Casi la mitad de los costes no combustibles (salarios, aeropuertos, servicios) están en pesos y los ingresos domésticos también: un peso fuerte sube el CASM (+12,3 % en el 2T26) [1]. El apalancamiento operativo es alto: con la flota arrendada y la plantilla fija, un punto de ocupación o de tarifa va casi entero al EBIT. Estacionalidad: julio-agosto, Semana Santa y diciembre altos; febrero, septiembre y octubre bajos [1]. La fidelización y el premium (43 % del pasaje) dan la parte más estable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Pasaje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Pasaje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Clientela atomizada: ningún cliente relevante; la venta indirecta (agencias) cuesta 97 M en comisiones en 2025 [1]. Poder de precios demostrado: en el 2T26 la tarifa por pasajero-milla subió un 11,4 % y recuperó un 75 % del encarecimiento del combustible, en un mercado con dos ULCC (Volaris y Viva) que llevan años sin aviones por las inspecciones de los motores Pratt &amp; Whitney GTF [1]. En 2025, en cambio, los ingresos por pasaje bajaron un 5,6 % con la capacidad plana: el poder de precios depende del ciclo y de la capacidad de la competencia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Pasajeros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24.400 (2025, estimación: 17.966 en ene-sep-26, −2,5 %)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domésticos; más internacionales [2,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doméstica (pasajeros, AFAC)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de capacidad doméstica hacia rutas internacionales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internacional desde y hacia México (AFAC)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 con Delta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premium sobre los de pasaje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CASM sin combustible (centavos de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fuerte (+11,3 %), salarios y flota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Flota operativa (aviones)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Edad media 8,9 años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Puntualidad a 15 minutos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92,0 %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pp vs 2T25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más puntual del mundo entre las globales en 2024 y 2025 según Diio [1,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Transporte aéreo de pasajeros con origen o destino en México (doméstico e internacional), el mercado donde Aeroméxico tiene su cuota. No hay un tamaño publicado en dólares con dos fuentes; se usa el número de pasajeros de la AFAC, deducido de las cuotas que publica la empresa (estimación propia: domésticos = pasajeros domésticos de Aeroméxico ÷ su cuota) [1]. La Organización de Aviación Civil (vía Banco Mundial) da un crecimiento del 6,0 % anual de los pasajeros de México en 2014-2024, cuatro veces el PIB real (1,3 %)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64 M de pasajeros domésticos en 2025 (estimación propia: 15,9 M de Aeroméxico ÷ 25 % de cuota AFAC) y ≈ 90 M internacionales (12,6 M con Delta ÷ 14 %)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pasajeros domésticos (estimación propia desde cuotas AFAC))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baja del avión en México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0,5 viajes domésticos por habitante (AFAC) y pasajeros creciendo al 6,0 % anual en 2014-2024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queroseno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26,7 % de los ingresos en 2023 al 21,2 % en 2025; +79,6 % por galón en el 2T26 por la guerra de Oriente Medio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cambio peso-dólar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peso fuerte sube ingresos domésticos en dólares y costes locales: CASM sin combustible +12,3 % con el peso +11,3 % en el 2T26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de la competencia (motores GTF de Volaris y Viva)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Aeroméxico vuela CFM LEAP y GE: no le afectan las retiradas de los Pratt &amp; Whitney GTF de sus rivales A320neo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Relación EE. UU.-México en aviación (franjas en MEX, inmunidad de la empresa conjunta)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DOT ordenó terminar la inmunidad en sep-2025; el tribunal la anuló en ago-2026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ULCC con el 70 % del doméstico y grandes de EE. UU. en el transfronterizo; Aeroméxico perdió 3 pp de cuota doméstica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Clientela atomizada y sensible al precio en ocio; el viajero de negocios paga por red y puntualidad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Boeing, Embraer, CFM y GE exclusivos; combustible de ASA y World Fuel a precio de mercado; sindicatos con el 70 % de la plantilla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Franjas de MEX saturadas y concesión de la SICT; entrada de Mexicana (estatal) sin cuota relevante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Autobús en distancias cortas; el pasaje se pasa del autobús al avión [1].</w:t>
            </w:r>
          </w:p>
        </w:tc>
      </w:tr>
    </w:tbl>
    <w:p>
      <w:pPr>
        <w:spacing w:after="160" w:before="0"/>
      </w:pPr>
    </w:p>
    <w:p>
      <w:pPr>
        <w:pStyle w:val="Heading2"/>
      </w:pPr>
      <w:r>
        <w:t xml:space="preserve">Ciclo</w:t>
      </w:r>
    </w:p>
    <w:p>
      <w:pPr>
        <w:spacing w:after="100"/>
      </w:pPr>
      <w:r>
        <w:t xml:space="preserve">La demanda internacional y la tarifa siguen altas (TRASM +10,5 % en el 2T26) pero el combustible ha comprimido los márgenes y el doméstico se enfría (pasajeros −2,5 % en ene-sep-2026) [4, 10]. En 2008-09 la aviación mexicana cayó con la gripe A y la recesión; en 2020 Aeroméxico perdió 1.997 M y entró en Chapter 11; en 2022 el combustible caro dejó el beneficio neto en pérdidas (−64 M) [1, 3].</w:t>
      </w:r>
    </w:p>
    <w:p>
      <w:pPr>
        <w:pStyle w:val="Heading2"/>
      </w:pPr>
      <w:r>
        <w:t xml:space="preserve">Regulación</w:t>
      </w:r>
    </w:p>
    <w:p>
      <w:pPr>
        <w:spacing w:after="100"/>
      </w:pPr>
      <w:r>
        <w:t xml:space="preserve">Concesión de la SICT para el transporte doméstico; límite legal del 49 % de voto extranjero en aerolíneas mexicanas (la mayoría del consejo la nombran inversores mexicanos) [1]. MEX tiene franjas limitadas por decreto y la carga se trasladó a AIFA en 2023, lo que motivó la orden del DOT de jul-2025 contra la inmunidad de la empresa conjunta con Delta, anulada por el 11.º Circuito el 20-ago-2026 [1]. Tasas aeroportuarias (TUA) al alza con los planes maestros de los grupos aeroportuarios [1].</w:t>
      </w:r>
    </w:p>
    <w:p>
      <w:pPr>
        <w:pStyle w:val="Heading2"/>
      </w:pPr>
      <w:r>
        <w:t xml:space="preserve">Tendencias y disrupción</w:t>
      </w:r>
    </w:p>
    <w:p>
      <w:pPr>
        <w:spacing w:after="100"/>
      </w:pPr>
      <w:r>
        <w:t xml:space="preserve">Más tráfico internacional y premium: Aeroméxico pasó del 60,1 % al 63,3 % de pasaje internacional en 2025 y del 42 % al 43 % de premium [1]. Los ULCC crecen en el doméstico (Volaris +8,7 % de pasajeros en ene-sep-2026 frente a −2,5 % de Aeroméxico) [17]. Gana con el premium, la fidelización y las rutas largas; pierde cuota doméstica de precio bajo.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2.º-3.º del doméstico mexicano por pasajeros (25 %, AFAC 2025) y única de red; 14 % del tráfico internacional de México (21 % con Delta)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Volaris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México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VLRS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ULCC A320neo con motores GTF; EBITDA de 12 meses del 6,3 % de los ingresos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Viva Aerobus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México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ULCC privada (Grupo IAMSA); no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Copa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Panamá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con centro en Panamá; margen EBITDA del 27,7 %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Delta Air Lines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Socia y accionista (18,7 %) [1,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United Airlines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UAL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rival en el transfronterizo desde Houston, Newark y Chicago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Única red de largo radio de México, SkyTeam y Delta: 21 % del tráfico internacional con la socia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Aeroméxico Rewards y la tarjeta de crédito; el viajero de ocio cambia por precio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Franjas en MEX saturado, concesión y marca; premium del 43 % de los ingresos de pasaje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CASM sin combustible de 10,0 centavos en el 2T26, por encima de los ULCC; más bajo que las de red de EE. UU. según la empresa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Largo radio desde México sin rival local; el doméstico admite tres operadores [1].</w:t>
            </w:r>
          </w:p>
        </w:tc>
      </w:tr>
    </w:tbl>
    <w:p>
      <w:pPr>
        <w:spacing w:after="160" w:before="0"/>
      </w:pPr>
    </w:p>
    <w:p>
      <w:pPr>
        <w:pStyle w:val="Heading2"/>
      </w:pPr>
      <w:r>
        <w:t xml:space="preserve">Amenazas</w:t>
      </w:r>
    </w:p>
    <w:p>
      <w:pPr>
        <w:spacing w:after="100"/>
      </w:pPr>
      <w:r>
        <w:t xml:space="preserve">Que el DOT vuelva a atacar la inmunidad de la empresa conjunta con Delta tras perder en el 11.º Circuito (probabilidad media), que los ULCC recuperen los aviones parados por los GTF y bajen la tarifa doméstica (alta en 2027-2028), y que las franjas de MEX se redistribuyan o el gobierno empuje operaciones a AIFA (media)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t xml:space="preserve">Crecimiento anual compuesto 2021-2025: ingresos </w:t>
      </w:r>
      <w:r>
        <w:rPr>
          <w:b/>
          <w:bCs/>
        </w:rPr>
        <w:t xml:space="preserve">24,4 %</w:t>
      </w:r>
      <w:r>
        <w:t xml:space="preserve">, EBITDA </w:t>
      </w:r>
      <w:r>
        <w:rPr>
          <w:b/>
          <w:bCs/>
        </w:rPr>
        <w:t xml:space="preserve">70,9 %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2.237,7 M USD en 2021 (pandemia y Chapter 11) a 5.619,9 M en 2024 y bajaron a 5.360,6 M en 2025 (−4,6 %), con la capacidad plana y la tarifa a la baja por la competencia doméstica y la depreciación del peso de 2024 [1]. Sin compras relevantes salvo la consolidación de PLM en 2022 [2]. El margen EBIT normalizado (sin participadas ni partidas no recurrentes) fue del 14,7 % en 2023, 15,9 % en 2024 y 15,9 % en 2025; el combustible bajó del 26,7 % de los ingresos en 2023 al 21,2 % en 2025 [1]. En 2026 el conflicto de Oriente Medio subió el queroseno a 4,20 USD por galón en el 2T26 (+79,6 %): el margen operativo del 1S26 cayó al 7,4 % desde el 14,9 % y el 2T26 dio una pérdida neta de 57,7 M [4]. La empresa no cubre el combustible desde 2020 [1]. No comparables: 2021 (Chapter 11: 419 M de gastos de reestructuración), 2022 (plusvalía de PLM de 307,7 M e ingresos de reestructuración de 114,1 M) [2, 3].</w:t>
      </w:r>
    </w:p>
    <w:p>
      <w:pPr>
        <w:pStyle w:val="Heading2"/>
      </w:pPr>
      <w:r>
        <w:t xml:space="preserve">Ajustes y partidas no recurrentes</w:t>
      </w:r>
    </w:p>
    <w:p>
      <w:pPr>
        <w:spacing w:after="100"/>
      </w:pPr>
      <w:r>
        <w:t xml:space="preserve">Cifras reportadas NIIF. En el EBITDA se separan: participadas (2022: 329,6 M, de ellos 307,7 M de revaluación de PLM; 2025: 77,2 M, de ellos 71,1 M de la venta de TechOps MX) y no recurrentes (2021: reestructuración 419,2 M menos reversión de deterioros 50,7 M; 2022: ingresos de reestructuración 114,1 M y reversión 1,2 M; 2024: 160,3 M favorables por la compensación de Boeing por el 737 MAX y caducidad de billetes; 2025: 4,3 M de costes de la salida a bolsa y 3,7 M de reversión) [1, 2, 3, 6]. El EBITDAR ajustado de la empresa suma el alquiler de corto plazo de aviones (17,7 M en 2025) y no es el EBITDA del informe. El BPA es por ADS (10 acciones); 2021 sin BPA comparable (las acciones antiguas se anularon en el Chapter 11) y 2022 calculado con las acciones de después del desdoblamiento de 2025 (estimación).</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4T25 (17-feb-2026) la dirección guio 2026 con ingresos de 5.770-5.880 M USD, margen EBITDAR del 28,5-30,5 % y margen operativo del 15-17 % [6]. La guerra de Oriente Medio cambió el discurso: en el 1T26 el margen operativo (10,6 %) quedó en el extremo bajo de la guía y en el 2T26 el combustible costó unos 30 M más de lo previsto, con un margen EBITDAR del 17,9 % y operativo del 4,6 % [4, 5]. La guía de julio sube los ingresos a 6.050-6.120 M (+13-14 %) por la tarifa y el peso fuerte, pero baja el margen EBITDAR al 24-26 % y el operativo al 11-13 %, con un queroseno supuesto de 3,2 USD por galón en el 3T y 3,0 en el 4T y un tipo de 17,5-17,6 pesos por dólar [4]. La dirección insiste en que recuperó un 75 % del combustible extra con precio, en el récord de ingresos premium (43 % de los de pasaje) y en que no ha pedido deuda nueva [4, 8]. El BPA del 2T26 (−0,40 USD por ADS) quedó 0,19 por debajo del consenso [9]. Lo que no se cuantificó: el coste de la revisión del contrato de pilotos (vencido el 30-sep-2026), el efecto de los motores LEAP en tierra en 2026 y cuánto del segundo semestre depende de que el queroseno baje [1,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(2022: Toma de control de PLM (Aeroméxico Rewards, antes Club Premier) en julio de 2022: entra en consolidación con 1.000 M USD de intangibles y fondo de comercio y una plusvalía de 307,7 M por revaluar el 51,14 % previo.; 2025: Venta del 50 % de TechOps MX (mantenimiento, conjunta con Delta) en noviembre de 2025: plusvalía de 71,1 M en el resultado de participadas.).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(bonos y préstamos) bajó de 1.688,7 M USD en 2021 a 1.098,9 M en 2025, pero los arrendamientos subieron de 2.023,7 M a 2.956,1 M por la llegada de 737 MAX y 787 (flota de 144 a 165 aviones) [1, 3]. La deuda ajustada de la empresa (préstamos y arrendamientos menos caja) fue de 3.032 M a 30-jun-2026, menos de 2 veces el EBITDAR [4]. El circulante comercial es negativo (−836,6 M en 2025) porque los proveedores y los billetes cobrados por adelantado superan a los clientes: crecer libera caja [1]. El patrimonio neto atribuido es negativo (−594,3 M en 2025; −2.647,3 M en 2021) por las pérdidas acumuladas de la pandemia y del Chapter 11 y por 1.299 M devueltos a los accionistas en reducciones de capital en 2023-2025 [1, 3]: es contable, no falta de solvencia corriente, pero deja sin sentido el ROE y cualquier ROIC que use el patrimonio.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514</w:t>
      </w:r>
      <w:r>
        <w:t xml:space="preserve">, conversión </w:t>
      </w:r>
      <w:r>
        <w:rPr>
          <w:b/>
          <w:bCs/>
        </w:rPr>
        <w:t xml:space="preserve">324 %</w:t>
      </w:r>
      <w:r>
        <w:t xml:space="preserve"> del beneficio neto; adquisiciones 263, dividendos 0, recompras 1.341.</w:t>
      </w:r>
    </w:p>
    <w:p>
      <w:pPr>
        <w:spacing w:after="100"/>
      </w:pPr>
      <w:r>
        <w:t xml:space="preserve">El flujo operativo ya va después de intereses (328,1 M pagados en 2025) e impuestos [1]. El capex incluye inmovilizado y mantenimiento mayor, intangibles y depósitos para mantenimiento y compra de equipo; los pagos de principal de arrendamientos se restan aparte. 2021-2022 son anómalos: en 2022 se pagaron 464 M de créditos ordinarios del Chapter 11 y se compró el control de PLM por 262,9 M [3]. En 2023-2024 el FCF después de arrendamientos fue de 622 y 527 M; en 2025 bajó a 161 M por el menor beneficio y la salida de 111 M de billetes cobrados por adelantado [1]. Lo que se ha llevado la caja: 1.298,3 M a los accionistas en reducciones de capital en 2023-2025, antes de la salida a bolsa [1]. No hay cifra de la empresa para el capex de mantenimiento; estimación propia: el de mantenimiento ronda la amortización (13-14 % de los ingresos sumando el principal de los arrendamientos), y las altas de derechos de uso de 2025 (854,4 M) son sobre todo crecimiento de flota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Cárdenas Dosal, S.C.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asunto clave: los tipos incrementales de los arrendamientos de flota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desde 2007 y su opinión de 2025 es favorable; el asunto clave de auditoría son los tipos de interés incrementales con los que se miden 854,4 M de derechos de uso y 806,3 M de pasivos por arrendamiento añadidos en 2025, un juicio que mueve el pasivo y la amortización [1]. Las cuentas mezclan muchos no recurrentes: compensación de Boeing y caducidad de billetes (165,8 M en 2024), plusvalías por PLM (307,7 M en 2022) y TechOps (71,1 M en 2025), reestructuración (419 M en 2021) [1, 2, 3]. El tipo efectivo es irregular (15 % en 2025, 11 % en 2024, 206 % en 2022) por las pérdidas fiscales y los activos diferidos (280 M en 2025) [1]. La remuneración en acciones es pequeña (0,7 M en 2025; 17,7 M en 2024) [1]. Lectura de los indicadores: el Altman Z sale muy bajo por el patrimonio negativo y las reservas negativas, que no miden la solvencia actual (liquidez de 1.237 M); el Piotroski y el Beneish se leen con los años 2021-2022 fuera de muestra por el Chapter 11.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neto negativo y reservas negativas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Herencia de la pandemia y del Chapter 11 y de 1.298 M de reducciones de capital en 2023-2025 [1]. Distorsiona ROE, ROIC por pasivo y Altman Z.</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con partidas no recurrentes repetidas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165,8 M en 2024 y 77,2 M de participadas en 2025 (TechOps) [1]. Se separan en el EBITDA.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incrementales de los arrendamientos (asunto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Juicio sobre 806 M de pasivos nuevos en 2025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44,4 % · </w:t>
      </w:r>
      <w:r>
        <w:rPr>
          <w:b/>
          <w:bCs/>
        </w:rPr>
        <w:t xml:space="preserve">WACC</w:t>
      </w:r>
      <w:r>
        <w:t xml:space="preserve">: 9,8 %.</w:t>
      </w:r>
    </w:p>
    <w:p>
      <w:pPr>
        <w:spacing w:after="100"/>
      </w:pPr>
      <w:r>
        <w:t xml:space="preserve">El ROIC del informe ya cuenta los aviones arrendados: el capital invertido suma patrimonio, deuda y arrendamientos (2.956 M en 2025) y resta la caja, así que el patrimonio negativo tras el Chapter 11 (−594 M) no lo infla. Da un 32,9 % en 2025 (45,3 % en 2024 y 39,9 % en 2023) frente a un WACC del 9,78 %: unos 23 puntos de diferencia, no los +150 de los filtros que dividen por un patrimonio negativo o casi nulo y olvidan los arrendamientos. Lo comprobamos por el activo: inmovilizado con derechos de uso, intangibles, depósitos y circulante menos el anticipo de billetes y el programa de puntos suman unos 2.708 M de media en 2024-2025 [1]. Con ese capital el ROIC es del 26,7 %, y con un EBIT de mitad de ciclo (12,3 % de margen sobre 6.084 M) y el 30 % de impuestos, del 17,5 % [40]. Lo mueve el margen y una rotación de 2 veces. El ROIC incremental (44,4 %) recoge la salida del Chapter 11 y no se repite. Copa (16,6 %) y LATAM (27,1 %) quedan por debajo [14, 28]: Aeroméxico crea valor con holgura incluso a mitad de ciclo.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1.037 M USD a 30-jun-2026 más una línea de crédito revolvente de 200 M sin disponer: liquidez de 1.237 M, el 21,8 % de los ingresos de 12 meses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Los bonos garantizados de 2029 y 2031 tienen rating; la nota y la perspectiva no se han comprobado en fuente primaria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 por billetes vendidos y no volados 505,9 M y programa de fidelización 632,8 M (288,7 corriente y 344,1 no corriente) a dic-2025: son cobros anticipados que financian el circulante, no deuda [1]. Provisiones no corrientes 331,6 M (sobre todo condiciones de devolución de aviones arrendados: se tratan como deuda en el puente) y beneficios a empleados 274,1 M [1]. Bonos garantizados: 500 M al 8,25 % con vencimiento en 2029 y 610 M al 8,625 % en 2031, con prenda sobre casi todos los activos y covenants de incurrencia (deuda, ventas de activos, dividendos y pagos restringidos); amortizables desde nov-2026 al 104,125 % y nov-2027 al 104,313 % [1]. Pasivos por arrendamiento NIIF 16 de 2.879,1 M más 77,0 M de arrendamientos financieros con garantía del EXIM [1]. La empresa dice cumplir todos los covenants [1].</w:t>
      </w:r>
    </w:p>
    <w:p>
      <w:pPr>
        <w:pStyle w:val="Heading1"/>
      </w:pPr>
      <w:r>
        <w:t xml:space="preserve">12. Asignación de capital</w:t>
      </w:r>
    </w:p>
    <w:p>
      <w:pPr>
        <w:pStyle w:val="Confianza"/>
        <w:spacing w:after="100"/>
      </w:pPr>
      <w:r>
        <w:t xml:space="preserve">Confianza: Media</w:t>
      </w:r>
    </w:p>
    <w:p>
      <w:pPr>
        <w:spacing w:after="100"/>
      </w:pPr>
      <w:r>
        <w:t xml:space="preserve">Sin dividendos desde la salida del Chapter 11; los bonos limitan los pagos restringidos [1]. El programa de recompra estaba suspendido en abril de 2026 [11]. El 24-ago-2026 la empresa anunció que llevará a la junta un programa de recompra de hasta 100 M USD al año, con la junta convocada el 26-oct-2026 [12]. Prioridades declaradas: flota (737 MAX y 787), producto premium y desapalancamiento; en el 2T26 amortizó 17,1 M de deuda y no pidió deuda nueva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PLM (Aeroméxico Rewards, antes Club Premier), compra de la participación de Aimia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la financiación de salida del Chapter 11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307,7 M por revaluar el 51,14 % previo; el programa pasó a acumular por gasto y apoya el 43 % de ingresos premium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del 50 % de TechOps MX (mantenimiento) a Delta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Plusvalía de 71,1 M; el mantenimiento sigue en Querétaro con contratos a terceros [1].</w:t>
            </w:r>
          </w:p>
        </w:tc>
      </w:tr>
    </w:tbl>
    <w:p>
      <w:pPr>
        <w:spacing w:after="160" w:before="0"/>
      </w:pPr>
    </w:p>
    <w:p>
      <w:pPr>
        <w:spacing w:after="100"/>
      </w:pPr>
      <w:r>
        <w:t xml:space="preserve">La asignación de capital desde 2023 se ha hecho para los dueños del Chapter 11: 1.298,3 M devueltos en reducciones de capital (275,2 M en 2023, 818,5 M en 2024 y 204,6 M en 2025), financiados en parte con los bonos de 2024, mientras la flota se renovaba con arrendamientos [1]. La salida a bolsa de nov-2025 levantó solo 165,6 M netos para la empresa: la mayoría de las acciones las vendieron accionistas [1, 2]. La dilución ha sido moderada (de 136,4 a 145,9 M de ADS equivalentes, +7 %) [1]. La propuesta de recompra de 100 M al año (4,3 % de la capitalización) es la primera vía de retorno para los nuevos accionistas [12].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Conesa Labastida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Doctor en Economía por el MIT y exfuncionario de Hacienda (deuda pública y política económica); dirige la aerolínea desde 2005, presidió IATA en 2015 y SkyTeam desde 2023 [1]. Llevó a la empresa por el Chapter 11 de 2020-2022 y a la salida a bolsa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Ricardo Javier Sánchez Baker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Doctor en Economía por UCLA, exsubdirector de deuda pública en Hacienda; director financiero desde 2006 y presidente de PLM en 2019-2023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Aaron James Murray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24 años en Northwest y Delta antes de llegar en 2021 [1]. Vendió acciones por 2,0 M USD en 2026 según sus Form 4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Francisco Javier de Arrigunaga Gómez del Campo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 consejero independiente según la junta de enero de 2026 [1,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Nov-2025: ingresos −5,5 % a −4,5 %, margen EBITDAR 29-30 %, margen operativo 15-16 %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−4,6 %, EBITDAR 31 % (30 % normalizado), margen operativo 17,3 % (16,1 % normalizado)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(1T)</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Feb-2026: ingresos 1.300-1.330 M, margen operativo 11-13 %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1.341 M y 10,6 %, extremo bajo con el combustible disparado desde marzo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(2T)</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Abr-2026: ingresos 1.470-1.520 M, EBITDAR 17-20 %, margen operativo 4-7 %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1.479 M, 17,9 % y 4,6 %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Feb-2026: margen EBITDAR 28,5-30,5 % y operativo 15-17 %; jul-2026: 24-26 % y 11-13 %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(recortada por el combustible)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el director general (desde 2005) y el financiero (desde 2006) llevan dos décadas y han pasado una reestructuración completa sin perder la red ni la marca [1]. Cumplen la guía cuando el combustible no se mueve (2025, 2T26) y la recortan con transparencia cuando se mueve (jul-2026) [4]. En marzo de 2026 consejeros y directivos compraron 103.212 ADS en mercado [21]; Eduardo Tricio compró por 1,32 M y el director comercial vendió por 2,01 M [20]. No hay plan de sucesión público para el director general.</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Francisco Javier de Arrigunaga Gómez del Campo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Conesa Labastida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general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Luis Fernando Gerardo de la Calle Pardo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Prácticas Societarias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Donald Lee Moak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Jorge Andrés Vilches Martínez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J. Wartell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Peter W. Carter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(designado por Delta)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Antoine George Munfakh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(Apollo)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Bogdan Ignashchenko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Eduardo Tricio Haro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(inversores mexicanos)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Antonio Cosío Pando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(inversores mexicanos)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Valentín Diez Morodo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(inversores mexicanos)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Jorge Esteve Recolons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(inversores mexicanos)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Andrés Borrego y Marrón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Myriam Guadalupe de la Vega Arizpe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(propuesta de los inversores mexicanos)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asunto clave: los tipos incrementales de los arrendamientos de flota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1,32 / ventas 2,01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Apollo (AP Aguila Holdings)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capital privado (dueño desde el Chapter 11)</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a 30-jun-2026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Delta Air Lines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estratégico (derecho estatutario a nombrar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49 % de 2017 tras el Chapter 11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Fondos de Silver Point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crédito (acreedor convertido)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SVP Funds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crédito (acreedor convertido)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Banco Actinver F/5292 (fideicomiso)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Fideicomiso mexicano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Eduardo Tricio Haro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(inversor mexicano)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Compró por 1,32 M USD en 2026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 y directivos (agregado)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1.032.120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Eduardo Tricio Haro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Aaron James Murray (director comercial)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20-F no individualiza la remuneración: consejeros y altos ejecutivos cobraron 49,8 M USD en conjunto en 2025, con fijo, bonos anuales y acciones restringidas [1]. Los bonos los aprueba la comisión de nombramientos y compensación con factores de desempeño que no se publican; el plan de acciones nació en 2022 con un incentivo único por la salida del Chapter 11 (MIP) y un plan a largo plazo con entrega anual (LTIP): 49,9 M de acciones asignadas y 40,0 M ya consolidadas a dic-2025 [1]. Sin indemnizaciones pactadas; no hay cláusula de recuperación pública más allá de la norma de la NYSE [1]. Como emisor extranjero no somete la remuneración a voto consultivo; la junta aprueba la de los consejeros [11].</w:t>
      </w:r>
    </w:p>
    <w:p>
      <w:pPr>
        <w:pStyle w:val="Heading2"/>
      </w:pPr>
      <w:r>
        <w:t xml:space="preserve">Operaciones vinculadas, estructura de control y defensas</w:t>
      </w:r>
    </w:p>
    <w:p>
      <w:pPr>
        <w:spacing w:after="100"/>
      </w:pPr>
      <w:r>
        <w:t xml:space="preserve">No hay accionista de control: Apollo (18,9 %) y Delta (18,7 %) son los mayores, seguidos de dos fondos de crédito que se quedaron acciones en el Chapter 11 (Silver Point 9,0 %, SVP 6,5 %) [1]. La ley mexicana limita el voto extranjero en aerolíneas al 49 % y los estatutos exigen que la mayoría del consejo la nombren inversores mexicanos; las acciones de extranjeros por encima del límite votan restringidas [1, 18]. Delta tiene derecho estatutario a nombrar un consejero como «socio estratégico» [18]. Operaciones vinculadas relevantes con Delta: la empresa conjunta que reparte ingresos transfronterizos, la compra de combustible conjunta y la venta de TechOps MX en 2025 [1]. Los fondos de capital privado y de crédito llevan cuatro años dentro: son vendedores naturales (riesgo de colocación).</w:t>
      </w:r>
    </w:p>
    <w:p>
      <w:pPr>
        <w:pStyle w:val="Heading2"/>
      </w:pPr>
      <w:r>
        <w:t xml:space="preserve">Señales de alerta</w:t>
      </w:r>
    </w:p>
    <w:p>
      <w:pPr>
        <w:pStyle w:val="ListParagraph"/>
        <w:numPr>
          <w:ilvl w:val="0"/>
          <w:numId w:val="2"/>
        </w:numPr>
        <w:spacing w:after="60"/>
      </w:pPr>
      <w:r>
        <w:t xml:space="preserve">Apollo, Silver Point y SVP (34,4 % entre los tres) son dueños financieros desde 2022: colocaciones probables tras el fin del bloqueo de la salida a bolsa [1, 19].</w:t>
      </w:r>
    </w:p>
    <w:p>
      <w:pPr>
        <w:pStyle w:val="ListParagraph"/>
        <w:numPr>
          <w:ilvl w:val="0"/>
          <w:numId w:val="2"/>
        </w:numPr>
        <w:spacing w:after="60"/>
      </w:pPr>
      <w:r>
        <w:t xml:space="preserve">Contrato colectivo de los pilotos (ASPA) vencido el 30-sep-2026; emplazamiento a huelga prorrogado 45 días [22].</w:t>
      </w:r>
    </w:p>
    <w:p>
      <w:pPr>
        <w:pStyle w:val="ListParagraph"/>
        <w:numPr>
          <w:ilvl w:val="0"/>
          <w:numId w:val="2"/>
        </w:numPr>
        <w:spacing w:after="60"/>
      </w:pPr>
      <w:r>
        <w:t xml:space="preserve">Remuneración de la cúpula sin individualizar ni métricas públicas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del 13-jul-2026 (última confirmación): ingresos de 6.050-6.120 M USD (+13-14 %), capacidad +2-3 %, margen EBITDAR ajustado del 24-26 % y margen operativo del 11-13 %; 3T26: ingresos 1.590-1.620 M, EBITDAR 26,5-29,5 %, operativo 14-17 %; 4T26: 1.640-1.680 M, EBITDAR 28-31 %, operativo 15,5-18,5 %; con queroseno a 3,2 y 3,0 USD por galón y 17,5-17,6 pesos por dólar [4]. Sustituye a la de feb-2026 (ingresos 5.770-5.880 M, EBITDAR 28,5-30,5 %, operativo 15-17 %) [4]. No hay plan a medio plazo publicado.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(cifras en MXN pasadas a USD a 17,175, el cociente de su 2025)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2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20,00 – 36,00</w:t>
            </w:r>
          </w:p>
        </w:tc>
      </w:tr>
    </w:tbl>
    <w:p>
      <w:pPr>
        <w:spacing w:after="160" w:before="0"/>
      </w:pPr>
    </w:p>
    <w:p>
      <w:pPr>
        <w:pStyle w:val="Heading2"/>
      </w:pPr>
      <w:r>
        <w:t xml:space="preserve">Revisiones de estimaciones</w:t>
      </w:r>
    </w:p>
    <w:p>
      <w:pPr>
        <w:spacing w:after="100"/>
      </w:pPr>
      <w:r>
        <w:t xml:space="preserve">MarketScreener da un objetivo medio de 26,60 USD con 9 analistas y MarketBeat 28,06 USD con 11 (máximo 36, Evercore; mínimo 20, Jefferies) [24, 25]. Los objetivos van a la baja desde el combustible: Barclays de 32 a 25 USD (24-mar), JPMorgan de 28 a 26,5 (12-jun) y Jefferies inicia en Mantener con 20 (18-jun); Zacks baja a Mantener el 27-ago [25]. El BPA de 2026 de MarketScreener (1,62 USD por ADS) no cuadra con su propio beneficio neto (1.516 M MXN ≈ 88 M USD, 0,60 por ADS): mezcla analistas con fechas distintas; Stock Analysis da para 2026 un BPA por acción entre −0,06 y 0,06 USD (−0,6 y 0,6 por ADS) [24, 26]. Solo una fuente completa, contrastada en objetivos con otras dos.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bl>
    <w:p>
      <w:pPr>
        <w:spacing w:after="160" w:before="0"/>
      </w:pPr>
    </w:p>
    <w:p>
      <w:pPr>
        <w:spacing w:after="100"/>
      </w:pPr>
      <w:r>
        <w:t xml:space="preserve">Cotiza desde el 6-nov-2025 a 19,00 USD por ADS [2]; marcó un máximo de 23,05 USD el 26-dic-2025 y cayó un 46 % hasta 12,26 USD el 20-mar-2026 con la guerra de Oriente Medio y el queroseno [23]. En el año pierde un 27,2 % frente al +12,8 % del S&amp;P 500 y el −7,9 % del ETF de aerolíneas JETS: peor que el sector porque no cubre combustible y porque el peso fuerte encarece sus costes [4, 23]. Sin beta de 5 años (menos de un año cotizando). Posición corta del 1,03 % de las acciones [27].</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 +3,1 % / -1,9 %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 / +29,3 %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hasta que se firme el contrato de los pilotos (prórroga hasta mediados de noviembre de 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máximo del 26-dic-2025 al mínimo del 20-mar-2026: guerra de Oriente Medio y cierre de Ormuz (queroseno +49 % en marzo), sin coberturas; −10,5 % el 23-feb por el cierre de aeropuertos de Jalisco y Nayarit y −14,9 % el 12-mar [1,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 un mes hasta el 21-abr con el alivio del petróleo y los resultados del 1T26 (ingresos +13,3 %)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(13-jul, −8,5 % ese día): pérdida de 57,7 M y guía de margen recortada [4,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el día en que el 11.º Circuito anuló la orden del DOT contra la empresa conjunta con Delta (noticia favorable): sin causa propia publicada [23,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19-oct tras el cierre y conferencia el 20-oct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Emplazamiento a huelga de los pilotos (ASPA) prorrogado 45 días desde el 1-oct: la empresa ofreció un 3,2 % y los pilotos lo rechazaron; vence hacia mediados de noviembre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que se firme el contrato de los pilotos o se aleje la huelga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del 26-oct para aprobar recompras de hasta 100 M USD al año [39]. Apollo (18,9 %), Silver Point (9,0 %) y SVP (6,5 %) siguen dentro; ninguna colocación anunciada, pero el bloqueo de la salida a bolsa venció en mayo y son vendedores naturales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11.º Circuito anula la orden del DOT que terminaba la inmunidad de la empresa conjunta con Delta; el DOT puede recurrir o reabrir el caso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CNBV pidió explicar movimientos inusuales del 18-sep; la empresa no conoce causa salvo la convocatoria de la junta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inicia en Mantener (20 USD); recortes de Barclays (a 25) y JPMorgan (a 26,5)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y directivos compran 103.212 ADS en mercado; el director comercial vende por 2,0 M en 2026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está un 30 % por debajo de su máximo y un 16 % por debajo del precio de salida, en tendencia bajista por la media de 200 sesiones (−3,4 %) aunque sube un 8 % en el último mes con el petróleo más bajo [23]. El hecho pendiente ajeno al análisis que puede mover el precio más de un 5 % es el emplazamiento a huelga de los pilotos, prorrogado hasta mediados de noviembre: retrasa. Los resultados del 3T26 (19-oct) no aplazan por sí solos (regla 11). El riesgo de colocación de Apollo y los fondos de crédito no tiene fecha y no retrasa, pero pesa en el precio. Buscado en los 6-K, 13G/A y Form 4 de EDGAR, MarketBeat, Seeking Alpha y prensa mexicana.</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Solo hay un cierre de ejercicio (2025: 21,96 USD) [23]: la acción vieja se anuló en el Chapter 11 y la nueva cotiza desde nov-2025. No hay historia de múltiplos útil; la valoración relativa se apoya en los comparables.</w:t>
      </w:r>
    </w:p>
    <w:p>
      <w:pPr>
        <w:pStyle w:val="Heading1"/>
      </w:pPr>
      <w:r>
        <w:t xml:space="preserve">18. Comparables cotizados</w:t>
      </w:r>
    </w:p>
    <w:p>
      <w:pPr>
        <w:pStyle w:val="Confianza"/>
        <w:spacing w:after="100"/>
      </w:pPr>
      <w:r>
        <w:t xml:space="preserve">Confianza: Media</w:t>
      </w:r>
    </w:p>
    <w:p>
      <w:pPr>
        <w:spacing w:after="100"/>
      </w:pPr>
      <w:r>
        <w:t xml:space="preserve">Aerolíneas cotizadas de América con datos del mismo proveedor y la misma fecha (Stock Analysis, cierre del 16-oct-2026): dos de red latinoamericanas (Copa, LATAM), la ULCC mexicana rival (Volaris) y cuatro de red de EE. UU., entre ellas Delta, socia y accionista. Fuera las europeas (otro ciclo de combustible y coberturas) y Viva Aerobus (no cotiza). El EBITDA de Stock Analysis no siempre usa la definición de las cuentas: se compara sobre todo el PER adelantado.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Aeroméxico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MX</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Copa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 Airlines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Volaris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MX</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Delta Air Lines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 Airlines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Airlines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Alaska Air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48"/>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 / 9,8x / 11,0x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Aeroméxico cotiza a 7,3 veces el BPA de los próximos 12 meses del consenso, frente a una mediana de 9,8 de los comparables (8,4-11,0), y a 4,1 veces el EBITDA de los últimos 12 meses frente a 5,3-6,1 de LATAM y Copa [14, 27, 28]. Solo se usa el EV/EBITDA de las dos que publican con NIIF 16 como Aeroméxico: las de EE. UU. (US GAAP) restan el alquiler de los aviones del EBITDA y Volaris sale con un margen del 6,3 % en el proveedor que no es el de sus cuentas, y no se comparan; el EV/ventas tampoco, porque depende de cuánta flota es propia. El descuento frente a Copa y LATAM, con ROIC del 16,6 % y del 27,1 %, se explica por la deuda (2,1 veces el EBITDA), el riesgo del peso y la huelga de pilotos; no por la rentabilidad, que es mayor. Usamos el PER de la mediana como referencia del alcista a 12 meses.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de +13,5 % en 2026, el centro de la guía de 6.050-6.120 M, que suma un 4,5 % de capacidad y precio y el peso fuerte (17,5 frente a 19,2 por dólar en 2025) en los ingresos domésticos [4]. Después, +6 % en 2027-2028 (capacidad del 4 % con los aviones de 2026 y precio del 2 %), bajando al 3,5 % en 2034-2035, por debajo del 6,0 % anual de los pasajeros de México en 2014-2024 [1].</w:t>
      </w:r>
    </w:p>
    <w:p>
      <w:pPr>
        <w:keepNext/>
        <w:spacing w:after="100"/>
      </w:pPr>
      <w:r>
        <w:rPr>
          <w:b/>
          <w:bCs/>
        </w:rPr>
        <w:t xml:space="preserve">Márgenes.</w:t>
      </w:r>
    </w:p>
    <w:p>
      <w:pPr>
        <w:spacing w:after="100"/>
      </w:pPr>
      <w:r>
        <w:t xml:space="preserve">Margen EBITDA del 24,7 % en 2026 (primer semestre de 592 M y la guía del segundo), del 27 % en 2027-2028, frente al 30,9 % de 2025 y al 30,6 % de 2024 con queroseno barato [1]. Desde 2031, un 25,5 % de mitad de ciclo, que equivale a cuatro años al 27,5 % y uno de crisis al 17,5 %: una aerolínea no mantiene el margen de un buen año.</w:t>
      </w:r>
    </w:p>
    <w:p>
      <w:pPr>
        <w:keepNext/>
        <w:spacing w:after="100"/>
      </w:pPr>
      <w:r>
        <w:rPr>
          <w:b/>
          <w:bCs/>
        </w:rPr>
        <w:t xml:space="preserve">Inversión y circulante.</w:t>
      </w:r>
    </w:p>
    <w:p>
      <w:pPr>
        <w:spacing w:after="100"/>
      </w:pPr>
      <w:r>
        <w:t xml:space="preserve">Capex del 19 % de las ventas en 2026 y del 15,5 % al final, incluidas las altas de aviones arrendados (854 M en 2025 más 386 M de inversión propia, el 23 % de las ventas) [1], porque el puente resta los arrendamientos como deuda. Amortización del 13,2 % (13,6 % en 2025). Circulante negativo del 15 % de las ventas por el anticipo de billetes y los puntos.</w:t>
      </w:r>
    </w:p>
    <w:p>
      <w:pPr>
        <w:keepNext/>
        <w:spacing w:after="100"/>
      </w:pPr>
      <w:r>
        <w:rPr>
          <w:b/>
          <w:bCs/>
        </w:rPr>
        <w:t xml:space="preserve">Coste del capital.</w:t>
      </w:r>
    </w:p>
    <w:p>
      <w:pPr>
        <w:spacing w:after="100"/>
      </w:pPr>
      <w:r>
        <w:t xml:space="preserve">Tasa libre: bono de EE. UU. a 10 años del 5,10 % [31], porque la empresa presenta en dólares; más la prima de riesgo de México de Damodaran (2,46 %) [33]. Beta de 1,7: la desapalancada del transporte aéreo (0,76) [34] reapalancada con la deuda y los arrendamientos de hoy (1,75 veces la capitalización). Prima de mercado del 5 %, coste de la deuda del 8 % (cupones de 8,25-8,625 %) y peso de la deuda del 60 %: WACC del 9,78 %.</w:t>
      </w:r>
    </w:p>
    <w:p>
      <w:pPr>
        <w:keepNext/>
        <w:spacing w:after="100"/>
      </w:pPr>
      <w:r>
        <w:rPr>
          <w:b/>
          <w:bCs/>
        </w:rPr>
        <w:t xml:space="preserve">Valor terminal.</w:t>
      </w:r>
    </w:p>
    <w:p>
      <w:pPr>
        <w:spacing w:after="100"/>
      </w:pPr>
      <w:r>
        <w:t xml:space="preserve">Gordon con un crecimiento del 2,5 % nominal en dólares: la inflación de EE. UU. y algo de crecimiento real del tráfico mexicano, por debajo del 3,5 % del último año proyectado. El múltiplo implícito es de 3,8 veces el EBITDA terminal, por debajo de los 5,3-6,1 de LATAM y Copa.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 M (28 %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(ROIC 32,9 %)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 frente al 5,5 %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 (histórico: 44,4 %)</w:t>
            </w:r>
          </w:p>
        </w:tc>
      </w:tr>
    </w:tbl>
    <w:p>
      <w:pPr>
        <w:spacing w:after="160" w:before="0"/>
      </w:pPr>
    </w:p>
    <w:p>
      <w:pPr>
        <w:spacing w:after="100"/>
      </w:pPr>
      <w:r>
        <w:t xml:space="preserve">La proyección reinvierte el 28 % del NOPAT. Con el ROIC del último ejercicio (32,9 %), eso financia un crecimiento del 9,2 % anual, frente al 5,5 % de ingresos proyectado. Supone que el capital nuevo rinde un 3,3 %, frente a un ROIC incremental histórico del 44,4 %.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+2-3 % según la guía y pasaje premium, más precio del 9 % por el peso fuerte y las tarifas internacionales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con los aviones nuevos y la vuelta de motores; precio +2 % (inflación de EE. UU.)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(mercado mexicano al 6 % histórico menos cuota cedida a las ULCC), precio +2 %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+3 %, precio +2 %.</w:t>
            </w:r>
          </w:p>
        </w:tc>
      </w:tr>
    </w:tbl>
    <w:p>
      <w:pPr>
        <w:spacing w:after="160" w:before="0"/>
      </w:pPr>
    </w:p>
    <w:p>
      <w:pPr>
        <w:spacing w:after="100"/>
      </w:pPr>
      <w:r>
        <w:t xml:space="preserve">Sí. El crecimiento proyectado (5,5 % anual) queda por debajo del 9,2 % que financia la reinversión al ROIC actual, y la proyección supone que el capital nuevo rinde solo un 3,3 %, muy por debajo del 44,4 % incremental histórico: el capex con los aviones arrendados es prudente. No exige ganar cuota: el volumen crece al 3-4 %, por debajo del 6,0 % anual del mercado mexicano [1], con la cuota doméstica cedida a las ULCC en 2025 (del 28 % al 25 %). El poder de precios es limitado y cíclico: el queroseno y el peso deciden el margen. Por eso el margen terminal es de mitad de ciclo (25,5 %), no el de 2024-2025.</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 (base: 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 (base: 25,5 %)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(WACC: 9,8 %)</w:t>
            </w:r>
          </w:p>
        </w:tc>
      </w:tr>
    </w:tbl>
    <w:p>
      <w:pPr>
        <w:spacing w:after="160" w:before="0"/>
      </w:pPr>
    </w:p>
    <w:p>
      <w:pPr>
        <w:spacing w:after="100"/>
      </w:pPr>
      <w:r>
        <w:t xml:space="preserve">El DCF da 23,34 USD por ADS, un 46,1 % por encima del precio, con un WACC del 9,78 % y un valor terminal del 54 %. El DCF inverso dice que el precio de 15,98 exige solo un crecimiento del 2,7 % anual en 2027-2035 frente al 4,7 % de nuestro caso base, o equivale a una rentabilidad implícita del 11,1 % con nuestros flujos, por encima del WACC. La sensibilidad es alta: con un WACC del 10,8 % y un terminal del 1,5 % el DCF baja a 15,23, el precio. El supuesto que más pesa es el margen de mitad de ciclo: cada punto de margen EBITDA permanente mueve el valor de la acción unos 4 USD por el apalancamiento de 4.069 M de deuda y arrendamientos.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queroseno se queda caro, Volaris y Viva recuperan sus aviones y bajan tarifas, y un convenio de pilotos caro sube los costes: crecimiento 2 puntos menor, margen EBITDA del 23 % permanente y WACC del 10,3 %. Con 4.069 M de deuda y arrendamientos, el valor de la acción casi desaparece (2,26 USD). Pasó en 2020 y en el 1T26 [1, 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cumplida, margen EBITDA del 27 % en 2027-2028 con el queroseno a unos 3 USD por galón, capacidad del 4 % y un margen de mitad de ciclo del 25,5 % desde 2031.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Queroseno barato, convenio razonable y la recompra en marcha: crecimiento 1,5 puntos mayor, margen EBITDA del 27 % terminal (2024-2025 superaron el 30 %) y terminal del 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15,9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22,43 USD (+40,4 %).</w:t>
      </w:r>
    </w:p>
    <w:p>
      <w:pPr>
        <w:spacing w:after="100"/>
      </w:pPr>
      <w:r>
        <w:t xml:space="preserve">La asimetría del valor intrínseco es positiva pero con una cola muy gruesa: el alcista (40,76) gana un 155,1 % y el bajista (2,26) pierde un 85,9 %, porque la deuda y los arrendamientos multiplican cualquier cambio de margen. El ponderado da 22,43. A 12 meses el bajista pierde un 45,9 % (8,64 USD con un BPA de 1,44 a 6,0 veces) y el alcista gana un 97,5 %. Es una acción para una posición pequeña, no para concentrar.</w:t>
      </w:r>
    </w:p>
    <w:p>
      <w:pPr>
        <w:pStyle w:val="Heading1"/>
      </w:pPr>
      <w:r>
        <w:t xml:space="preserve">22. Suma de partes</w:t>
      </w:r>
    </w:p>
    <w:p>
      <w:pPr>
        <w:pStyle w:val="Confianza"/>
        <w:spacing w:after="100"/>
      </w:pPr>
      <w:r>
        <w:t xml:space="preserve">Confianza: Media</w:t>
      </w:r>
    </w:p>
    <w:p>
      <w:pPr>
        <w:spacing w:after="100"/>
      </w:pPr>
      <w:r>
        <w:t xml:space="preserve">No aplica: carga, fidelización y mantenimiento dependen de la red de pasaje y la empresa no publica su resultado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15,9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22,65 USD (+41,7 % sobre 15,98).</w:t>
      </w:r>
    </w:p>
    <w:p>
      <w:pPr>
        <w:spacing w:after="100"/>
      </w:pPr>
      <w:r>
        <w:t xml:space="preserve">Pesos: DCF 50 %, comparables 25 % y escenarios 25 %; transacciones 0 % porque no hay operaciones de aerolíneas con cifras primarias comparables. El DCF es el método central porque recoge la inversión en flota con arrendamientos y el margen de mitad de ciclo; los comparables solo por PER (21,49), porque el EV/EBITDA de las de EE. UU. no es comparable con NIIF 16. La síntesis da 22,65 USD, un 41,7 % por encima del precio; con la prima implícita del mercado, 25,38. La deuda neta ajustada del puente (3.556 M) suma a la deuda y los arrendamientos las pensiones netas de impuestos (192 M) y las provisiones de devolución de aviones (332 M).</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+97,5 %</w:t>
            </w:r>
          </w:p>
        </w:tc>
      </w:tr>
    </w:tbl>
    <w:p>
      <w:pPr>
        <w:spacing w:after="160" w:before="0"/>
      </w:pPr>
    </w:p>
    <w:p>
      <w:pPr>
        <w:spacing w:after="100"/>
      </w:pPr>
      <w:r>
        <w:rPr>
          <w:b/>
          <w:bCs/>
        </w:rPr>
        <w:t xml:space="preserve">Objetivo a 12 meses (ponderado):</w:t>
      </w:r>
      <w:r>
        <w:t xml:space="preserve"> 19,25 USD · rentabilidad +20,4 % (base +15,1 %) · señal Comprar.</w:t>
      </w:r>
    </w:p>
    <w:p>
      <w:pPr>
        <w:keepNext/>
        <w:spacing w:after="100"/>
      </w:pPr>
      <w:r>
        <w:rPr>
          <w:b/>
          <w:bCs/>
        </w:rPr>
        <w:t xml:space="preserve">Frente al consenso (solo contraste).</w:t>
      </w:r>
    </w:p>
    <w:p>
      <w:pPr>
        <w:spacing w:after="100"/>
      </w:pPr>
      <w:r>
        <w:t xml:space="preserve">Nuestro BPA de 2027 (2,25) queda un 3,8 % por debajo del consenso (2,34) y el de 2028 (2,59) un 30,6 % por debajo (3,73) [24]. En ventas y EBITDA casi coincidimos (−1,9 % y −3,0 % en 2028): la diferencia está debajo del EBIT. El consenso supone un resultado financiero más bajo, o el tipo impositivo de 2023-2025 (5-15 %), y su BPA de 2026 (1,62) no cuadra con su propio beneficio. Lo revisamos y lo mantenemos: los intereses de la deuda y los arrendamientos fueron de 546 M en 2025 [1]. Nuestro precio base (18,39) queda un 34,5 % por debajo del objetivo medio de los analistas (28,06), que está fuera de nuestro rango por arriba del base.</w:t>
      </w:r>
    </w:p>
    <w:p>
      <w:pPr>
        <w:keepNext/>
        <w:spacing w:after="100"/>
      </w:pPr>
      <w:r>
        <w:rPr>
          <w:b/>
          <w:bCs/>
        </w:rPr>
        <w:t xml:space="preserve">Del valor intrínseco al objetivo a 12 meses.</w:t>
      </w:r>
    </w:p>
    <w:p>
      <w:pPr>
        <w:spacing w:after="100"/>
      </w:pPr>
      <w:r>
        <w:t xml:space="preserve">El objetivo a 12 meses (19,25) queda un 15 % por debajo del valor intrínseco (22,65): la distancia es pequeña y la cierra el beneficio de 2027 si el queroseno se queda en unos 3 USD por galón. El PER del base (7,1 veces) es el de hoy, sin revalorización: la rentabilidad sale del crecimiento del BPA de 1,01 en 2026 a 2,59 en 2028. Para que el precio converja al valor intrínseco haría falta un año sin crisis de combustible, el convenio de pilotos firmado y la recompra ejecutada; los tres tienen fecha en los próximos seis meses.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(conferencia el 20-oct)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trimestre de 1.590-1.620 M y margen operativo del 14-17 %; un margen bajo el 14 % recortaría nuestro BPA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recompra de hasta 100 M USD al año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4 % de la capitalización al año si se ejecuta entera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 (mediados)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prórroga del emplazamiento a huelga de los pilotos (ASPA)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huelga de dos semanas costaría unos 0,3-0,4 USD de BPA; un acuerdo despeja la 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 en adelante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fecha de amortización anticipada de los bonos del 8,625 % de 2031 (104,125)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Refinanciar a menor cupón ahorraría 15-25 M de intereses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un margen EBITDA del 27 %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 del DOT contra la sentencia que anuló el fin de la inmunidad de la empresa conjunta con Delta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Perder la inmunidad restaría ingresos transfronterizos coordinados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 (a partir de mayo)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 los periodos de bloqueo y posibles colocaciones de Apollo, Silver Point o Delta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de papel sobre un flotante del 21 %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queroseno (sin coberturas)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por cada 0,50 USD por galón sostenido un año (escenario bajista: −86 % en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Ajuste de capacidad y tarifas; recargos en internacional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Queroseno del Golfo por encima de 3,5 USD por galón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Huelga de pilotos (ASPA) o un convenio caro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Laboral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Prórroga de 45 días y precedente de acuerdo en 2022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oferta en noviembre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mexicano (ingresos domésticos en pesos, deuda en dólares)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peso de diferencia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63 % del pasaje es internacional y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por encima de 20 o por debajo de 16,5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los accionistas de referencia (Apollo 18,9 %, Silver Point 9,0 %, otros fondos del Chapter 11)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temporal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propuesta y Delta como socio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Colocaciones aceleradas o 13G/A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Motores CFM LEAP-1B y GEnx (palas de turbina)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usa los Pratt &amp; Whitney GTF que inmovilizan a Volaris y Viva; compensaciones del fabricante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33 retiradas de motor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Empresa conjunta con Delta (inmunidad antimonopolio, franjas en la Ciudad de México)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favorable del 11.º Circuito (ago-2026)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 del DOT o nuevas restricciones de franjas en MEX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las ULCC (Volaris y Viva) al volver sus aviones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internacional y clientela premium (43 % del pasaje)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doméstica por debajo del 23 %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y arrendamientos (4.069 M) en un ciclo malo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Escenario bajista: el valor de la acción casi desaparece con un margen EBITDA del 23 %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Liquidez de 1.237 M y sin vencimientos de bonos hasta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ajustada sobre EBITDA por encima de 3 veces</w:t>
            </w:r>
          </w:p>
        </w:tc>
      </w:tr>
    </w:tbl>
    <w:p>
      <w:pPr>
        <w:spacing w:after="160" w:before="0"/>
      </w:pPr>
    </w:p>
    <w:p>
      <w:pPr>
        <w:pStyle w:val="Heading2"/>
      </w:pPr>
      <w:r>
        <w:t xml:space="preserve">Pre-mortem</w:t>
      </w:r>
    </w:p>
    <w:p>
      <w:pPr>
        <w:spacing w:after="100"/>
      </w:pPr>
      <w:r>
        <w:t xml:space="preserve">Octubre de 2029: el ADS vale 9,60 USD, un 40 % menos. La cadena empezó en noviembre de 2026: los pilotos pararon diez días y el convenio cerró con subidas del 12 % en dos años, que añadieron unos 60 M de coste al año. En 2027 el queroseno no bajó de 3,4 USD por galón y Volaris y Viva recuperaron los aviones parados de Pratt &amp; Whitney: más asientos domésticos con tarifas a la baja y la cuota de Aeroméxico en el 22 %. El margen EBITDA se quedó en el 23-24 % y el BPA de 2028 en 1,30 USD, la mitad de nuestro base. Apollo y Silver Point vendieron en dos colocaciones con descuento y la recompra se suspendió para proteger la caja. Con 4.000 M de deuda y arrendamientos, la caída del EBITDA pesó casi entera en el valor de la acción. Lo habrían anticipado el margen operativo del 3T26 por debajo del 14 %, el queroseno por encima de 3,5 USD y la cuota doméstica de la AFAC por debajo del 23 %.</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 a +3 %</w:t>
      </w:r>
    </w:p>
    <w:p>
      <w:pPr>
        <w:spacing w:after="100"/>
      </w:pPr>
      <w:r>
        <w:t xml:space="preserve">La IA no sustituye un vuelo: el ingreso depende de mover personas y carga en aviones con franjas y tripulaciones. Toca dos partes. Por el lado de los costes es una oportunidad: atención al cliente, planificación de tripulaciones, mantenimiento predictivo de motores y gestión de ingresos (precios y ocupación), donde Aeroméxico ya invierte con Delta como socio tecnológico [1]. Por el lado de la venta, los agentes de IA que buscan y reservan pueden convertir el billete en una mercancía comparada por precio y llevarse parte de la venta directa y de los ingresos premium (43 % del pasaje) [4]. El efecto neto lo vemos pequeño a 3-5 años. La señal sería una caída de la venta directa o del ingreso por pasajero premium mientras crece la venta a través de intermediarios.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Combustible y emisiones: el queroseno es el 21-33 % de los ingresos y la flota se renueva (consumo por asiento-milla −1,7 % en el 2T26 con 737 MAX y 787) [1]. Seguridad y fiabilidad operativa: la más puntual entre las globales en 2024-2025 según Diio, con un 99,7 % de vuelos completados [1]. Relaciones laborales: el 70,3 % de la plantilla en México está sindicada; el contrato de pilotos (ASPA) venció el 30-sep-2026 y el de sobrecargos (ASSA) el 31-may-2026 [1].</w:t>
      </w:r>
    </w:p>
    <w:p>
      <w:pPr>
        <w:pStyle w:val="Heading2"/>
      </w:pPr>
      <w:r>
        <w:t xml:space="preserve">Controversias</w:t>
      </w:r>
    </w:p>
    <w:p>
      <w:pPr>
        <w:spacing w:after="100"/>
      </w:pPr>
      <w:r>
        <w:t xml:space="preserve">Orden del DOT de sep-2025 contra la inmunidad de la empresa conjunta con Delta (anulada en ago-2026) [1]. La empresa sustituyó a CIBanco como fiduciario tras las sanciones del Tesoro de EE. UU. a ese banco en 2025, sin estar ella misma afectada [1]. No se han encontrado sanciones a la empresa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Pilotos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coste anual supondría la contrapropuesta de ASPA frente al 3,2 % ofrecido, y qué plan hay si estalla la huelga a mediados de noviembre?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condición de la que depende la compra (regla 13: retrasa).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queroseno a 3,0 USD por galón, qué margen EBITDAR esperan para 2027 frente al 28,5-30,5 % de la guía original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BPA de 2028 supone un margen EBITDA del 27 %.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Accionistas del Chapter 11</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Apollo, Silver Point y los demás fondos periodos de bloqueo pendientes o planes de colocación?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un tercio del capital está en manos de fondos que entraron en la reorganización.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ejecutarán los 100 M de recompra aunque el queroseno siga caro, y con qué límite de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4 % del capital al año y no está en nuestro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¿Amortizarán en noviembre los bonos del 8,625 % de 2031 a 104,125?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financiero recurrente (470-480 M) es la partida que más separa nuestro BPA del EBIT.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Flota y motores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aviones con motores LEAP-1B estarán en tierra en 2027 y qué compensación pagará CFM?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retiradas de motor limitan el crecimiento de capacidad que proyectamos (4 % anual).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recurrido el DOT la sentencia del 11.º Circuito y qué parte de los ingresos transfronterizos depende de la inmunidad?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Perder la empresa conjunta restaría valor a la red internacional (63 % del pasaje).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¿Cuántos de los 1.918 M de pérdidas fiscales sin reconocer podrán usarse antes de caducar?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Nuestro tipo del 20 % en 2026-2028 depende de ellas.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y 2 explicados. Fuentes: 40 (18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5,0 %: explica la causa (créditos fiscales, regularizaciones, mezcla de países) y no lo proyectes en el DCF. Explicación: El 5,0 % de 2023 y el 11,4 % de 2024 (15,0 % en 2025) salen del reconocimiento de pérdidas fiscales anteriores que estaban provisionadas y de la diferencia de cambio de la moneda funcional; quedan 1.918 M de pérdidas sin reconocer (575 M de efecto fiscal) [1]. El DCF no proyecta esos tipos: usa el 20 % en 2026-2028, el 25 % en 2029-2030 y el 30 % legal desde 2031.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11,4 %: explica la causa (créditos fiscales, regularizaciones, mezcla de países) y no lo proyectes en el DCF. Explicación: Ver 2023: reconocimiento de pérdidas fiscales y efecto de la moneda funcional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3,3 % frente a un ROIC de 32,9 % y un incremental histórico de 44,4 %: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-15,0 % frente a -15,6 % real: genera una variación de circulante de -76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historia v2 al lado: no se puede contrastar.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29, 30,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en USD y previsión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(solo crecimiento de pasajeros, sin tamaño en dinero); 2) búsqueda de las estadísticas anuales de la AFAC 2025 (solo datos parciales de prensa); 3) derivado de las cuotas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margen_ebit_pct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(da EBITDA, no EBIT); 2) Viva Aerobus no cotiza; 3) sin informes anuales leídos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(no las da); 2) MSCI y Sustainalytics sin acceso; 3) sin búsqueda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y votos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Item 6 (solo agregado de 49,8 M); 2) resoluciones de las juntas de ene y abr-2026 (sin porcentajes de voto); 3) informe anual a la BMV no consultado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Folletos y 20-F (solo la compra de PLM y la venta de TechOps, sin múltiplo); 2) búsqueda de múltiplos de Alaska-Hawaiian, JetBlue-Spirit, Lufthansa-ITA y Air France-KLM-SAS (sin cifras primarias); 3) bases de datos de pago no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rentabilidades a 1-10 años y anual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(menos de 12 meses cotizando); 2) Stock Analysis (beta n.d.); 3) beta sectorial de Damodaran usada en el WACC</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isin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(portada sin ISIN); 2) folleto 424B1 (CUSIP del ADS, no ISIN de la acción); 3) sin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(0 mensajes de AERO en la API pública); 2) Seeking Alpha (el canal RSS solo da noticias, sin comentarios); 3) búsqueda web de debate en foros en español e inglés (sin hilos con contenido tras la salida a bolsa)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(cuentas consolidadas 2023-2025 auditadas por KPMG, notas de deuda, arrendamientos, flota, plantilla y contratos colectivos)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Aeroméxico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https://www.sec.gov/Archives/edgar/data/1561861/000119312526197494/d101275d20f.htm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Folleto definitivo de la salida a bolsa (424B1): cuentas 2022-2024 y 1S25, datos operativos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Aeroméxico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https://www.sec.gov/Archives/edgar/data/1561861/000119312525270444/d11281d424b1.htm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F-1 (mayo de 2024): cuentas 2019-2023, flujos 2021-2023 y desglose de la deuda y arrendamientos de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https://www.sec.gov/Archives/edgar/data/1561861/000119312524137345/d493840df1.htm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Aeroméxico Reports Unaudited Second Quarter 2026 Results (6-K, anexo 99.1) y tráfico de abril-junio (99.2-99.4)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https://www.sec.gov/Archives/edgar/data/1561861/000119312526302103/d112634dex991.htm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Aeroméxico Reports First Quarter 2026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https://www.sec.gov/Archives/edgar/data/1561861/000119312526171463/d332308dex991.htm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Aeroméxico Reports Fourth Quarter and Full Year 2025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https://www.sec.gov/Archives/edgar/data/1561861/000119312526052732/d89476dex991.htm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Aeroméxico Reports Third Quarter 2025 Results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https://www.sec.gov/Archives/edgar/data/1561861/000119312525276200/d39921dex992.htm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(AERO)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https://quartr.com/events/grupo-aeromexico-s-a-b-de-c-v-aero-q2-2026_F4fq2lnF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Non-GAAP EPS of -$0.40 misses by $0.19 (titular del 2T26 en el canal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https://seekingalpha.com/api/sa/combined/AERO.xml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Aeroméxico carries 1.85 million passengers in September as demand outpaces capacity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Aviation24.be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https://www.aviation24.be/airlines/aeromexico/aeromexico-carries-1-85-million-passengers-in-september-as-demand-outpaces-capacity/amp/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Reports Resolutions Approved at the Annual Ordinary Shareholders' Meeting Held on April 30,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https://www.sec.gov/Archives/edgar/data/1561861/000119312526201483/d132443dex991.htm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Aeroméxico Announces Intention to Submit Share Repurchase Program for Shareholder Approval (6-K) y convocatoria de la junta del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https://www.sec.gov/Archives/edgar/data/1561861/000119312526363569/d102434dex991.htm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Volaris (VLRS): estadísticas (ingresos y EBITDA de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https://stockanalysis.com/stocks/vlrs/statistics/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 Holdings (CPA):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https://stockanalysis.com/stocks/cpa/statistics/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Delta Air Lines (DAL):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https://stockanalysis.com/stocks/dal/statistics/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Airlines (UAL):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https://stockanalysis.com/stocks/ual/statistics/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Cara y cruz: Volaris dispara su pasaje mientras Aeroméxico pierde (ene-sep-2026)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 in America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https://newsinamerica.com/pdcc/boletin/2026/cara-y-cruz-volaris-dispara-su-pasaje-mientras-aeromexico-pierde/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Resoluciones de la junta ordinaria del 7-ene-2026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https://www.sec.gov/Archives/edgar/data/1561861/000119312526009173/d668217dex991.htm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Apollo (18,9 %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https://www.sec.gov/Archives/edgar/data/1561861/000110465926093617/xslSCHEDULE_13G_X02/primary_doc.xml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Grupo Aeroméxico (oct-2025 a oct-2026), resumidos con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https://www.sec.gov/cgi-bin/browse-edgar?action=getcompany&amp;CIK=1561861&amp;type=4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Aeroméxico Announces Purchases of Shares by Certain Directors and Members of Executive Management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https://www.sec.gov/Archives/edgar/data/1561861/000119312526109337/d49285dex991.htm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Huelga en Aeroméxico: ¿cuándo sería el paro y qué pasará con los vuelos? (prórroga de 45 días desde el 1-oct)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Imparcial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https://www.elimparcial.com/mexico/2026/09/30/huelga-en-aeromexico-cuando-seria-el-paro-y-que-pasara-con-los-vuelos/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AERO, SPY y JETS (bolsa.mjs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https://finance.yahoo.com/quote/AERO/history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estimaciones y consenso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https://www.marketscreener.com/quote/stock/GRUPO-AEROMEXICO-S-A-B-DE-197853411/finances/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(AERO) price target and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https://www.marketbeat.com/stocks/NYSE/AERO/forecast/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 forecast (consenso de ingresos y BPA 2026,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https://stockanalysis.com/stocks/aero/forecast/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 statistics (flotante, posición corta,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https://stockanalysis.com/stocks/aero/statistics/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LATAM Airlines (LTM)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https://stockanalysis.com/stocks/ltm/statistics/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Airlines (AAL)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https://stockanalysis.com/stocks/aal/statistics/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Alaska Air Group (ALK)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del Tesoro de EE. UU. a 10 años (DGS10): 5,10 %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peso-dólar (DEXMXUS): 18,40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https://fred.stlouisfed.org/series/DEXMXUS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(México: prima país 2,46 %)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Air Transport: beta desapalancada corregida por caja 0,76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Aeromexico Announces Webcast of Third Quarter 2026 Financial Results (resultados el 19-oct tras el cierre)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(comunicado de la 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https://finviz.com/news/397396/aeromexico-announces-webcast-of-third-quarter-2026-financial-results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Aeroméxico Announces Court Decision on Aeromexico-Delta ATI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https://www.sec.gov/Archives/edgar/data/1561861/000119312526359690/d180062dex991.htm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Unusual Movements in the Trading Price of the Shares (6-K, 18-sep-2026)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https://www.sec.gov/Archives/edgar/data/1561861/000156186126000072/a2026-09x18unusualmovement.htm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Aeroméxico Announces Intention to Submit Share Repurchase Program (6-K) y convocatoria de la junta del 26-oct-2026 (6-K del 14-sep)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Aeroméxico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https://www.sec.gov/Archives/edgar/data/1561861/000156186126000069/a2026-09x10gamcallsharehol.htm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Cálculos propios: capital invertido operativo por el activo, ROIC de mitad de ciclo, BPA por escenario y WACC (notas/supuestos.mjs)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80,7 %</w:t>
      </w:r>
      <w:r>
        <w:t xml:space="preserve"> · Secciones con menos del 60 % de campos cubiertos: </w:t>
      </w:r>
      <w:r>
        <w:rPr>
          <w:b/>
          <w:bCs/>
        </w:rPr>
        <w:t xml:space="preserve">transacciones, sentimiento, gobierno</w:t>
      </w:r>
      <w:r>
        <w:t xml:space="preserve"> · Generado el 18 oct 2026.</w:t>
      </w:r>
    </w:p>
    <w:p>
      <w:pPr>
        <w:pStyle w:val="Nota"/>
        <w:spacing w:after="100"/>
      </w:pPr>
      <w:r>
        <w:t xml:space="preserve">Línea analizada: el ADS de la Bolsa de Nueva York (AERO), en USD; cada ADS equivale a 10 acciones ordinarias, que también cotizan en la Bolsa Mexicana de Valores (AERO, símbolo de Yahoo AERO.MX). Todas las cifras por acción del informe son </w:t>
      </w:r>
      <w:r>
        <w:rPr>
          <w:b/>
        </w:rPr>
        <w:t xml:space="preserve">por ADS</w:t>
      </w:r>
      <w:r>
        <w:t xml:space="preserve"> (145,9 M de ADS = 1.459 M de acciones). Precio: cierre del viernes 16-oct-2026. La herramienta de cuentas de la SEC no sirve aún (la empresa solo tiene datos de portada en el XBRL): las cuentas salen a mano del 20-F de 2025, del folleto de la salida a bolsa (424B1) y del F-1 de 2024, y los trimestres de los 6-K. La empresa presenta en USD (moneda funcional) con NIIF del IASB y la cuenta por naturaleza: el «coste de ventas» del informe es el queroseno y no hay gastos generales separados. El EBITDA es el resultado de explotación más amortizaciones (NIIF 16: sin alquiler de aviones), no el EBITDAR ajustado de la empresa. El EBITDA trimestral es aproximado (EBITDAR menos alquileres a corto plazo). El consenso de MarketScreener viene en pesos y se pasó a USD; su BPA no cuadra con su beneficio neto. No hay historia del PER útil: antes del Chapter 11 (2020-2022) la acción era otra estructura de capital.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Grupo Aeroméxico, S.A.B. de C.V. (AERO)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15,98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(12,26 – 23,05)</c:v>
                </c:pt>
                <c:pt idx="1">
                  <c:v>Precio objetivo de los analistas (20,00 – 36,00)</c:v>
                </c:pt>
                <c:pt idx="2">
                  <c:v>Comparables: PER NTM (18,47 – 24,21)</c:v>
                </c:pt>
                <c:pt idx="3">
                  <c:v>DCF (WACC y g ± 0,5) (18,81 – 29,26)</c:v>
                </c:pt>
                <c:pt idx="4">
                  <c:v>Escenarios (bajista – alcista) (2,26 – 40,76)</c:v>
                </c:pt>
                <c:pt idx="5">
                  <c:v>DCF con la prima implícita del mercado (4,2 %)</c:v>
                </c:pt>
                <c:pt idx="6">
                  <c:v>Precio actual (15,98)</c:v>
                </c:pt>
              </c:strCache>
            </c:strRef>
          </c:cat>
          <c:val>
            <c:numRef>
              <c:f>Hoja1!$B$2:$B$8</c:f>
              <c:numCache>
                <c:formatCode>#,##0.0</c:formatCode>
                <c:ptCount val="7"/>
                <c:pt idx="0">
                  <c:v>12.26</c:v>
                </c:pt>
                <c:pt idx="1">
                  <c:v>20</c:v>
                </c:pt>
                <c:pt idx="2">
                  <c:v>18.47</c:v>
                </c:pt>
                <c:pt idx="3">
                  <c:v>18.81</c:v>
                </c:pt>
                <c:pt idx="4">
                  <c:v>2.26</c:v>
                </c:pt>
                <c:pt idx="5">
                  <c:v>23.63</c:v>
                </c:pt>
                <c:pt idx="6">
                  <c:v>15.9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(12,26 – 23,05)</c:v>
                </c:pt>
                <c:pt idx="1">
                  <c:v>Precio objetivo de los analistas (20,00 – 36,00)</c:v>
                </c:pt>
                <c:pt idx="2">
                  <c:v>Comparables: PER NTM (18,47 – 24,21)</c:v>
                </c:pt>
                <c:pt idx="3">
                  <c:v>DCF (WACC y g ± 0,5) (18,81 – 29,26)</c:v>
                </c:pt>
                <c:pt idx="4">
                  <c:v>Escenarios (bajista – alcista) (2,26 – 40,76)</c:v>
                </c:pt>
                <c:pt idx="5">
                  <c:v>DCF con la prima implícita del mercado (4,2 %)</c:v>
                </c:pt>
                <c:pt idx="6">
                  <c:v>Precio actual (15,98)</c:v>
                </c:pt>
              </c:strCache>
            </c:strRef>
          </c:cat>
          <c:val>
            <c:numRef>
              <c:f>Hoja1!$C$2:$C$8</c:f>
              <c:numCache>
                <c:formatCode>#,##0.0</c:formatCode>
                <c:ptCount val="7"/>
                <c:pt idx="0">
                  <c:v>10.790000000000001</c:v>
                </c:pt>
                <c:pt idx="1">
                  <c:v>16</c:v>
                </c:pt>
                <c:pt idx="2">
                  <c:v>5.740000000000002</c:v>
                </c:pt>
                <c:pt idx="3">
                  <c:v>10.450000000000003</c:v>
                </c:pt>
                <c:pt idx="4">
                  <c:v>38.5</c:v>
                </c:pt>
                <c:pt idx="5">
                  <c:v>7.640000000000001</c:v>
                </c:pt>
                <c:pt idx="6">
                  <c:v>0.15999999999999837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Pasaje</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1960.6</c:v>
                </c:pt>
                <c:pt idx="1">
                  <c:v>3402.4</c:v>
                </c:pt>
                <c:pt idx="2">
                  <c:v>4504.2</c:v>
                </c:pt>
                <c:pt idx="3">
                  <c:v>5150.9</c:v>
                </c:pt>
                <c:pt idx="4">
                  <c:v>4860.5</c:v>
                </c:pt>
              </c:numCache>
            </c:numRef>
          </c:val>
        </c:ser>
        <c:ser>
          <c:idx val="1"/>
          <c:order val="1"/>
          <c:tx>
            <c:strRef>
              <c:f>Hoja1!$C$1</c:f>
              <c:strCache>
                <c:ptCount val="1"/>
                <c:pt idx="0">
                  <c:v>Carga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242.9</c:v>
                </c:pt>
                <c:pt idx="1">
                  <c:v>291.3</c:v>
                </c:pt>
                <c:pt idx="2">
                  <c:v>269.9</c:v>
                </c:pt>
                <c:pt idx="3">
                  <c:v>296.1</c:v>
                </c:pt>
                <c:pt idx="4">
                  <c:v>312.4</c:v>
                </c:pt>
              </c:numCache>
            </c:numRef>
          </c:val>
        </c:ser>
        <c:ser>
          <c:idx val="2"/>
          <c:order val="2"/>
          <c:tx>
            <c:strRef>
              <c:f>Hoja1!$D$1</c:f>
              <c:strCache>
                <c:ptCount val="1"/>
                <c:pt idx="0">
                  <c:v>Otros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34.2</c:v>
                </c:pt>
                <c:pt idx="1">
                  <c:v>118.3</c:v>
                </c:pt>
                <c:pt idx="2">
                  <c:v>142</c:v>
                </c:pt>
                <c:pt idx="3">
                  <c:v>172.9</c:v>
                </c:pt>
                <c:pt idx="4">
                  <c:v>187.7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Pasaje</c:v>
                </c:pt>
                <c:pt idx="1">
                  <c:v>Carga</c:v>
                </c:pt>
                <c:pt idx="2">
                  <c:v>Otros</c:v>
                </c:pt>
              </c:strCache>
            </c:strRef>
          </c:cat>
          <c:val>
            <c:numRef>
              <c:f>Hoja1!$B$2:$B$4</c:f>
              <c:numCache>
                <c:formatCode>General</c:formatCode>
                <c:ptCount val="3"/>
                <c:pt idx="0">
                  <c:v>90.7</c:v>
                </c:pt>
                <c:pt idx="1">
                  <c:v>5.8</c:v>
                </c:pt>
                <c:pt idx="2">
                  <c:v>3.5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Internacional (pasaje)</c:v>
                </c:pt>
                <c:pt idx="1">
                  <c:v>Doméstico México (pasaje)</c:v>
                </c:pt>
              </c:strCache>
            </c:strRef>
          </c:cat>
          <c:val>
            <c:numRef>
              <c:f>Hoja1!$B$2:$B$3</c:f>
              <c:numCache>
                <c:formatCode>0"%"</c:formatCode>
                <c:ptCount val="2"/>
                <c:pt idx="0">
                  <c:v>63.3</c:v>
                </c:pt>
                <c:pt idx="1">
                  <c:v>36.7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pasajeros domésticos (estimación propia desde cuotas AFAC))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c:formatCode>
                <c:ptCount val="3"/>
                <c:pt idx="0">
                  <c:v>62.5</c:v>
                </c:pt>
                <c:pt idx="1">
                  <c:v>60.7</c:v>
                </c:pt>
                <c:pt idx="2">
                  <c:v>63.6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Aeroméxico</c:v>
                </c:pt>
                <c:pt idx="1">
                  <c:v>Volaris</c:v>
                </c:pt>
                <c:pt idx="2">
                  <c:v>Viva Aerobus</c:v>
                </c:pt>
                <c:pt idx="3">
                  <c:v>Copa Holdings</c:v>
                </c:pt>
                <c:pt idx="4">
                  <c:v>Delta Air Lines</c:v>
                </c:pt>
                <c:pt idx="5">
                  <c:v>United Airlines</c:v>
                </c:pt>
              </c:strCache>
            </c:strRef>
          </c:cat>
          <c:val>
            <c:numRef>
              <c:f>Hoja1!$B$2:$B$7</c:f>
              <c:numCache>
                <c:formatCode>0.0"%"</c:formatCode>
                <c:ptCount val="6"/>
                <c:pt idx="0">
                  <c:v>15.9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2</c:v>
                </c:pt>
                <c:pt idx="2">
                  <c:v>3</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2237.7</c:v>
                </c:pt>
                <c:pt idx="1">
                  <c:v>3812</c:v>
                </c:pt>
                <c:pt idx="2">
                  <c:v>4916.1</c:v>
                </c:pt>
                <c:pt idx="3">
                  <c:v>5619.9</c:v>
                </c:pt>
                <c:pt idx="4">
                  <c:v>5360.6</c:v>
                </c:pt>
                <c:pt idx="5">
                  <c:v>6084</c:v>
                </c:pt>
                <c:pt idx="6">
                  <c:v>6449</c:v>
                </c:pt>
                <c:pt idx="7">
                  <c:v>6836</c:v>
                </c:pt>
                <c:pt idx="8">
                  <c:v>7212</c:v>
                </c:pt>
                <c:pt idx="9">
                  <c:v>7573</c:v>
                </c:pt>
                <c:pt idx="10">
                  <c:v>7914</c:v>
                </c:pt>
                <c:pt idx="11">
                  <c:v>8230</c:v>
                </c:pt>
                <c:pt idx="12">
                  <c:v>8559</c:v>
                </c:pt>
                <c:pt idx="13">
                  <c:v>8859</c:v>
                </c:pt>
                <c:pt idx="14">
                  <c:v>9169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185.5</c:v>
                </c:pt>
                <c:pt idx="1">
                  <c:v>519.4</c:v>
                </c:pt>
                <c:pt idx="2">
                  <c:v>1302.1</c:v>
                </c:pt>
                <c:pt idx="3">
                  <c:v>1555.6</c:v>
                </c:pt>
                <c:pt idx="4">
                  <c:v>1581.8</c:v>
                </c:pt>
                <c:pt idx="5">
                  <c:v>1503</c:v>
                </c:pt>
                <c:pt idx="6">
                  <c:v>1741</c:v>
                </c:pt>
                <c:pt idx="7">
                  <c:v>1846</c:v>
                </c:pt>
                <c:pt idx="8">
                  <c:v>1911</c:v>
                </c:pt>
                <c:pt idx="9">
                  <c:v>2007</c:v>
                </c:pt>
                <c:pt idx="10">
                  <c:v>2018</c:v>
                </c:pt>
                <c:pt idx="11">
                  <c:v>2099</c:v>
                </c:pt>
                <c:pt idx="12">
                  <c:v>2183</c:v>
                </c:pt>
                <c:pt idx="13">
                  <c:v>2259</c:v>
                </c:pt>
                <c:pt idx="14">
                  <c:v>2338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71.6</c:v>
                </c:pt>
                <c:pt idx="1">
                  <c:v>62.9</c:v>
                </c:pt>
                <c:pt idx="2">
                  <c:v>73.3</c:v>
                </c:pt>
                <c:pt idx="3">
                  <c:v>78</c:v>
                </c:pt>
                <c:pt idx="4">
                  <c:v>78.8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13.6</c:v>
                </c:pt>
                <c:pt idx="2">
                  <c:v>26.5</c:v>
                </c:pt>
                <c:pt idx="3">
                  <c:v>27.7</c:v>
                </c:pt>
                <c:pt idx="4">
                  <c:v>29.5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-12.7</c:v>
                </c:pt>
                <c:pt idx="1">
                  <c:v>1.7</c:v>
                </c:pt>
                <c:pt idx="2">
                  <c:v>14.7</c:v>
                </c:pt>
                <c:pt idx="3">
                  <c:v>16</c:v>
                </c:pt>
                <c:pt idx="4">
                  <c:v>15.9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-45.6</c:v>
                </c:pt>
                <c:pt idx="1">
                  <c:v>-1.7</c:v>
                </c:pt>
                <c:pt idx="2">
                  <c:v>5.6</c:v>
                </c:pt>
                <c:pt idx="3">
                  <c:v>11</c:v>
                </c:pt>
                <c:pt idx="4">
                  <c:v>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-4.4</c:v>
                </c:pt>
                <c:pt idx="5">
                  <c:v>0.2</c:v>
                </c:pt>
                <c:pt idx="6">
                  <c:v>13.3</c:v>
                </c:pt>
                <c:pt idx="7">
                  <c:v>12.6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32</c:v>
                </c:pt>
                <c:pt idx="1">
                  <c:v>37</c:v>
                </c:pt>
                <c:pt idx="2">
                  <c:v>46</c:v>
                </c:pt>
                <c:pt idx="3">
                  <c:v>38</c:v>
                </c:pt>
                <c:pt idx="4">
                  <c:v>48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14</c:v>
                </c:pt>
                <c:pt idx="1">
                  <c:v>11</c:v>
                </c:pt>
                <c:pt idx="2">
                  <c:v>11</c:v>
                </c:pt>
                <c:pt idx="3">
                  <c:v>13</c:v>
                </c:pt>
                <c:pt idx="4">
                  <c:v>17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146</c:v>
                </c:pt>
                <c:pt idx="1">
                  <c:v>114</c:v>
                </c:pt>
                <c:pt idx="2">
                  <c:v>155</c:v>
                </c:pt>
                <c:pt idx="3">
                  <c:v>148</c:v>
                </c:pt>
                <c:pt idx="4">
                  <c:v>165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-188.8</c:v>
                </c:pt>
                <c:pt idx="1">
                  <c:v>-607.3000000000001</c:v>
                </c:pt>
                <c:pt idx="2">
                  <c:v>621.9</c:v>
                </c:pt>
                <c:pt idx="3">
                  <c:v>527.2</c:v>
                </c:pt>
                <c:pt idx="4">
                  <c:v>161.39999999999998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-1019.4</c:v>
                </c:pt>
                <c:pt idx="1">
                  <c:v>-64.2</c:v>
                </c:pt>
                <c:pt idx="2">
                  <c:v>273.3</c:v>
                </c:pt>
                <c:pt idx="3">
                  <c:v>617.4</c:v>
                </c:pt>
                <c:pt idx="4">
                  <c:v>351.9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-242.4</c:v>
                </c:pt>
                <c:pt idx="1">
                  <c:v>4</c:v>
                </c:pt>
                <c:pt idx="2">
                  <c:v>39.9</c:v>
                </c:pt>
                <c:pt idx="3">
                  <c:v>45.3</c:v>
                </c:pt>
                <c:pt idx="4">
                  <c:v>32.9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9.8</c:v>
                </c:pt>
                <c:pt idx="1">
                  <c:v>9.8</c:v>
                </c:pt>
                <c:pt idx="2">
                  <c:v>9.8</c:v>
                </c:pt>
                <c:pt idx="3">
                  <c:v>9.8</c:v>
                </c:pt>
                <c:pt idx="4">
                  <c:v>9.8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38.5</c:v>
                </c:pt>
                <c:pt idx="1">
                  <c:v>3.8</c:v>
                </c:pt>
                <c:pt idx="2">
                  <c:v>-37.2</c:v>
                </c:pt>
                <c:pt idx="3">
                  <c:v>-75.4</c:v>
                </c:pt>
                <c:pt idx="4">
                  <c:v>-47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14.73</c:v>
                </c:pt>
                <c:pt idx="1">
                  <c:v>5.02</c:v>
                </c:pt>
                <c:pt idx="2">
                  <c:v>1.76</c:v>
                </c:pt>
                <c:pt idx="3">
                  <c:v>1.84</c:v>
                </c:pt>
                <c:pt idx="4">
                  <c:v>1.92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2029</c:v>
                </c:pt>
                <c:pt idx="1">
                  <c:v>2031</c:v>
                </c:pt>
              </c:strCache>
            </c:strRef>
          </c:cat>
          <c:val>
            <c:numRef>
              <c:f>Hoja1!$B$2:$B$3</c:f>
              <c:numCache>
                <c:formatCode>#,##0</c:formatCode>
                <c:ptCount val="2"/>
                <c:pt idx="0">
                  <c:v>500</c:v>
                </c:pt>
                <c:pt idx="1">
                  <c:v>610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262.9</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42.4</c:v>
                </c:pt>
                <c:pt idx="2">
                  <c:v>275.2</c:v>
                </c:pt>
                <c:pt idx="3">
                  <c:v>818.5</c:v>
                </c:pt>
                <c:pt idx="4">
                  <c:v>204.6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Ejecutivo</c:v>
                </c:pt>
                <c:pt idx="2">
                  <c:v>Dominical</c:v>
                </c:pt>
                <c:pt idx="3">
                  <c:v>Otro externo</c:v>
                </c:pt>
              </c:strCache>
            </c:strRef>
          </c:cat>
          <c:val>
            <c:numRef>
              <c:f>Hoja1!$B$2:$B$5</c:f>
              <c:numCache>
                <c:formatCode>0</c:formatCode>
                <c:ptCount val="4"/>
                <c:pt idx="0">
                  <c:v>5</c:v>
                </c:pt>
                <c:pt idx="1">
                  <c:v>1</c:v>
                </c:pt>
                <c:pt idx="2">
                  <c:v>8</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Apollo (AP Aguila Holdings)</c:v>
                </c:pt>
                <c:pt idx="1">
                  <c:v>Delta Air Lines</c:v>
                </c:pt>
                <c:pt idx="2">
                  <c:v>Fondos de Silver Point Capital</c:v>
                </c:pt>
                <c:pt idx="3">
                  <c:v>SVP Funds</c:v>
                </c:pt>
                <c:pt idx="4">
                  <c:v>Banco Actinver F/5292 (fideicomiso)</c:v>
                </c:pt>
                <c:pt idx="5">
                  <c:v>Eduardo Tricio Haro</c:v>
                </c:pt>
              </c:strCache>
            </c:strRef>
          </c:cat>
          <c:val>
            <c:numRef>
              <c:f>Hoja1!$B$2:$B$7</c:f>
              <c:numCache>
                <c:formatCode>0.0"%"</c:formatCode>
                <c:ptCount val="6"/>
                <c:pt idx="0">
                  <c:v>18.9</c:v>
                </c:pt>
                <c:pt idx="1">
                  <c:v>18.7</c:v>
                </c:pt>
                <c:pt idx="2">
                  <c:v>9</c:v>
                </c:pt>
                <c:pt idx="3">
                  <c:v>6.5</c:v>
                </c:pt>
                <c:pt idx="4">
                  <c:v>5.2</c:v>
                </c:pt>
                <c:pt idx="5">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Aeroméxico</c:v>
                </c:pt>
                <c:pt idx="1">
                  <c:v>Copa Holdings</c:v>
                </c:pt>
                <c:pt idx="2">
                  <c:v>LATAM Airlines</c:v>
                </c:pt>
                <c:pt idx="3">
                  <c:v>Volaris</c:v>
                </c:pt>
                <c:pt idx="4">
                  <c:v>Delta Air Lines</c:v>
                </c:pt>
                <c:pt idx="5">
                  <c:v>United Airlines</c:v>
                </c:pt>
                <c:pt idx="6">
                  <c:v>American Airlines</c:v>
                </c:pt>
                <c:pt idx="7">
                  <c:v>Alaska Air Group</c:v>
                </c:pt>
              </c:strCache>
            </c:strRef>
          </c:cat>
          <c:val>
            <c:numRef>
              <c:f>Hoja1!$B$2:$B$9</c:f>
              <c:numCache>
                <c:formatCode>0.0"x"</c:formatCode>
                <c:ptCount val="8"/>
                <c:pt idx="0">
                  <c:v>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284</c:v>
                </c:pt>
                <c:pt idx="1">
                  <c:v>457</c:v>
                </c:pt>
                <c:pt idx="2">
                  <c:v>519</c:v>
                </c:pt>
                <c:pt idx="3">
                  <c:v>502</c:v>
                </c:pt>
                <c:pt idx="4">
                  <c:v>560</c:v>
                </c:pt>
                <c:pt idx="5">
                  <c:v>511</c:v>
                </c:pt>
                <c:pt idx="6">
                  <c:v>526</c:v>
                </c:pt>
                <c:pt idx="7">
                  <c:v>589</c:v>
                </c:pt>
                <c:pt idx="8">
                  <c:v>604</c:v>
                </c:pt>
                <c:pt idx="9">
                  <c:v>625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3237</c:v>
                </c:pt>
                <c:pt idx="1">
                  <c:v>3726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15,98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2.26</c:v>
                </c:pt>
                <c:pt idx="1">
                  <c:v>23.34</c:v>
                </c:pt>
                <c:pt idx="2">
                  <c:v>40.76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15,98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(12,26 – 23,05)</c:v>
                </c:pt>
                <c:pt idx="1">
                  <c:v>Precio objetivo de los analistas (20,00 – 36,00)</c:v>
                </c:pt>
                <c:pt idx="2">
                  <c:v>Comparables: PER NTM (18,47 – 24,21)</c:v>
                </c:pt>
                <c:pt idx="3">
                  <c:v>DCF (WACC y g ± 0,5) (18,81 – 29,26)</c:v>
                </c:pt>
                <c:pt idx="4">
                  <c:v>Escenarios (bajista – alcista) (2,26 – 40,76)</c:v>
                </c:pt>
                <c:pt idx="5">
                  <c:v>DCF con la prima implícita del mercado (4,2 %)</c:v>
                </c:pt>
                <c:pt idx="6">
                  <c:v>Precio actual (15,98)</c:v>
                </c:pt>
              </c:strCache>
            </c:strRef>
          </c:cat>
          <c:val>
            <c:numRef>
              <c:f>Hoja1!$B$2:$B$8</c:f>
              <c:numCache>
                <c:formatCode>#,##0.0</c:formatCode>
                <c:ptCount val="7"/>
                <c:pt idx="0">
                  <c:v>12.26</c:v>
                </c:pt>
                <c:pt idx="1">
                  <c:v>20</c:v>
                </c:pt>
                <c:pt idx="2">
                  <c:v>18.47</c:v>
                </c:pt>
                <c:pt idx="3">
                  <c:v>18.81</c:v>
                </c:pt>
                <c:pt idx="4">
                  <c:v>2.26</c:v>
                </c:pt>
                <c:pt idx="5">
                  <c:v>23.63</c:v>
                </c:pt>
                <c:pt idx="6">
                  <c:v>15.9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(12,26 – 23,05)</c:v>
                </c:pt>
                <c:pt idx="1">
                  <c:v>Precio objetivo de los analistas (20,00 – 36,00)</c:v>
                </c:pt>
                <c:pt idx="2">
                  <c:v>Comparables: PER NTM (18,47 – 24,21)</c:v>
                </c:pt>
                <c:pt idx="3">
                  <c:v>DCF (WACC y g ± 0,5) (18,81 – 29,26)</c:v>
                </c:pt>
                <c:pt idx="4">
                  <c:v>Escenarios (bajista – alcista) (2,26 – 40,76)</c:v>
                </c:pt>
                <c:pt idx="5">
                  <c:v>DCF con la prima implícita del mercado (4,2 %)</c:v>
                </c:pt>
                <c:pt idx="6">
                  <c:v>Precio actual (15,98)</c:v>
                </c:pt>
              </c:strCache>
            </c:strRef>
          </c:cat>
          <c:val>
            <c:numRef>
              <c:f>Hoja1!$C$2:$C$8</c:f>
              <c:numCache>
                <c:formatCode>#,##0.0</c:formatCode>
                <c:ptCount val="7"/>
                <c:pt idx="0">
                  <c:v>10.790000000000001</c:v>
                </c:pt>
                <c:pt idx="1">
                  <c:v>16</c:v>
                </c:pt>
                <c:pt idx="2">
                  <c:v>5.740000000000002</c:v>
                </c:pt>
                <c:pt idx="3">
                  <c:v>10.450000000000003</c:v>
                </c:pt>
                <c:pt idx="4">
                  <c:v>38.5</c:v>
                </c:pt>
                <c:pt idx="5">
                  <c:v>7.640000000000001</c:v>
                </c:pt>
                <c:pt idx="6">
                  <c:v>0.15999999999999837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