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Ferguson Enterprises Inc.</w:t>
      </w:r>
    </w:p>
    <w:p>
      <w:pPr>
        <w:spacing w:after="60"/>
        <w:rPr>
          <w:color w:val="52514E"/>
          <w:sz w:val="22"/>
          <w:szCs w:val="22"/>
        </w:rPr>
      </w:pPr>
      <w:r>
        <w:rPr>
          <w:color w:val="52514E"/>
          <w:sz w:val="22"/>
          <w:szCs w:val="22"/>
        </w:rPr>
        <w:t xml:space="preserve">FERG · Bolsa de Nueva York (NYSE) · ISIN US31488V1070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231,61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228,18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+0,0 % (base +4,4 %)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177,23 USD · mercado 194,45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44.886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Ferguson Enterprises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FERG / US31488V1070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Newport News (Virginia) · 1887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corporate.ferguson.com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231,61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212,13 – 271,64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50.984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228,18 USD</w:t>
      </w:r>
      <w:r>
        <w:t xml:space="preserve"> frente a 231,61 · Rentabilidad a 12 meses </w:t>
      </w:r>
      <w:r>
        <w:rPr>
          <w:b/>
          <w:bCs/>
        </w:rPr>
        <w:t xml:space="preserve">+0,0 % (base +4,4 %)</w:t>
      </w:r>
      <w:r>
        <w:t xml:space="preserve"> · Valor intrínseco 177,23 USD · con la prima implícita del mercado: 194,45 (-16,0 %) · Alcista / bajista -22,8 % / -60,6 %</w:t>
      </w:r>
    </w:p>
    <w:p>
      <w:pPr>
        <w:spacing w:after="100"/>
      </w:pPr>
      <w:r>
        <w:rPr>
          <w:b/>
        </w:rPr>
        <w:t xml:space="preserve">La recomendación y por qué.</w:t>
      </w:r>
      <w:r>
        <w:t xml:space="preserve"> Mantener, con convicción media. El objetivo a 12 meses es de 228,18 USD (rentabilidad ponderada del 0,0 % y del 4,4 % en el caso base, con el dividendo), frente a un precio de 231,61 USD (cierre del 16-oct-2026) y un objetivo medio de los analistas de 283,23 USD, que queda fuera de nuestro rango central [27]. El valor intrínseco es de 177,23 USD (−23,5 %): el precio no tiene margen de seguridad. No llega a Comprar porque la ponderada no alcanza el 15 % ni el base el 12 % y el valor real queda por debajo del precio, aunque la calidad (ROIC − WACC de 14,5 puntos) y la sostenibilidad («Sí») sí pasan. La convicción es media porque las dos reglas coinciden pero el resultado depende del múltiplo: con el de los comparables (21,2x) el base subiría al ≈ 20 %. Subiría con una vuelta de la vivienda que el precio aún no descuenta; bajaría con residencial negativo o deflación.</w:t>
      </w:r>
    </w:p>
    <w:p>
      <w:pPr>
        <w:spacing w:after="100"/>
      </w:pPr>
      <w:r>
        <w:rPr>
          <w:b/>
        </w:rPr>
        <w:t xml:space="preserve">El negocio.</w:t>
      </w:r>
      <w:r>
        <w:t xml:space="preserve"> Mayor distribuidor de soluciones de agua y aire para profesionales de Norteamérica: fontanería, climatización, PVF, redes de agua e incendios, con 1.729 sucursales y ≈ 9 % de un mercado de 340.000 M USD [1]. Es distribución B2B: vende a contratistas, constructores, municipios e industria y ningún cliente llega al 1 %. Ferguson Home (21 % de las ventas en EE. UU.) atiende a constructores, reformistas y diseñadores en exposiciones y en línea, y llega también a particulares, pero la empresa no publica la parte de venta directa al público, que es pequeña [1]. La mitad del negocio es residencial y la otra mitad no residencial; dos tercios son reparación y reforma. ROIC del 24,0 % frente a un WACC del 9,52 %: la calidad sostiene el crecimiento que proyectamos (4,9 % anual, el del mercado más compras pequeñas).</w:t>
      </w:r>
    </w:p>
    <w:p>
      <w:pPr>
        <w:spacing w:after="100"/>
      </w:pPr>
      <w:r>
        <w:rPr>
          <w:b/>
        </w:rPr>
        <w:t xml:space="preserve">Finanzas.</w:t>
      </w:r>
      <w:r>
        <w:t xml:space="preserve"> Ventas de 31.316 M USD en el año natural 2025 (+5,0 %) y margen operativo ajustado del 9,6 %; BPA de 10,16 USD [6]. Primer semestre de 2026 con ventas +4,2 % y guía elevada en agosto [8]. Deuda neta de ≈ 1,8 veces el EBITDA ajustado tras pagar 1.600 M por FloWorks, dentro de su objetivo de 1-2 veces [8, 14]. Conversión de caja alta, salvo en años de inflación.</w:t>
      </w:r>
    </w:p>
    <w:p>
      <w:pPr>
        <w:spacing w:after="100"/>
      </w:pPr>
      <w:r>
        <w:rPr>
          <w:b/>
        </w:rPr>
        <w:t xml:space="preserve">Equipo y gobierno.</w:t>
      </w:r>
      <w:r>
        <w:t xml:space="preserve"> Directivos de la casa con 20-35 años en la empresa, que han cumplido las tres últimas guías [1]. Consejo con 9 de 11 independientes. Ventas de directivos por ≈ 8,3 M USD en octubre, casi todas con planes 10b5-1; ninguna compra en 12 meses [25].</w:t>
      </w:r>
    </w:p>
    <w:p>
      <w:pPr>
        <w:spacing w:after="100"/>
      </w:pPr>
      <w:r>
        <w:rPr>
          <w:b/>
        </w:rPr>
        <w:t xml:space="preserve">Valoración.</w:t>
      </w:r>
      <w:r>
        <w:t xml:space="preserve"> El DCF da 150,82 USD y el DCF inverso pide un crecimiento del 13,2 % anual frente al 4,8 % de nuestro base. Cotiza a 19,6 veces nuestro BPA contable de 2027e, por encima de su mediana adelantada de cinco años (17,1x) y por debajo de la de sus comparables (21,2x, en BPA ajustado) [32]. La regla a 12 meses lleva el múltiplo a mitad de camino hacia su historia (18,3x) sobre un BPA de 2028e de 13,02 USD.</w:t>
      </w:r>
    </w:p>
    <w:p>
      <w:pPr>
        <w:spacing w:after="100"/>
      </w:pPr>
      <w:r>
        <w:rPr>
          <w:b/>
        </w:rPr>
        <w:t xml:space="preserve">Riesgos y catalizadores.</w:t>
      </w:r>
      <w:r>
        <w:t xml:space="preserve"> El mayor riesgo es que la vivienda siga débil con el bono al 5,09 % y que el ciclo de centros de datos se frene; con el múltiplo en su mínimo de cinco años (13,8x), −43 %. Resultados del 3T26 el 9-nov-2026, primeros con FloWorks [27]. Movimiento de la acción: −13,5 % desde el máximo de 52 semanas, de sector y no de la empresa; no cambia la tesis (regla 13). Riesgo de IA para el negocio: bajo.</w:t>
      </w:r>
    </w:p>
    <w:p>
      <w:pPr>
        <w:spacing w:after="100"/>
      </w:pPr>
      <w:r>
        <w:rPr>
          <w:b/>
        </w:rPr>
        <w:t xml:space="preserve">Qué cambiaría la decisión.</w:t>
      </w:r>
      <w:r>
        <w:t xml:space="preserve"> Comprar por debajo de 177,23 USD (valor intrínseco), donde la regla a 12 meses también daría más del 15 %; vender por encima de 257,42 USD. Revisaríamos a la baja si las ventas residenciales caen dos trimestres seguidos o el margen bruto baja del 30 %.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(tesis de valor a más de un año) · Objetivo a 12 meses: </w:t>
      </w:r>
      <w:r>
        <w:rPr>
          <w:b/>
          <w:bCs/>
        </w:rPr>
        <w:t xml:space="preserve">228,18 USD</w:t>
      </w:r>
      <w:r>
        <w:t xml:space="preserve"> (rentabilidad +0,0 % (base +4,4 %)) · Valor intrínseco: 177,23 USD (-23,5 % sobre 231,61) · con la prima implícita del mercado: 194,45 (-16,0 %)</w:t>
      </w:r>
    </w:p>
    <w:p>
      <w:pPr>
        <w:spacing w:after="100"/>
      </w:pPr>
      <w:r>
        <w:t xml:space="preserve">Ferguson es el mayor distribuidor de fontanería, climatización y agua de Norteamérica, un mercado de 340.000 M USD muy fragmentado en el que la escala local (disponibilidad, crédito, logística de obra) da ventaja y permite consolidar con cientos de compras pequeñas [1]. Gana un ROIC del 24 % con poco capital y devuelve casi todo su flujo con dividendos y recompras [6].</w:t>
      </w:r>
    </w:p>
    <w:p>
      <w:pPr>
        <w:spacing w:after="100"/>
      </w:pPr>
      <w:r>
        <w:t xml:space="preserve">La acción, que entró en el S&amp;P 500 en agosto, cotiza a 19,6 veces nuestro BPA de 2027e: más barata que sus comparables, pero por encima de su propia historia y muy por encima de lo que da un DCF con crecimiento de mercado (150,82 USD). El precio descuenta que la distribución especializada mantenga para siempre un múltiplo de 15 veces el EBITDA.</w:t>
      </w:r>
    </w:p>
    <w:p>
      <w:pPr>
        <w:spacing w:after="100"/>
      </w:pPr>
      <w:r>
        <w:t xml:space="preserve">Para invertir hay que creer en una vuelta de la vivienda en 2027 o en un ciclo largo de grandes proyectos. Sin margen de seguridad, es una empresa de calidad para vigilar y comprar en una caída hacia los 180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9,50 = 131,10 · 18,3x × 13,02 = 238,27 · 21,2x × 14,39 = 305,07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 /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283,23 (nuestro base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-60,6 %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9,5 %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financiable al ROIC actual: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177,23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177,23 y 257,42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257,42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177,23 USD (valor intrínseco): pasaríamos a Comprar si la calidad se mantiene.</w:t>
      </w:r>
    </w:p>
    <w:p>
      <w:pPr>
        <w:pStyle w:val="ListParagraph"/>
        <w:numPr>
          <w:ilvl w:val="0"/>
          <w:numId w:val="2"/>
        </w:numPr>
        <w:spacing w:after="60"/>
      </w:pPr>
      <w:r>
        <w:t xml:space="preserve">Precio por encima de 257,42 USD: pasaríamos a Vender.</w:t>
      </w:r>
    </w:p>
    <w:p>
      <w:pPr>
        <w:pStyle w:val="ListParagraph"/>
        <w:numPr>
          <w:ilvl w:val="0"/>
          <w:numId w:val="2"/>
        </w:numPr>
        <w:spacing w:after="60"/>
      </w:pPr>
      <w:r>
        <w:t xml:space="preserve">Ventas residenciales negativas dos trimestres seguidos o margen bruto por debajo del 30 %: revisión a la baja.</w:t>
      </w:r>
    </w:p>
    <w:p>
      <w:pPr>
        <w:pStyle w:val="ListParagraph"/>
        <w:numPr>
          <w:ilvl w:val="0"/>
          <w:numId w:val="2"/>
        </w:numPr>
        <w:spacing w:after="60"/>
      </w:pPr>
      <w:r>
        <w:t xml:space="preserve">Guía de 2027 (febrero) por encima del 7 % de crecimiento con margen al alza: revisión al alza del BPA.</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del BPA ajustado del 11 % en 2027 y un múltiplo de distribuidor de calidad (≈ 22 veces el BPA ajustado) que se mantiene.</w:t>
      </w:r>
    </w:p>
    <w:p>
      <w:pPr>
        <w:keepNext/>
        <w:spacing w:after="100"/>
      </w:pPr>
      <w:r>
        <w:rPr>
          <w:b/>
          <w:bCs/>
        </w:rPr>
        <w:t xml:space="preserve">Lo que creemos nosotros.</w:t>
      </w:r>
    </w:p>
    <w:p>
      <w:pPr>
        <w:spacing w:after="100"/>
      </w:pPr>
      <w:r>
        <w:t xml:space="preserve">Crecimiento sólido pero de mercado (≈ 5 % anual con compras) y un múltiplo que vuelve hacia su historia (17 veces), con una vivienda que no gira en 2027.</w:t>
      </w:r>
    </w:p>
    <w:p>
      <w:pPr>
        <w:keepNext/>
        <w:spacing w:after="100"/>
      </w:pPr>
      <w:r>
        <w:rPr>
          <w:b/>
          <w:bCs/>
        </w:rPr>
        <w:t xml:space="preserve">Por qué podemos tener razón.</w:t>
      </w:r>
    </w:p>
    <w:p>
      <w:pPr>
        <w:spacing w:after="100"/>
      </w:pPr>
      <w:r>
        <w:t xml:space="preserve">Con el bono a 10 años al 5,09 % la vivienda nueva sigue débil (residencial +2 % en el 2T26) y el crecimiento depende de los grandes proyectos y de FloWorks [8, 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escala</w:t>
      </w:r>
      <w:r>
        <w:t xml:space="preserve">: ≈ 9 % de un mercado muy fragmentado y 1.729 sucursales [1].</w:t>
      </w:r>
    </w:p>
    <w:p>
      <w:pPr>
        <w:pStyle w:val="ListParagraph"/>
        <w:numPr>
          <w:ilvl w:val="0"/>
          <w:numId w:val="2"/>
        </w:numPr>
        <w:spacing w:after="60"/>
      </w:pPr>
      <w:r>
        <w:rPr>
          <w:b/>
        </w:rPr>
        <w:t xml:space="preserve">Calidad</w:t>
      </w:r>
      <w:r>
        <w:t xml:space="preserve">: ROIC del 24 % frente a un WACC del 9,5 % y cinco años por encima del 20 % [6].</w:t>
      </w:r>
    </w:p>
    <w:p>
      <w:pPr>
        <w:pStyle w:val="ListParagraph"/>
        <w:numPr>
          <w:ilvl w:val="0"/>
          <w:numId w:val="2"/>
        </w:numPr>
        <w:spacing w:after="60"/>
      </w:pPr>
      <w:r>
        <w:rPr>
          <w:b/>
        </w:rPr>
        <w:t xml:space="preserve">Caja y accionista</w:t>
      </w:r>
      <w:r>
        <w:t xml:space="preserve">: dividendo de 3,56 USD anualizados y recompra de 2.000 M aprobada [8].</w:t>
      </w:r>
    </w:p>
    <w:p>
      <w:pPr>
        <w:pStyle w:val="ListParagraph"/>
        <w:numPr>
          <w:ilvl w:val="0"/>
          <w:numId w:val="2"/>
        </w:numPr>
        <w:spacing w:after="60"/>
      </w:pPr>
      <w:r>
        <w:rPr>
          <w:b/>
        </w:rPr>
        <w:t xml:space="preserve">Más barata que sus comparables</w:t>
      </w:r>
      <w:r>
        <w:t xml:space="preserve">: 18,6x frente a 21,2x en PER de los próximos 12 meses [32].</w:t>
      </w:r>
    </w:p>
    <w:p>
      <w:pPr>
        <w:pStyle w:val="Heading2"/>
      </w:pPr>
      <w:r>
        <w:t xml:space="preserve">En contra</w:t>
      </w:r>
    </w:p>
    <w:p>
      <w:pPr>
        <w:pStyle w:val="ListParagraph"/>
        <w:numPr>
          <w:ilvl w:val="0"/>
          <w:numId w:val="2"/>
        </w:numPr>
        <w:spacing w:after="60"/>
      </w:pPr>
      <w:r>
        <w:rPr>
          <w:b/>
        </w:rPr>
        <w:t xml:space="preserve">Sin margen de seguridad</w:t>
      </w:r>
      <w:r>
        <w:t xml:space="preserve">: DCF de 150,82 USD y valor intrínseco de 177,23 frente a 231,61.</w:t>
      </w:r>
    </w:p>
    <w:p>
      <w:pPr>
        <w:pStyle w:val="ListParagraph"/>
        <w:numPr>
          <w:ilvl w:val="0"/>
          <w:numId w:val="2"/>
        </w:numPr>
        <w:spacing w:after="60"/>
      </w:pPr>
      <w:r>
        <w:rPr>
          <w:b/>
        </w:rPr>
        <w:t xml:space="preserve">Vivienda y tipos</w:t>
      </w:r>
      <w:r>
        <w:t xml:space="preserve">: la mitad del negocio es residencial con el bono al 5,09 % [28].</w:t>
      </w:r>
    </w:p>
    <w:p>
      <w:pPr>
        <w:pStyle w:val="ListParagraph"/>
        <w:numPr>
          <w:ilvl w:val="0"/>
          <w:numId w:val="2"/>
        </w:numPr>
        <w:spacing w:after="60"/>
      </w:pPr>
      <w:r>
        <w:rPr>
          <w:b/>
        </w:rPr>
        <w:t xml:space="preserve">Ciclo de grandes proyectos</w:t>
      </w:r>
      <w:r>
        <w:t xml:space="preserve">: el no residencial es el motor actual y puede frenarse.</w:t>
      </w:r>
    </w:p>
    <w:p>
      <w:pPr>
        <w:pStyle w:val="ListParagraph"/>
        <w:numPr>
          <w:ilvl w:val="0"/>
          <w:numId w:val="2"/>
        </w:numPr>
        <w:spacing w:after="60"/>
      </w:pPr>
      <w:r>
        <w:rPr>
          <w:b/>
        </w:rPr>
        <w:t xml:space="preserve">Deflación de producto</w:t>
      </w:r>
      <w:r>
        <w:t xml:space="preserve">: en 2024 dejó las ventas planas [6].</w:t>
      </w:r>
    </w:p>
    <w:p>
      <w:pPr>
        <w:pStyle w:val="ListParagraph"/>
        <w:numPr>
          <w:ilvl w:val="0"/>
          <w:numId w:val="2"/>
        </w:numPr>
        <w:spacing w:after="60"/>
      </w:pPr>
      <w:r>
        <w:rPr>
          <w:b/>
        </w:rPr>
        <w:t xml:space="preserve">Directivos vendedores</w:t>
      </w:r>
      <w:r>
        <w:t xml:space="preserve">: ≈ 8,3 M USD en octubre y ninguna compra en 12 meses [25].</w:t>
      </w:r>
    </w:p>
    <w:p>
      <w:pPr>
        <w:pStyle w:val="Heading2"/>
      </w:pPr>
      <w:r>
        <w:t xml:space="preserve">Qué tiene que pasar para que la tesis funcione</w:t>
      </w:r>
    </w:p>
    <w:p>
      <w:pPr>
        <w:spacing w:after="100"/>
      </w:pPr>
      <w:r>
        <w:t xml:space="preserve">La tesis depende de que el crecimiento orgánico se mantenga en el 4-5 % con el margen ajustado en el 9,5-10 % mientras la vivienda no gira. La señal de que no se cumple: ventas residenciales negativas dos trimestres seguidos, precios con aportación negativa o margen bruto por debajo del 30 %.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residenciales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(1S26); guía 9,5-9,8 %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frente a minoristas y deflación.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1,8x tras FloWorks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1-2x y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18,6x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Ferguson nace de Wolseley, fundada en 1887 en el Reino Unido para fabricar esquiladoras; en 1979 dejó la fabricación para dedicarse a la distribución y en 1982 compró Ferguson Enterprises en EE. UU. [5]. Tras crecer en Europa, desde 2009 fue vendiendo todo lo que no era fontanería y calefacción en Norteamérica: el negocio nórdico (2018), el neerlandés (2019) y el británico (enero de 2021) [5]. En 2017 tomó el nombre de su filial estadounidense, en 2021 empezó a cotizar en Nueva York, en 2022 trasladó allí su cotización principal y en agosto de 2024 se domicilió en Delaware [1, 4]. En 2025 cambió el cierre del ejercicio de julio a diciembre, en julio de 2026 dejó Londres y el 5-ago-2026 entró en el S&amp;P 500 [1,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Wolseley (esquiladoras)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Ferguson Enterprises en EE. UU.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como Wolseley plc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Ferguson plc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Stark (nórdicos) y Wasco (Países Bajos)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británico (29-ene) y dividendo extraordinario; cotización en Nueva York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principal en la NYSE desde el 12-may-2022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matriz domiciliada en Delaware (1-ago-2024)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del cierre del ejercicio a diciembre; periodo de transición ago-dic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Exclusión de Londres (20-jul), entrada en el S&amp;P 500 (5-ago) y compra de FloWorks por 1.600 M (31-ago) [8, 14]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Ferguson es el mayor distribuidor con valor añadido de soluciones de agua y aire de Norteamérica: fontanería, climatización, electrodomésticos e iluminación, tuberías, válvulas y accesorios (PVF), redes de agua y saneamiento y protección contra incendios [1]. Compra a unos 37.000 proveedores (ninguno supera el 5 %) y vende a contratistas profesionales a través de 1.729 sucursales, 9 centros regionales de distribución y unos 6.200 vehículos [1]. En EE. UU. (95 % de las ventas) se organiza por grupos de clientes: agua y saneamiento 24 %, Ferguson Home 21 % (constructores, reformistas y diseñadores, con exposiciones y comercio digital), comercial/mecánico 15 %, fontanería residencial 15 %, climatización 11 %, industrial 7 %, suministros a instalaciones 4 % y contra incendios 3 % (ago-dic 2025) [1]. Residencial y no residencial pesan la mitad cada uno; dos tercios son reparación, mantenimiento y reforma y un tercio obra nueva [1]. Ningún cliente llega al 1 % de las ventas [1].</w:t>
      </w:r>
    </w:p>
    <w:p>
      <w:pPr>
        <w:pStyle w:val="Heading2"/>
      </w:pPr>
      <w:r>
        <w:t xml:space="preserve">Cómo gana dinero</w:t>
      </w:r>
    </w:p>
    <w:p>
      <w:pPr>
        <w:spacing w:after="100"/>
      </w:pPr>
      <w:r>
        <w:t xml:space="preserve">Gana el diferencial entre el precio de compra a fabricantes (con rápeles por volumen) y el de venta a contratistas: margen bruto del 31,0 % en 2025, gastos generales del 20,6 % de las ventas y margen operativo ajustado del 9,6 % [6]. El margen depende de la escala local (disponibilidad del producto en la sucursal o en la obra al día siguiente), del servicio técnico (diseño, presupuestos, logística de grandes proyectos) y de la mezcla (marca propia, productos técnicos). Casi la mitad de los costes son de personal y de red, así que hay apalancamiento operativo: con deflación de precios en 2024 el margen bajó y con +5 % de ventas en 2025 subió 50 pb [6]. El negocio es recurrente por el peso de la reparación y el mantenimiento (dos tercios), aunque cíclico por la obra nueva. Estacionalidad: el segundo y el tercer trimestre naturales concentran el beneficio (margen EBITDA del 11 % frente al 8-9 % en invierno)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Clientela muy fragmentada: ningún cliente supera el 1 % de las ventas; son contratistas de fontanería y climatización, constructores, empresas de obra civil y de agua, municipios, contratistas mecánicos de grandes proyectos (centros de datos, fábricas de semiconductores) e industria [1]. No hay contratos plurianuales relevantes: la fidelidad sale del crédito comercial, la disponibilidad y el servicio. </w:t>
      </w:r>
      <w:r>
        <w:rPr>
          <w:b/>
        </w:rPr>
        <w:t xml:space="preserve">Poder de precios</w:t>
      </w:r>
      <w:r>
        <w:t xml:space="preserve">: en FY2022 trasladó una inflación de producto de en torno al 19 % y el margen bruto subió, y en 2024, con precios a la baja, defendió el 30,3 % [4, 6]. </w:t>
      </w:r>
      <w:r>
        <w:rPr>
          <w:b/>
        </w:rPr>
        <w:t xml:space="preserve">Venta al público</w:t>
      </w:r>
      <w:r>
        <w:t xml:space="preserve">: no es un minorista. El grupo Ferguson Home (21 % de las ventas en EE. UU.) incluye exposiciones y comercio electrónico que atienden también a particulares, pero la empresa no publica qué parte es venta directa al consumidor final; el resto es venta a profesionales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no residenciales en EE. UU. (≈ mitad)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con cuota ganada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comercial/mecánico y grandes proyectos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residenciales en EE. UU. (≈ mitad)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viviendas iniciadas y reformas débiles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precios y subidas de proveedores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(2025); 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9,5-9,8 %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Sucursales y 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 sucursales, ≈ 35.000 empleados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centros regionales y unos 6.200 vehículos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1,8x tras FloWorks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1-2 veces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distribución de productos de fontanería, climatización, agua y saneamiento, PVF e incendios a profesionales de la construcción residencial y no residencial en EE. UU. y Canadá. Usamos la cifra de la propia empresa (340.000 M USD en 2025; 400.000 M con el perímetro industrial de FloWorks), porque es la que define su cuota [6, 14]. Como segunda fuente, la estadística mensual del Census para los mayoristas de ferretería, fontanería y calefacción (NAICS 4237): 257.975 M USD en 2025, un perímetro más estrecho (sin agua y saneamiento ni PVF industrial) que sirve para medir el crecimiento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340.000 M USD en 2025 (estimación de la empresa) y ≈ 400.000 M con FloWorks [6, 14]; mayoristas NAICS 4237 de EE. UU.: 257.975 M USD en 2025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ayoristas NAICS 4237,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Reparación, mantenimiento y reforma (dos tercios de las 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Parque de viviendas envejecido y con déficit de construcción; reformas débiles en 2025-26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Viviendas iniciadas y permisos a la baja; residencial −1 % en ago-dic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no residenciales (centros de datos, semiconductores, fábricas)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residencial +11 % en ago-dic 2025 y +8 % en el 2T26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redes de agua y saneamiento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y saneamiento pasó del 21 % (FY2023) al 24 % de las ventas en EE. UU.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producto (cobre, acero, plástico;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del ≈ 19 % en FY2022, precios ligeramente a la baja en FY2025, inflación baja en 2026 [4,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 un mercado fragmentado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 punto de crecimiento anual por compras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cientos de distribuidores regionales; Ferguson tiene ≈ 9 % y los grandes ganan cuota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37.000 proveedores, ninguno &gt; 5 % de las compras; los fabricantes de climatización tienen más poder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Depot (SRS y GMS) y Lowe's (FBM) han comprado distribuidores para profesionales por 18.250 M y 8.800 M [22,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directa del fabricante y el comercio digital existen, pero el contratista necesita disponibilidad local, crédito y servicio [1]</w:t>
            </w:r>
          </w:p>
        </w:tc>
      </w:tr>
    </w:tbl>
    <w:p>
      <w:pPr>
        <w:spacing w:after="160" w:before="0"/>
      </w:pPr>
    </w:p>
    <w:p>
      <w:pPr>
        <w:pStyle w:val="Heading2"/>
      </w:pPr>
      <w:r>
        <w:t xml:space="preserve">Ciclo</w:t>
      </w:r>
    </w:p>
    <w:p>
      <w:pPr>
        <w:spacing w:after="100"/>
      </w:pPr>
      <w:r>
        <w:t xml:space="preserve">Residencial débil (obra nueva y reformas a la baja) y no residencial fuerte por grandes proyectos y agua [8]. Los mayoristas NAICS 4237 vendieron un 2,6 % más en 2020, un 18,6 % más en 2021 y se quedaron planos en 2023 tras el ciclo de inflación [19]. Ferguson pasó por 2020 con −4 % de ventas en el segundo semestre del ejercicio y volvió a crecer en FY2021, y en 2023-24 se quedó plana con márgenes a la baja [4, 6]. En 2008-09 Wolseley tuvo que reestructurarse y cerrar sucursales [5].</w:t>
      </w:r>
    </w:p>
    <w:p>
      <w:pPr>
        <w:pStyle w:val="Heading2"/>
      </w:pPr>
      <w:r>
        <w:t xml:space="preserve">Regulación</w:t>
      </w:r>
    </w:p>
    <w:p>
      <w:pPr>
        <w:spacing w:after="100"/>
      </w:pPr>
      <w:r>
        <w:t xml:space="preserve">Aranceles de EE. UU. sobre importaciones (la empresa compra el 95 % de lo que vende en EE. UU. a proveedores estadounidenses, que a su vez importan componentes) [1]. Normas de eficiencia energética y cambio de refrigerantes en climatización (transición a los A2L desde 2025), que suben el precio medio de los equipos. Programas federales y estatales de inversión en agua potable y saneamiento (la ley de infraestructuras de 2021) [1]. La normativa de la SEC por la nueva domiciliación en Delaware y la salida de Londres simplifican el cumplimiento [8].</w:t>
      </w:r>
    </w:p>
    <w:p>
      <w:pPr>
        <w:pStyle w:val="Heading2"/>
      </w:pPr>
      <w:r>
        <w:t xml:space="preserve">Tendencias y disrupción</w:t>
      </w:r>
    </w:p>
    <w:p>
      <w:pPr>
        <w:spacing w:after="100"/>
      </w:pPr>
      <w:r>
        <w:t xml:space="preserve">Tres tendencias favorecen a los grandes: (1) la consolidación, porque la escala local da disponibilidad y compras más baratas; (2) los grandes proyectos (centros de datos, semiconductores, energía), que exigen logística y crédito que los pequeños no tienen; (3) el comercio digital con contratistas (pedidos sistema a sistema), donde Ferguson invierte. En contra: la entrada de Home Depot y Lowe's en la distribución a profesionales con compras de 8.800-18.250 M [22, 23], y la presión de los fabricantes por vender directo en climatización. FloWorks lleva a la empresa al control de fluidos industrial (químico, refino, energía, semiconductores)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Norteamérica en distribución de soluciones de agua y aire para profesionales: 31.316 M USD sobre un mercado de 340.000 M (≈ 9 %; ≈ 8 % sobre 400.000 M con el perímetro de FloWorks) [6,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&amp; Main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directo en agua y saneamiento; 12,7 % de ROIC con 2,6 veces deuda / EBITDA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distribuidor de climatización; compite en HVAC residencial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 eléctrico y de comunicaciones; se cruza en centros de datos e industria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de piscinas a profesionales; modelo de sucursales parecido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SiteOne Landscape Supply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Riego y paisajismo para profesionales; comprador en serie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Depot (SRS, GMS, HD Supply)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la distribución a profesionales con SRS (18.250 M, 16,1 veces el EBITDA ajustado 2023)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W.W. Grainger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GWW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Suministros industriales (MRO); compite en suministros a instalaciones e industrial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sucursales y centros dan más disponibilidad, pero no hay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comercial, integración de pedidos y diseño de proyectos; el contratista puede cambiar de proveedor pedido a pedido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por profesionales y marca propia;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(31.300 M) y logística: margen operativo ajustado del 9,6 % frente al 5-9 % de la mayoría de distribuidores comparables [4,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local de sucursales y centros regionales difícil de replicar fuera de las grandes cadenas [1]</w:t>
            </w:r>
          </w:p>
        </w:tc>
      </w:tr>
    </w:tbl>
    <w:p>
      <w:pPr>
        <w:spacing w:after="160" w:before="0"/>
      </w:pPr>
    </w:p>
    <w:p>
      <w:pPr>
        <w:pStyle w:val="Heading2"/>
      </w:pPr>
      <w:r>
        <w:t xml:space="preserve">Amenazas</w:t>
      </w:r>
    </w:p>
    <w:p>
      <w:pPr>
        <w:spacing w:after="100"/>
      </w:pPr>
      <w:r>
        <w:t xml:space="preserve">La amenaza más seria es la entrada de Home Depot y Lowe's en la distribución a profesionales: SRS, GMS y FBM les dan red y crédito, y su escala de compra es mayor que la de Ferguson [22, 23]. Probabilidad media de presión en precios en fontanería residencial y en Ferguson Home, menos en agua, industrial y grandes proyectos. Segunda: venta directa de los fabricantes de climatización a grandes contratistas (baja). Tercera: un ciclo inmobiliario largo que frene la reforma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8,3 %</w:t>
      </w:r>
      <w:r>
        <w:t xml:space="preserve">, EBITDA </w:t>
      </w:r>
      <w:r>
        <w:rPr>
          <w:b/>
          <w:bCs/>
        </w:rPr>
        <w:t xml:space="preserve">9,5 %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22.792 M USD en el ejercicio a julio de 2021 a 31.316 M en el año natural 2025 [4, 6]. El salto de 2022 (+25,3 %) fue casi todo precio: la inflación de producto aportó en torno al 19 % [4]. Después vinieron dos años planos (29.734 M en FY2023 y 29.818 M en el año natural 2024) con precios ligeramente a la baja, y una vuelta al crecimiento en 2025: +5,0 %, con un 4,5 % orgánico y un 1,0 % de compras, y deflación revertida a inflación baja [6]. El margen bruto se ha mantenido en el 30-31 % (31,0 % en 2025, +70 pb) y el margen operativo ajustado subió del 9,1 % al 9,6 % [6]. En el primer semestre de 2026 las ventas crecieron un 4,2 % y el margen operativo ajustado fue del 9,7 % [8]. El crecimiento por compras es recurrente (≈ 1 punto al año) y FloWorks, cerrada el 31-ago-2026, añade unos 1.000 M USD de ventas anuales [14, 15].</w:t>
      </w:r>
    </w:p>
    <w:p>
      <w:pPr>
        <w:pStyle w:val="Heading2"/>
      </w:pPr>
      <w:r>
        <w:t xml:space="preserve">Ajustes y partidas no recurrentes</w:t>
      </w:r>
    </w:p>
    <w:p>
      <w:pPr>
        <w:spacing w:after="100"/>
      </w:pPr>
      <w:r>
        <w:t xml:space="preserve">Cifras publicadas (US GAAP). FY2021 y FY2022 son de operaciones continuadas: el negocio británico, vendido el 29-ene-2021, va en interrumpidas (−158 M en FY2021 y +23 M en FY2022) [4, 5]. No recurrentes dentro del EBIT y del EBITDA, que el motor devuelve: reestructuración del traslado a EE. UU. y de red (11 M en FY2021, 17 M en FY2022, 26 M en 2024, 74 M en 2025, con una plusvalía de 20 M por la venta de un almacén) y 125 M en FY2023 por un proyecto informático abandonado y cierres de sucursales [3, 6]. La empresa publica además un resultado «ajustado» que suma la amortización de intangibles comprados (148 M en 2025) y quita ajustes fiscales discretos (−87 M en 2025, +94 M en 2024); el BPA ajustado de 2025 fue 10,58 USD frente a 10,16 publicado [6]. FY2021 lleva un ajuste fiscal discreto de −203 M (tipo efectivo del 12,5 %)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naturales; el 3T25 sale por diferencia entre el año natural 2025 y los otros tres trimestres publicados, y 2024 solo tiene el cuarto trimestre por separado [6, 7, 8]. EBITDA = beneficio operativo publicado + amortizaciones (no el ajustado). En mayo la dirección mantuvo la guía 2026 (ventas +bajo a medio dígito, margen operativo ajustado 9,4-9,8 %) con «mercados en general planos», y destacó la fuerza de los grandes proyectos no residenciales [7]. En agosto subió la guía a crecimiento de medio dígito y a un margen de 9,5-9,8 %, sin incluir FloWorks: no residencial +8 % en EE. UU. por cuota ganada en un mercado «mixto», residencial +2 % pese a un mercado débil, margen bruto del 31,0 % (−20 pb frente a un 2T25 inflado por las subidas de precio de los proveedores) y 573 M invertidos en cinco compras [8]. El cambio de discurso entre las dos conferencias: de prudencia por el mercado a confianza en la cuota y en los proyectos grandes (centros de datos, semiconductores, agua). La caja operativa del semestre bajó a 716 M (1.123 M un año antes) por más existencias y clientes [8]. No se ha podido leer la transcripción de las preguntas de los analistas (hueco registrado).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2.512 M (jul-2021) a 4.126 M (dic-2025) y a 4.925 M nominales a jun-2026, financiando recompras (4.700 M del programa de 2021) y compras [9]. La caja, de 1.335 M tras vender el Reino Unido, se ha llevado a un nivel operativo de 400-700 M. El circulante comercial (existencias + clientes − proveedores) es estacional: 15,3 % de las ventas en diciembre de 2025 y 16,6 % de las ventas de doce meses a junio de 2026 [1, 8]. Los balances de 2021-2023 son de cierre de julio (temporada alta) y el de 2024, de 31-ene-2025 (el más cercano al cierre de diciembre que se publica), lo que hace los ratios de circulante de los años de julio algo más altos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7.852</w:t>
      </w:r>
      <w:r>
        <w:t xml:space="preserve">, conversión </w:t>
      </w:r>
      <w:r>
        <w:rPr>
          <w:b/>
          <w:bCs/>
        </w:rPr>
        <w:t xml:space="preserve">85 %</w:t>
      </w:r>
      <w:r>
        <w:t xml:space="preserve"> del beneficio neto; adquisiciones 2.125, dividendos 3.578, recompras 4.648.</w:t>
      </w:r>
    </w:p>
    <w:p>
      <w:pPr>
        <w:spacing w:after="100"/>
      </w:pPr>
      <w:r>
        <w:t xml:space="preserve">Conversión alta y estable salvo en los años de inflación: en FY2022 el flujo operativo (1.149 M) se quedó en la mitad del beneficio por el aumento de existencias y clientes que exigió la subida de precios; en FY2023 lo devolvió (2.723 M) al liberar 607 M de existencias [1, 3]. En los años naturales 2024 y 2025 el flujo operativo fue de 2.071 M y 2.181 M (1,25 y 1,09 veces el beneficio neto) [6]. El capex es pequeño (1,0-1,5 % de las ventas: sucursales, centros de distribución y sistemas; 375-425 M de guía para 2026) [8]; la empresa no separa mantenimiento y crecimiento. Estimación propia: el mantenimiento se acerca a la depreciación del inmovilizado material (≈ 200 M al año) y el resto es crecimiento. Las compras (≈ 300 M al año, 2.183 M en 2026 con FloWorks) son la otra inversión recurrente. El primer semestre de 2026 consumió circulante: flujo operativo de 716 M frente a 1.123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(y control interno eficaz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desde 2022 (antes, Deloitte LLP en el Reino Unido) y dio opinión favorable sobre el periodo de transición y los tres ejercicios a julio, con un asunto clave de auditoría: la provisión de obsolescencia de existencias (4.600 M de existencias) [1]. Sin cambios de criterio relevantes; el cambio de cierre no reexpresa nada, pero los años naturales 2024 y 2025 que usamos son sumas de periodos auditados y no están auditados como tales [6]. El pago en acciones es pequeño (88 M en 2025, el 4,4 % del beneficio neto) [6]. Partidas que conviene vigilar: los ajustes fiscales discretos (liberaciones de posiciones inciertas) suben el beneficio publicado cada año, el «ajustado» de la empresa excluye la amortización de intangibles comprados, y el deterioro de 125 M de FY2023 por un proyecto informático fallido. Los rápeles de proveedores (descuentos por volumen) son una parte relevante del margen bruto y se estiman con objetivos escalonados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Rápeles de proveedores en el margen bruto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reconocen por estimación; una pequeña parte depende de objetivos escalonados de volumen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fiscales discretos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 M en 2025, −42 M en el periodo de transición, −34 M en el 1S26: rebajan el tipo efectivo publicado al 21-23 % frente al 26 % ajustado [6,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Proyecto informático deteriorado en FY2023 (≈ 107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solución piloto de sucursales no cumplió; se cargó en FY2023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2.470 M en 2025 (el 26 % del capital invertido medio); ha subido más de un 5 % en 3 de 4 años: comprador en serie. ROIC publicado 24,0 %; sin fondo de comercio, 32,5 %.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16,5 % · </w:t>
      </w:r>
      <w:r>
        <w:rPr>
          <w:b/>
          <w:bCs/>
        </w:rPr>
        <w:t xml:space="preserve">WACC</w:t>
      </w:r>
      <w:r>
        <w:t xml:space="preserve">: 9,5 %.</w:t>
      </w:r>
    </w:p>
    <w:p>
      <w:pPr>
        <w:spacing w:after="100"/>
      </w:pPr>
      <w:r>
        <w:t xml:space="preserve">Ferguson crea mucho valor: el ROIC del informe es del 24,0 % en 2025 frente a un WACC del 9,52 % (diferencia de 14,48 puntos), y nunca ha bajado del 20 % en los cinco años (máximo del 31,4 % en FY2022, con la inflación de producto, y mínimo del 20,8 % en 2024, con deflación) [1, 6]. Sin el fondo de comercio de las compras sube al 32,5 %. El motivo es un negocio de poco capital: el activo fijo es de ≈ 1,7 % de las ventas en capex anual y el capital lo absorbe sobre todo el circulante (existencias y clientes, ≈ 15 % de las ventas), que rota casi dos veces al año. Margen neto del 6,4 % y rotación de 1,86 veces. El ROE (35 %) está inflado por las recompras: el patrimonio es pequeño (5.857 M) frente a la capitalización. El ROIC incremental histórico (16,5 %) es más bajo porque las compras pagan fondo de comercio; aun así queda muy por encima del WACC. Watsco (15,7 %), Pool (15,9 %) y Core &amp; Main (12,7 %) quedan por debajo [31].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437 M USD a 30-jun-2026, línea de crédito comprometida de 1.500 M (250 M dispuestos; vence en abril de 2031) y titulización de clientes de 900 M (525 M dispuestos; vence en octubre de 2027) [9]. En agosto emitió 1.200 M en bonos (700 M al 4,80 % a 2029 y 500 M al 5,60 % a 2036) y firmó un puente de hasta 700 M para pagar FloWorks [16,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(la empresa no da la calificación en sus documentos revisados)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1.891 M a dic-2025 (455 M a corto y 1.436 M a largo) y 2.178 M de pagos sin descontar; en US GAAP su gasto ya está en el EBITDA y no van al puente [1]. Pensiones en el Reino Unido y Canadá con un déficit neto de 14 M a dic-2025 (superávit de 26 M a jul-2025) [1]. Pasivos fiscales por posiciones inciertas de 102 M [1]. Obligaciones de compra de 2.543 M a un año, cancelables en su mayoría [1]. Cumple todos los covenants; la política es mantener deuda neta / EBITDA ajustado entre 1 y 2 veces (1,3 veces a jun-2026, ≈ 1,8 tras FloWorks según la propia empresa) [1, 8]. Sin factoring sin recurso: la titulización de clientes figura como deuda [9].</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crecimiento orgánico, dividendo creciente, compras de consolidación y devolver el excedente con recompras, con deuda neta / EBITDA ajustado de 1-2 veces y métricas de grado de inversión [8]. Dividendo trimestral de 0,89 USD (3,56 USD anualizados, ≈ 1,5 % de rentabilidad) [8]. En abril de 2026 el consejo aprobó un programa de recompra de hasta 2.000 M que sustituye al de 2021 (4.700 M ejecutados de 5.000 M); a jun-2026 llevaba 136 M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FloWorks (FWI Holdings): válvulas y control de fluidos industrial, ≈ 1.000 M USD de ventas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1.200 M (ago-2026), puente de hasta 700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31-ago-2026; ≈ 10 veces el EBITDA ajustado de doce meses con 45 M de sinergias; acrecitiva en BPA ajustado según la empresa [14,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compras del 2T26 (Carrier Great Lakes, Dealers Supply, New England Applied Products, Hamlett, PRD) y tres del 1T26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titulización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ocho del año (con FloWorks) suman ≈ 1.400 M de ventas anuales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compras en el año natural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 300 M de ventas anuales; ≈ 0,9 veces ventas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año natural 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Aportaron ≈ 1 punto de crecimiento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FY2023 (entre ellas Guarino, Monarch y Power Process Controls)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de fondo de comercio desde entonces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FY2022 (entre ellas Airefco, Signature Fire y Pacific Coast Lighting)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 de 1.000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de fondo de comercio [4]</w:t>
            </w:r>
          </w:p>
        </w:tc>
      </w:tr>
    </w:tbl>
    <w:p>
      <w:pPr>
        <w:spacing w:after="160" w:before="0"/>
      </w:pPr>
    </w:p>
    <w:p>
      <w:pPr>
        <w:spacing w:after="100"/>
      </w:pPr>
      <w:r>
        <w:t xml:space="preserve">Ferguson devuelve casi todo su flujo libre: en 2024 y 2025 pagó ≈ 650 M al año de dividendo y recompró ≈ 900 M, con un flujo operativo de 2.071 M y 2.181 M y un capex de 330-350 M [6]. El número de acciones diluidas ha bajado de 224,8 M (FY2021) a 197,4 M (2025), un 3 % al año [11]. Las compras pequeñas (300-650 M al año) añaden ≈ 1 punto de crecimiento anual y en 2026 se suma FloWorks (1.600 M a ≈ 10 veces el EBITDA con sinergias), financiada con bonos y un puente, que lleva la deuda neta a ≈ 1,8 veces el EBITDA ajustado, dentro del objetivo de 1-2 veces [8, 14, 16]. La asignación es disciplinada y el precio pagado razonable; el riesgo es que la recompra se haga con la acción por encima de su valor intrínseco, como ahora.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Murphy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Ferguson desde 1999; dirigió la filial estadounidense desde 2017 y el grupo desde noviembre de 2019 [1]. Con él vendió el Reino Unido, trasladó la cotización y la sede a EE. UU. y llevó las ventas de 19.940 M (FY2020) a 31.316 M (2025)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Brundage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la filial estadounidense desde 2017 y del grupo desde noviembre de 2020; en la empresa desde 2008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Geoff Drabble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Ashtead (alquiler de maquinaria), consejero desde mayo de 2019 y presidente desde noviembre de 2019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Thees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1990; dirigió el negocio de agua y saneamiento, hoy el mayor grupo de clientes (24 % de las ventas)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Jake Schlicher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1999 con la compra de L&amp;H Supply; dirigió marca propia y negocio comercial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 Camposano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agua y saneamiento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 empresa desde 1996; vicepresidente de agua y saneamiento de 2019 a 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bajo; margen operativo ajustado 9,0-9,5 %; capex 400-450 M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+3,8 %; margen ajustado 9,2 %; capex 305 M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(año natural)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margen ajustado 9,2-9,6 %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+5,0 %; margen ajustado 9,6 %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de un dígito bajo a medio y margen ajustado 9,4-9,8 %; agosto: un dígito medio y 9,5-9,8 % [6,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+4,2 % y margen ajustado 9,7 %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de la casa: el consejero delegado, el director financiero y el de operaciones llevan 20-35 años en la empresa [1]. Ha cumplido las tres guías anuales recientes, con revisiones al alza en 2026 [8]. La dirección tiene poco capital (148.740 acciones el consejero delegado, ≈ 34 M USD) [24] y en octubre de 2026 vendió acciones dentro de planes 10b5-1 tras la consolidación de incentivos [25]. Sucesión: el banquillo de vicepresidentes sénior por grupo de clientes es amplio; el cambio de responsables de relación con inversores en 2026 fue por jubilación anunciada [6].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Geoff Drabble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Brundage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Rekha Agrawal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Baker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Rick Beckwitt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Cathy Halligan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S. Metcalf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Suzanne 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(y control interno eficaz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8,32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5-mar-2026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del 17-jul-2025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292.197 acciones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Murphy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Brundage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Jake Schlicher (director de estrategia; desde 28-ago-2026)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Thees (director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Ian Graham, Bo Camposano y Allison Stirrup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14,14 M USD en FY2025 (1,46 M de fijo, 2,63 M de variable anual y 9,74 M en acciones y opciones a valor de concesión) y 7,66 M en los cinco meses de transición [24]. El variable anual se mide con el beneficio operativo ajustado (solo esa métrica en el periodo de transición); el de largo plazo, con acciones por objetivos de tres años, opciones y acciones restringidas [24]. La relación con el empleado mediano fue de 239 a 1 en el periodo de transición [24]. El voto consultivo de 2025 sobre la remuneración de FY2025 salió con ≈ 91 % a favor [24]. La subida de 2024 a 2025 (9,05 M a 14,14 M) se explica por el aumento del incentivo a largo plazo tras el traslado a EE. UU. para acercarse a la mediana de su grupo de comparación estadounidense [24].</w:t>
      </w:r>
    </w:p>
    <w:p>
      <w:pPr>
        <w:pStyle w:val="Heading2"/>
      </w:pPr>
      <w:r>
        <w:t xml:space="preserve">Operaciones vinculadas, estructura de control y defensas</w:t>
      </w:r>
    </w:p>
    <w:p>
      <w:pPr>
        <w:spacing w:after="100"/>
      </w:pPr>
      <w:r>
        <w:t xml:space="preserve">Sin accionista de control: el mayor es Vanguard con el 10,1 %, como gestor de índices [24]. Una sola clase de acciones con un voto. Presidente independiente separado del consejero delegado; nueve de los once consejeros son independientes [24]. La política de operaciones vinculadas exige aprobación previa y no hay operaciones relevantes [24]. Al domiciliarse en Delaware en 2024 adoptó estatutos estadounidenses; no hemos encontrado píldora venenosa ni consejo escalonado en el proxy.</w:t>
      </w:r>
    </w:p>
    <w:p>
      <w:pPr>
        <w:pStyle w:val="Heading2"/>
      </w:pPr>
      <w:r>
        <w:t xml:space="preserve">Señales de alerta</w:t>
      </w:r>
    </w:p>
    <w:p>
      <w:pPr>
        <w:pStyle w:val="ListParagraph"/>
        <w:numPr>
          <w:ilvl w:val="0"/>
          <w:numId w:val="2"/>
        </w:numPr>
        <w:spacing w:after="60"/>
      </w:pPr>
      <w:r>
        <w:t xml:space="preserve">Ventas de directivos por ≈ 8,3 M USD en octubre de 2026 (86 % dentro de planes 10b5-1), sin ninguna compra en mercado en doce meses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año natural 2026, elevada el 10-ago-2026 y sin FloWorks: ventas con crecimiento de un dígito medio (antes, de un dígito bajo a medio), margen operativo ajustado del 9,5-9,8 % (antes 9,4-9,8 %), gasto por intereses de unos 200 M, capex de 375-425 M y tipo impositivo ajustado del 26 % [8]. FloWorks (≈ 1.000 M de ventas anuales) consolida desde el 31-ago-2026 [14]. En febrero de 2026 la dirección presentó un marco a medio plazo que la prensa resume como camino hacia 40.000 M de ventas y más del 10 % de margen, sin fecha publicada en los documentos revisados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13 analistas (BPA ajustado)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14 analistas (BPA ajustado)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235,00 – 325,00</w:t>
            </w:r>
          </w:p>
        </w:tc>
      </w:tr>
    </w:tbl>
    <w:p>
      <w:pPr>
        <w:spacing w:after="160" w:before="0"/>
      </w:pPr>
    </w:p>
    <w:p>
      <w:pPr>
        <w:pStyle w:val="Heading2"/>
      </w:pPr>
      <w:r>
        <w:t xml:space="preserve">Revisiones de estimaciones</w:t>
      </w:r>
    </w:p>
    <w:p>
      <w:pPr>
        <w:spacing w:after="100"/>
      </w:pPr>
      <w:r>
        <w:t xml:space="preserve">El BPA ajustado de consenso para 2026 ha subido de 11,26 a 11,45 USD en 90 días y el de 2027 de 12,55 a 12,73 (+1,4 %), tras la guía elevada y la compra de FloWorks [27]. El precio objetivo medio (283,23 USD, 22 analistas) está un 22 % por encima del precio; en agosto BofA lo bajó de 325 a 315 y Deutsche Bank lo subió de 256 a 261, según comentarios de mercado [27]. El consenso es del BPA </w:t>
      </w:r>
      <w:r>
        <w:rPr>
          <w:b/>
        </w:rPr>
        <w:t xml:space="preserve">ajustado</w:t>
      </w:r>
      <w:r>
        <w:t xml:space="preserve"> (sin amortización de intangibles comprados ni ajustes fiscales discretos): unos 0,5-0,8 USD por encima del publicado. Solo una fuente gratuita con estimaciones completas; los precios objetivo se contrastan con Stock Analysis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A diez años la acción ha batido al S&amp;P 500 (17,5 % anual frente a 15,4 %), pero en el último año se ha quedado atrás (−0,2 % frente a +16,8 %) [26]. La historia es de ciclo de vivienda y tipos: −27,2 % en 2022 con la subida de tipos, +55,1 % en 2023 y −8,6 % en 2024, cuando las ventas se quedaron planas con deflación [6, 26]. En 2026 ha ido de 263,66 USD (12-feb) a 212,13 (21-sep) pese a cumplir y subir la guía: el mercado descuenta un residencial débil más largo y una normalización de los grandes proyectos. La entrada en el S&amp;P 500 (anuncio el 31-jul) dio un +8 % que se deshizo en seis semanas [26, 33]. Datos en USD del cierre del 16-oct-2026.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 +1,1 % / -11,1 % / -4,0 %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 +8,1 %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8,0 % el 9-dic-2025, día de los resultados del trimestre ago-oct 2025 y del anuncio de la guía del año natural; el mercado leyó con decepción la debilidad residencial [26,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263,66 USD (12-feb) a 217,56 (20-mar), con −5,1 % el 12-mar; tras unos resultados de 2025 que batieron, la guía 2026 «apagada» y el residencial débil pesaron; no hemos encontrado una noticia propia del 12-mar [26,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hasta 263,42 USD (20-abr) con el mercado y antes de los resultados del 1T26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1T26 (5-may: batió en BPA, guía mantenida con «mercados en general planos») cayó a 223,82 USD a mediados de mayo [7, 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 el 3-ago por la entrada en el S&amp;P 500 y máximo de 263,78 USD el 10-ago con resultados y guía elevada; después, caída hasta 214,35 (16-sep) con la emisión de 1.200 M en bonos para FloWorks y la vuelta de la prudencia sobre la vivienda [8, 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FloWorks por 1.600 M USD (≈ 10 veces el EBITDA con sinergias), cerrada el 31-ago-2026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Dow Jones anuncia la entrada de Ferguson en el S&amp;P 500 desde el 5-ago-2026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bonos por 1.200 M USD (4,80 % a 2029 y 5,60 % a 2036); no hay ampliación de capital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se vuelve prudente con los productos de construcción porque se aleja la recuperación de la vivienda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siete directivos por ≈ 8,3 M USD en 12-15 de octubre, el 86 % con planes 10b5-1 y tras la consolidación anual de acciones; ninguna compra en 12 meses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9-nov-2026, primeros con FloWorks (fecha confirmada, no estimada, en Yahoo calendarEvents)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cotiza un 13,5 % por debajo de su máximo de 52 semanas y por debajo de su media de 200 sesiones (tendencia bajista) pese a haber subido la guía: el movimiento es de sector (vivienda y tipos al 5,09 %) y no de la empresa [26, 28]. No hay colocaciones, ampliaciones, litigios ni ofertas pendientes. Las ventas de directivos son pequeñas frente a su participación y programadas. Los resultados del 9-nov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la serie: 30 de julio de 2021, 29 de julio de 2022 y 31 de julio de 2023 (cierres de los ejercicios a julio) y 31 de diciembre de 2024 y 2025 (años naturales) [26]. Antes de 2021 la acción cotizaba sobre todo en Londres; la serie de Yahoo de FERG la cubre en USD.</w:t>
      </w:r>
    </w:p>
    <w:p>
      <w:pPr>
        <w:pStyle w:val="Heading1"/>
      </w:pPr>
      <w:r>
        <w:t xml:space="preserve">18. Comparables cotizados</w:t>
      </w:r>
    </w:p>
    <w:p>
      <w:pPr>
        <w:pStyle w:val="Confianza"/>
        <w:spacing w:after="100"/>
      </w:pPr>
      <w:r>
        <w:t xml:space="preserve">Confianza: Media</w:t>
      </w:r>
    </w:p>
    <w:p>
      <w:pPr>
        <w:spacing w:after="100"/>
      </w:pPr>
      <w:r>
        <w:t xml:space="preserve">Distribuidores estadounidenses de producto técnico para profesionales con red de sucursales: los de construcción y agua (Core &amp; Main, Watsco, SiteOne, Pool), los grandes de material eléctrico (WESCO) y los de suministros industriales (Grainger, Fastenal, Applied Industrial). Fuera Home Depot y Lowe's, minoristas con distribución a profesionales dentro, y los europeos (otro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Ferguson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&amp; Main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SiteOne Landscape Supply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Applied Industrial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15,3x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21,2x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1,5x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t xml:space="preserve">Ocho distribuidores estadounidenses de producto técnico para profesionales [32]. Ferguson cotiza a 15,3 veces el EBITDA de los últimos 12 meses, justo en la mediana del grupo (15,3x), y a 18,6 veces el BPA ajustado de los próximos 12 meses, por debajo de la mediana (21,2x), pese a tener el ROIC más alto del grupo salvo Grainger y Fastenal (24 % frente a 33 %). Los de construcción y agua (Core &amp; Main, Pool, SiteOne) cotizan a 12-20 veces el beneficio, más bajos, y los de suministros industriales con margen del 17-22 % (Grainger, Fastenal) a 26-37 veces; Ferguson está en medio en margen (10,4 %) y en múltiplo. Los PER del grupo son de BPA ajustado y el nuestro de la regla a 12 meses es contable: la mediana de 21,2x sobrestima algo el alcista.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FloWorks (válvulas y control de fluidos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 veces el EBITDA ajustado de doce meses incluidas 45 M de sinergias; vendedor Wynnchurch Capital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Foundation Building Materials (materiales de interior)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Lowe's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6.500 M de ventas y 635 M de EBITDA ajustado 2024 proforma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SRS Distribution (tejados, piscinas, paisajismo)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10.000 M de ventas y ≈ 1.100 M de EBITDA ajustado 2023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(11,7x – 14,8x)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169,81 – 222,28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Tres operaciones con múltiplo publicado: FloWorks (Ferguson, 10,0 veces el EBITDA con sinergias), Foundation Building Materials (Lowe's, 13,4 veces) y SRS (Home Depot, 16,1 veces) [14, 22, 23]. Las dos de los minoristas llevan prima estratégica por entrar en el profesional y son de otras categorías (tejados, piscinas, pladur). La mediana (13,4x) da 199,06 USD, por debajo del precio: el mercado paga hoy por Ferguson entera más de lo que pagan los compradores por distribuidores de tamaño medio. Peso 0 en la valoración por la muestra pequeña.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es fijo: seis meses reales (+4,2 %) y la guía de agosto (crecimiento de un dígito medio sin FloWorks) más ≈ 330 M de FloWorks desde el 31-ago dan un +6,0 % (33.195 M frente a 33.095 M del consenso) [8, 27]. 2027e crece un 7,0 % con FloWorks el año entero (+2 puntos) y compras pequeñas (+0,5 puntos), frente al +7,4 % del consenso [27]. Después bajamos del 5,5 % al 3,5 %: volumen del 2-2,5 % (el mercado de fontanería y climatización crece con la inflación y la reforma), precio del 2 % y ≈ 1 punto de compras pequeñas, como en su historia [19]. Crecimiento medio del 4,9 %, por debajo de la TCAC de 2021-2025 (8,3 %, inflada por la inflación de 2022).</w:t>
      </w:r>
    </w:p>
    <w:p>
      <w:pPr>
        <w:keepNext/>
        <w:spacing w:after="100"/>
      </w:pPr>
      <w:r>
        <w:rPr>
          <w:b/>
          <w:bCs/>
        </w:rPr>
        <w:t xml:space="preserve">Márgenes.</w:t>
      </w:r>
    </w:p>
    <w:p>
      <w:pPr>
        <w:spacing w:after="100"/>
      </w:pPr>
      <w:r>
        <w:t xml:space="preserve">Margen EBITDA contable (beneficio operativo publicado + amortizaciones) del 10,4 % en 2026e (10,4 % en los últimos 12 meses) que sube 60 pb hasta el 11,0 % en 2030e por apalancamiento operativo: con +5 % de ventas en 2025 el margen ajustado subió 50 pb [6]. El máximo histórico fue del 10,9 % en FY2022, con inflación de producto. La guía ajustada de 2026 (9,5-9,8 % de margen operativo) equivale a un EBITDA contable del 10,3-10,6 % [8].</w:t>
      </w:r>
    </w:p>
    <w:p>
      <w:pPr>
        <w:keepNext/>
        <w:spacing w:after="100"/>
      </w:pPr>
      <w:r>
        <w:rPr>
          <w:b/>
          <w:bCs/>
        </w:rPr>
        <w:t xml:space="preserve">Inversión y circulante.</w:t>
      </w:r>
    </w:p>
    <w:p>
      <w:pPr>
        <w:spacing w:after="100"/>
      </w:pPr>
      <w:r>
        <w:t xml:space="preserve">Capex del 1,3 % de las ventas en 2026e (guía de 375-425 M) y del 2,2 % en 2027e-2030e y del 2,0 % después, que incluye ≈ 1 punto de compras pequeñas recurrentes: el crecimiento proyectado lleva ese punto de compras y su coste tiene que estar en el flujo [6, 8]. Amortización del 1,25 % (1,2 % en 2025). Circulante del 15,5 % de las ventas (15,3 % real en 2025) [1]. Tipo impositivo del 25,5 % (guía ajustada del 26 %; 22,4 % contable en 2025 por partidas fiscales favorables) [8].</w:t>
      </w:r>
    </w:p>
    <w:p>
      <w:pPr>
        <w:keepNext/>
        <w:spacing w:after="100"/>
      </w:pPr>
      <w:r>
        <w:rPr>
          <w:b/>
          <w:bCs/>
        </w:rPr>
        <w:t xml:space="preserve">Coste del capital.</w:t>
      </w:r>
    </w:p>
    <w:p>
      <w:pPr>
        <w:spacing w:after="100"/>
      </w:pPr>
      <w:r>
        <w:t xml:space="preserve">Tasa libre del 5,09 % (bono a 10 años de EE. UU. del 16-oct-2026) [28]; beta de 1,05 (la de cinco años de la acción frente al S&amp;P 500 es de 1,12 [26]; la acercamos a la de los distribuidores comparables, ≈ 1,0, porque la de FERG recoge cuatro años de cotización en Nueva York con doble listado en Londres); prima de mercado del 5,0 %; coste de la deuda del 5,2 % antes de impuestos (cupones de los bonos de agosto del 4,80 % a 2029 y del 5,60 % a 2036) [16]; peso de la deuda del 12,7 % a valor de mercado. WACC del 9,52 %. Con la prima implícita del mercado (4,20 %) baja al 8,79 % [29].</w:t>
      </w:r>
    </w:p>
    <w:p>
      <w:pPr>
        <w:keepNext/>
        <w:spacing w:after="100"/>
      </w:pPr>
      <w:r>
        <w:rPr>
          <w:b/>
          <w:bCs/>
        </w:rPr>
        <w:t xml:space="preserve">Valor terminal.</w:t>
      </w:r>
    </w:p>
    <w:p>
      <w:pPr>
        <w:spacing w:after="100"/>
      </w:pPr>
      <w:r>
        <w:t xml:space="preserve">Gordon con un crecimiento del 3,0 % en USD (≈ 1 % real + 2 % de inflación). El valor terminal pesa un 59 % del valor de empresa y equivale a 8,6 veces el EBITDA del último año, muy por debajo de las 11-17 veces a las que cotizan hoy los distribuidores comparables [32]: el DCF supone que el múltiplo de mercado de la distribución especializada no se mantiene a perpetuidad.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(ROIC 24,0 %)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frente al 4,9 %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(histórico: 16,5 %)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(hoy: 9,2 %)</w:t>
            </w:r>
          </w:p>
        </w:tc>
      </w:tr>
    </w:tbl>
    <w:p>
      <w:pPr>
        <w:spacing w:after="160" w:before="0"/>
      </w:pPr>
    </w:p>
    <w:p>
      <w:pPr>
        <w:spacing w:after="100"/>
      </w:pPr>
      <w:r>
        <w:t xml:space="preserve">La proyección reinvierte el 21 % del NOPAT. Con el ROIC del último ejercicio (24,0 %), eso financia un crecimiento del 5,0 % anual, frente al 4,9 % de ingresos proyectado. Supone que el capital nuevo rinde un 23,0 %, frente a un ROIC incremental histórico del 16,5 %; la cuota de mercado pasaría al 8,9 % desde el 9,2 %.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+4,2 % (volumen ≈ 2 % y precio ≈ 2 %); FloWorks y compras pequeñas añaden ≈ 2,5 puntos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FloWorks el año entero y compras pequeñas (+2,5 puntos); volumen del 2,5 % con algo de vivienda y grandes proyectos.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precio del 2 % y un punto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más un punto de compras; cuota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El crecimiento proyectado (4,9 % anual) queda por debajo del histórico (8,3 % en 2021-2025, inflado por la inflación de producto de 2022) y cerca del mercado: las ventas de los mayoristas de fontanería y climatización de EE. UU. (NAICS 4237) crecieron un 8,4 % anual entre 2015 y 2025 en dólares corrientes [19]. La cuota implícita en 2035e (50.504 M sobre ≈ 569.000 M, 8,9 %) es la de hoy (9,2 %): no suponemos ganar cuota, pese a que Ferguson la ha ganado de forma constante. La reinversión que pide la proyección (21 % del NOPAT, con el punto anual de compras pequeñas dentro del capex) financia un crecimiento del 5,0 % con el ROIC actual del 24 %; el rendimiento implícito del capital nuevo (23 %) queda por encima del incremental histórico (16,5 %), pero dentro del margen que permite el control, porque el crecimiento orgánico de la distribución pide sobre todo circulante. Lo que no está garantizado es el margen: subir 60 pb exige que la vivienda no caiga.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 (base: 11,0 %)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9,5 %)</w:t>
            </w:r>
          </w:p>
        </w:tc>
      </w:tr>
    </w:tbl>
    <w:p>
      <w:pPr>
        <w:spacing w:after="160" w:before="0"/>
      </w:pPr>
    </w:p>
    <w:p>
      <w:pPr>
        <w:spacing w:after="100"/>
      </w:pPr>
      <w:r>
        <w:t xml:space="preserve">El DCF da 150,82 USD por acción, un 34,9 % por debajo del precio, con un WACC del 9,52 % y un valor terminal que pesa el 59 %. El DCF inverso dice qué descuenta el precio: un crecimiento anual del 13,2 % en 2027e-2035e con nuestro margen, frente al 4,8 % de nuestro caso base; o un margen EBITDA del 14,5 % con nuestro crecimiento, frente al 11,0 % (máximo histórico del 10,9 %); o una rentabilidad anual del 7,5 %, por debajo del 9,5 % que pedimos y del 8,8 % que pide hoy el mercado. Es exigente: el precio supone que la acción conserve el múltiplo de los distribuidores especializados (15 veces el EBITDA) para siempre. Con la prima implícita del mercado el valor sube a 174,32 USD, aún un 25 % por debajo. El DCF no decide la recomendación (lo hace la regla a 12 meses), pero dice que no hay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de la vivienda y fin del ciclo de grandes proyectos en 2027, con deflación de producto como en 2024: 3 puntos menos de crecimiento al año y 1,2 puntos menos de margen EBITDA; WACC medio punto más alto y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Vivienda plana, grandes proyectos que siguen, FloWorks integrada y compras pequeñas: crecimiento medio del 4,8 % y margen EBITDA que sube al 11,0 %.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bajan en 2027, la vivienda gira y el no residencial sigue fuerte: 1,5 puntos más de crecimiento y 0,6 puntos más de margen, hasta el 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23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142,88 USD (-38,3 %).</w:t>
      </w:r>
    </w:p>
    <w:p>
      <w:pPr>
        <w:spacing w:after="100"/>
      </w:pPr>
      <w:r>
        <w:t xml:space="preserve">La asimetría del valor intrínseco es mala: incluso el alcista (178,70 USD) queda un 22,8 % por debajo del precio y el bajista (91,16 USD) un 60,6 %. La de 12 meses es más equilibrada: el bajista (13,8x × 9,50) da 131,10 USD (−43 %) y el alcista (21,2x × 14,39) 305,07 USD (+32 %). El precio de hoy solo se sostiene con el múltiplo de mercado del sector; nuestro DCF con un WACC del 9,5 % no lo da.</w:t>
      </w:r>
    </w:p>
    <w:p>
      <w:pPr>
        <w:pStyle w:val="Heading1"/>
      </w:pPr>
      <w:r>
        <w:t xml:space="preserve">22. Suma de partes</w:t>
      </w:r>
    </w:p>
    <w:p>
      <w:pPr>
        <w:pStyle w:val="Confianza"/>
        <w:spacing w:after="100"/>
      </w:pPr>
      <w:r>
        <w:t xml:space="preserve">Confianza: Media</w:t>
      </w:r>
    </w:p>
    <w:p>
      <w:pPr>
        <w:spacing w:after="100"/>
      </w:pPr>
      <w:r>
        <w:t xml:space="preserve">No aplica: un solo negocio (distribución especializada a profesionales) con dos segmentos geográficos, EE. UU. (≈ 95 % de las ventas) y Canadá, que comparten modelo, proveedores y márgenes parecidos; separarlos no añade información de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23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177,23 USD (-23,5 % sobre 231,61).</w:t>
      </w:r>
    </w:p>
    <w:p>
      <w:pPr>
        <w:spacing w:after="100"/>
      </w:pPr>
      <w:r>
        <w:t xml:space="preserve">Pesos: DCF 50 %, comparables 25 % y escenarios 25 %; transacciones 0 % (tres operaciones con múltiplo, de las que dos son compras de minoristas con prima estratégica). El DCF es el método más fiable para un negocio estable y de poco capital, aunque depende mucho de la tasa libre del 5,09 % y del margen a largo plazo. Los comparables (PER de los próximos 12 meses con una mediana de 21,2x) dan 264,38 USD, por encima del precio: Ferguson cotiza con descuento frente a sus comparables (18,6x frente a 21,2x) pese a tener el mayor ROIC del grupo. Las transacciones dan 199,06 USD. La dispersión entre métodos (de 151 a 264 USD) es amplia: el sector entero cotiza por encima de lo que da un DCF con crecimiento de mercado.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(19.6x) a mitad de camino hacia abajo, hacia la mediana de 5 años (17.1x)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spacing w:after="100"/>
      </w:pPr>
      <w:r>
        <w:rPr>
          <w:b/>
          <w:bCs/>
        </w:rPr>
        <w:t xml:space="preserve">Objetivo a 12 meses (ponderado):</w:t>
      </w:r>
      <w:r>
        <w:t xml:space="preserve"> 228,18 USD · rentabilidad +0,0 % (base +4,4 %) · señal Mantener.</w:t>
      </w:r>
    </w:p>
    <w:p>
      <w:pPr>
        <w:spacing w:after="100"/>
      </w:pPr>
      <w:r>
        <w:t xml:space="preserve">Para comparar, con la regla v2 (historia al cierre, mismo precio): 13,1x / 19,3x / 21,2x, 2,1 %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(11,79 USD) queda un 7,4 % por debajo del consenso (12,73) [27], casi todo por la base: el consenso es BPA ajustado (sin la amortización de intangibles de las compras ni la reestructuración, ≈ 240 M antes de impuestos en 2027 con FloWorks) y el nuestro es contable, como la historia del PER. Ventas casi iguales (35.519 M frente a 35.556 M). Nuestro precio base (238,27 USD) queda un 15,9 % por debajo del objetivo medio de los analistas (283,23): ellos aplican ≈ 22 veces el BPA ajustado de 2027, el múltiplo de los distribuidores de calidad, y nosotros la historia de la propia Ferguson. No movemos supuestos: la diferencia es de base contable y de múltiplo, no de negocio.</w:t>
      </w:r>
    </w:p>
    <w:p>
      <w:pPr>
        <w:keepNext/>
        <w:spacing w:after="100"/>
      </w:pPr>
      <w:r>
        <w:rPr>
          <w:b/>
          <w:bCs/>
        </w:rPr>
        <w:t xml:space="preserve">Del valor intrínseco al objetivo a 12 meses.</w:t>
      </w:r>
    </w:p>
    <w:p>
      <w:pPr>
        <w:spacing w:after="100"/>
      </w:pPr>
      <w:r>
        <w:t xml:space="preserve">El objetivo a 12 meses (228,18 USD, ponderado) está un 29 % por encima del valor intrínseco (177,23 USD). La distancia es el múltiplo: el mercado paga a los distribuidores especializados de calidad 15 veces el EBITDA porque descuenta crecimiento por compras y una vuelta de la vivienda, y nuestro DCF con un WACC del 9,5 % y crecimiento de mercado no lo da. Para cerrarla haría falta un crecimiento del 13 % anual (DCF inverso) o un margen del 14,5 %. A 12 meses la acción puede moverse con los tipos y la vivienda; el valor real está por debajo del precio, así que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(jul-sep), primeros con FloWorks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elevada (crecimiento de un dígito medio y margen ajustado del 9,5-9,8 %) y primera guía con FloWorks [8, 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ajustado de 12,73 USD en 2027 (+11 %) [27]; una guía por debajo pesaría.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tipos hipotecarios y recuperación de la vivienda nueva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negocio es residencial; un giro de la vivienda es el principal motor del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grandes proyectos no residenciales (centros de datos, semiconductores, energía)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residencial +8 % en el 2T26 por cuota ganada; FloWorks añade exposición industrial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2.000 M USD aprobada en abril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4,5 % del capital a precio de hoy; frenada en parte por FloWorks.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FloWorks y sinergias de 45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Acrecitiva en BPA ajustado según la empresa; el riesgo es de ejecución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débil más tiempo (tipos largos altos: bono a 10 años al 5,09 %)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a 12 meses en el bajista de la regla (13,8x × 9,50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las ventas son reparación, mantenimiento y reforma, menos cíclicos que la obra nueva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residenciales en EE. UU. negativas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Deflación de precios de producto (cobre, acero, PVC, equipos de climatización)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(cada punto de deflación resta ≈ 1 punto de crecimiento con costes fijos)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estable del 30-31 % incluso en 2024, con deflación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con aportación negativa en la nota trimestral.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centros de datos y grandes proyectos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no residencial pasa a cero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repartida entre agua, obra civil, industria y comercial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residencial en EE. UU.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FloWorks y compras a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compras pequeñas y precio de ≈ 10 veces el EBITDA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FloWorks por debajo del del grupo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Home Depot (SRS, GMS) y Lowe's (FBM) en el profesional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margen bruto pierde 50 pb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 compite en producto técnico, logística de obra y crédito; los minoristas han comprado distribuidores de otras categorías (tejados, piscinas, pladur) [22,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tras FloWorks y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Limita recompras en 2026-2027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 EBITDA ajustado de ≈ 1,8x, dentro del objetivo de 1-2x, y grado de inversión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2x el EBITDA ajustado.</w:t>
            </w:r>
          </w:p>
        </w:tc>
      </w:tr>
    </w:tbl>
    <w:p>
      <w:pPr>
        <w:spacing w:after="160" w:before="0"/>
      </w:pPr>
    </w:p>
    <w:p>
      <w:pPr>
        <w:pStyle w:val="Heading2"/>
      </w:pPr>
      <w:r>
        <w:t xml:space="preserve">Pre-mortem</w:t>
      </w:r>
    </w:p>
    <w:p>
      <w:pPr>
        <w:spacing w:after="100"/>
      </w:pPr>
      <w:r>
        <w:t xml:space="preserve">Octubre de 2028: la acción ha perdido un 35 %. Los tipos largos se quedaron por encima del 5 % y la vivienda nueva cayó otros dos años; la reforma aguantó, pero los constructores y los reformistas recortaron y Ferguson Home y la fontanería residencial bajaron un 5 %. El ciclo de centros de datos se frenó en 2027 tras el exceso de capacidad, y el no residencial pasó de +8 % a −2 %. A la vez, el cobre y el PVC bajaron de precio y la deflación se comió el crecimiento, como en 2024. Con los costes de personal y de red fijos, el margen operativo ajustado volvió al 8,5 % y el BPA de 2028 se quedó en 9,5 USD. El mercado, que pagaba 20 veces, volvió a las 14 veces de 2022. La señal que lo habría anticipado: el residencial negativo y la deflación en las notas trimestrales de finales de 2026.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w:t>
      </w:r>
    </w:p>
    <w:p>
      <w:pPr>
        <w:spacing w:after="100"/>
      </w:pPr>
      <w:r>
        <w:t xml:space="preserve">El negocio es físico: tener el producto en la sucursal o en la obra a tiempo, con crédito y servicio técnico. La IA no lo sustituye. Ayuda en la previsión de demanda y el inventario de 1.729 sucursales, en los presupuestos y en el diseño de grandes proyectos, en la tarificación y en la productividad de la red comercial y administrativa (la empresa invierte en comercio digital y pedidos sistema a sistema) [1]. El riesgo es que la IA y los mercados digitales hagan más transparente el precio y den a los grandes contratistas más poder para comprar directo al fabricante o comparar distribuidores, y presionen el margen bruto de los productos más estandarizados. El efecto indirecto es favorable: los centros de datos para IA son una parte del crecimiento no residencial (agua, climatización y PVF). Riesgo de IA para el negocio: bajo, con un viento a favor en la demanda que puede darse la vuelta si el gasto en centros de datos se frena. Señal: margen bruto y ventas no residenciales de grandes proyectos.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cifras son: (1) la seguridad vial y laboral de una flota de unos 6.200 vehículos y 35.000 empleados en almacenes [1]; (2) la eficiencia del agua y de la climatización, que es parte del negocio (productos de bajo consumo, refrigerantes nuevos) y empuja el precio medio; (3) la gobernanza de proveedores (37.000, con marca propia importada) por aranceles y responsabilidad de producto [1].</w:t>
      </w:r>
    </w:p>
    <w:p>
      <w:pPr>
        <w:pStyle w:val="Heading2"/>
      </w:pPr>
      <w:r>
        <w:t xml:space="preserve">Controversias</w:t>
      </w:r>
    </w:p>
    <w:p>
      <w:pPr>
        <w:spacing w:after="100"/>
      </w:pPr>
      <w:r>
        <w:t xml:space="preserve">Sin litigios ni sanciones materiales: la empresa declara solo procedimientos ordinarios (producto, contratos, laborales, amianto) sin efecto material esperado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residenciales es obra nueva y cómo se comporta la reforma con los tipos actuales?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+2 % en el 2T26; es la mitad del negocio.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centros de datos y los semiconductores en el no residencial y qué cartera de pedidos hay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residencial +8 %: es el motor actual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FloWorks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y crecimiento tiene FloWorks y cuándo llegan las sinergias de 45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la historia reciente (1.600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inflación o deflación de producto se espera para 2027 y en qué categorías?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 deflación dejó las ventas planas.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retoma la recompra de 2.000 M y a qué ritmo, con la deuda en 1,8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aporta ≈ 2 % de BPA al año en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nota la entrada de Home Depot y Lowe's en el profesional en precio o en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 comprado SRS, GMS y FBM en 2024-2025.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en agosto por la entrada en el S&amp;P 500 («posicionándose para la inclusión») y decepción en septiembre: mínimos de 52 semanas y quien compró a 260 USD por una recomendación televisiva se arrepiente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Tesis repetida: buen modelo y cuota ganada, pero «macro apagada» y espera a la vivienda; los grandes proyectos y el agua como soporte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débil y tipos altos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residencial −2 % en el 4T25 y +2 % en el 2T26 con mercado a la baja; es la mitad de las ventas.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y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residencial +8-11 % en los últimos trimestres; FloWorks aumenta la exposición. El riesgo es que el ciclo de inversión en centros de datos se frene.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S&amp;P 500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subida del 3-ago (+8 %) se deshizo en seis semanas; no cambia el valor.</w:t>
            </w:r>
          </w:p>
        </w:tc>
      </w:tr>
    </w:tbl>
    <w:p>
      <w:pPr>
        <w:spacing w:after="160" w:before="0"/>
      </w:pPr>
    </w:p>
    <w:p>
      <w:pPr>
        <w:spacing w:after="100"/>
      </w:pPr>
      <w:r>
        <w:t xml:space="preserve">El inversor particular está cansado: tras la euforia de la inclusión en el S&amp;P 500 la acción tocó mínimos y el tema dominante es la vivienda. No contradice a los analistas (15 de 24 recomiendan comprar), pero sí muestra que el mercado no premia la guía elevada mientras la vivienda no gire. No señala ningún riesgo que el informe no recoja. Sentimiento leído en dos plataformas: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35 (22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23,0 % frente a un ROIC de 24,0 % y un incremental histórico de 16,5 %: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8,9 % en 2035e frente al 9,2 %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15,5 % frente a 15,3 % real: genera una variación de circulante de 362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4T24-3T25 y transcripción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cada trimestre natural: la empresa no publicó los trimestres naturales de 2024; 2) 10-Q de 2026: solo comparan con 2025; 3) transcripciones en Seeking Alpha, Benzinga y Quartr: de pago o bloqueadas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10-KT: «fragmentado», sin cuota de los cinco primeros; 2) Census y asociaciones (ASA, HARDI): sin cuotas públicas; 3) cálculo con cotizadas: faltan los privados (Hajoca, Winsupply, Consolidated Supply)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la empresa: no da calificaciones de terceros; 2) MSCI y Sustainalytics: de pago o bloqueados;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voto_remuneracion_contra_pct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el ≈ 91 % a favor; 2) 8-K de la junta (punto 5.07) no leído por tiempo; 3) composición de comisiones: el texto extraído del proxy no la asigna por consejero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 ficha de FERG no abre (redirige a otro valor); 2) Stock Analysis y Investing: sin EBITDA estimado gratuito; 3) Yahoo: solo ventas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GMS-Home Depot (5.500 M de valor empresa): sin múltiplo publicado; 2) QXO-Beacon: sin documento primario leído; 3) compras de Core &amp; Main y Watsco: sin múltiplos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foros (Reddit,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desde la nube; 2) comentarios de Seeking Alpha: requieren registro; 3) Motley Fool y MarketBeat: sin debate de lectores sobre FERG en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(earningsTrend): solo BPA y ventas; 2) MarketScreener: la ficha de FERG redirige a otro valor; 3) Stock Analysis: solo BPA y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múltiplos EV/EBITDA de los próximos 12 meses no se calculan; se usan los de los últimos 12 y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el audio; 2) Seeking Alpha: de pago; 3) Benzinga y Quartr: bloqueados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 nota de prensa y el 10-Q</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10-KT del periodo de transición ago-dic 2025 (estados auditados de ago-dic 2025 y FY2023-FY2025; notas de segmentos, deuda, arrendamientos, pensiones, impuestos y nota 17 con el comparativo ago-dic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https://www.sec.gov/Archives/edgar/data/2011641/000201164126000006/ferg-20251231.htm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a 31-jul-2025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https://www.sec.gov/Archives/edgar/data/2011641/000201164125000027/ferg-20250731.htm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a 31-jul-2023 (Ferguson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https://www.sec.gov/Archives/edgar/data/1832433/000183243323000066/ferg-20230731.htm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a 31-jul-2022 (Ferguson plc): cuenta FY2020-FY2022, operaciones interrumpidas,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https://www.sec.gov/Archives/edgar/data/1832433/000183243322000086/ferg-20220731.htm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a 31-jul-2021 (Ferguson plc): historia, dividendo extraordinario de 180 centavos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https://www.sec.gov/Archives/edgar/data/1832433/000183243321000026/ferg-20210731.htm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Reports Strong Calendar 2025 Results and Issues 2026 Guidance (8-K, anexo 99.1): cuenta, flujos y segmentos de los años naturales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https://www.sec.gov/Archives/edgar/data/2011641/000201164126000002/exhibit991pressreleasetran.htm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Reports First Quarter Ended March 31,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https://www.sec.gov/Archives/edgar/data/2011641/000201164126000028/exhibit991pressreleasemarc.htm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Reports Second Quarter Ended June 30, 2026 (8-K, anexo 99.1): guía 2026 elevada, balance y flujos de seis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https://www.sec.gov/Archives/edgar/data/2011641/000201164126000038/exhibit991pressreleasejune.htm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a 30-jun-2026 (deuda, recompras, acciones en circulación a 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https://www.sec.gov/Archives/edgar/data/2011641/000201164126000040/ferg-20260630.htm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a 31-ene-2025 (balance a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https://www.sec.gov/Archives/edgar/data/2011641/000201164125000006/ferg-20250131.htm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(companyfacts) de Ferguson Enterprises Inc. y de Ferguson plc: cuenta, balance y flujos FY2020-FY2025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https://data.sec.gov/api/xbrl/companyfacts/CIK0002011641.json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Reports Fourth Quarter and Year End Results; Issues FY2025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https://www.sec.gov/Archives/edgar/data/2011641/000201164124000003/exhibit991pressreleaseq4fy.htm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a julio de 2025, cambio de ejercicio y guía del año natural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https://www.sec.gov/Archives/edgar/data/2011641/000201164125000025/exhibit991pressreleaseq4fy.htm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to Acquire FloWorks for $1.6 Billion (8-K, anexo 99.1): ≈ 10 veces el EBITDA ajustado con sinergias, ventas 2025 ≈ 1.000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https://www.sec.gov/Archives/edgar/data/2011641/000201164126000035/exhibit991pressreleasedate.htm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Completes Acquisition of FloWorks (cierre el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https://s201.q4cdn.com/465729859/files/doc_news/Ferguson-Completes-Acquisition-of-FloWorks-2026.pdf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14-ago-2026: emisión de 700 M USD al 4,800 % con vencimiento 2029 y 500 M USD al 5,600 % con vencimiento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https://www.sec.gov/Archives/edgar/data/2011641/000114036126033163/ef20080115_8k.htm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11-ago-2026: préstamo puente de hasta 700 M USD para FloWorks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https://www.sec.gov/Archives/edgar/data/2011641/000155278126000433/e26338_ferg-8k.htm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https://www.sec.gov/Archives/edgar/data/2011641/000201164126000030/ferg-20260331.htm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mayoristas de ferretería, fontanería y calefacción (NAICS 4237), mensual sin desestacionalizar (Monthly Wholesale Trade, S4237SM144NCEN)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https://fred.stlouisfed.org/series/S4237SM144NCEN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Watsco, Core &amp; Main, WESCO, Pool y SiteOne (ventas, márgenes, ROIC, deuda) a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https://stockanalysis.com/stocks/wso/statistics/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de distribución industrial especializada (Grainger, Fastenal, Applied Industrial: márgenes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del análisis (sectores/distribucion-industrial-2026-10-14.md)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https://github.com/HotisS/analisis-inversion/blob/main/sectores/distribucion-industrial-2026-10-14.md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Announces Agreement to Acquire Foundation Building Materials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https://www.sec.gov/Archives/edgar/data/60667/000006066725000162/exhibit991-08012025fbm.htm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presentación de la compra de SRS Distribution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https://www.sec.gov/Archives/edgar/data/354950/000110465924040163/tm2410002d1_ex99-2.htm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del periodo de transición, voto consultivo,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https://www.sec.gov/Archives/edgar/data/2011641/000201164126000016/ferg-20260315.htm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presentados entre el 18-oct-2025 y el 16-oct-2026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https://www.sec.gov/cgi-bin/browse-edgar?action=getcompany&amp;CIK=0002011641&amp;type=4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FERG, SPY y XLI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https://finance.yahoo.com/quote/FERG/history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estimaciones de consenso (earningsTrend: BPA ajustado 2026e 11,45 y 2027e 12,73; ventas 33.095 y 35.556 M),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https://finance.yahoo.com/quote/FERG/analysis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al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(FERG) Statistics: valor empresa, posiciones cortas 3,65 % del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Watsco, Core &amp; Main, WESCO, Pool y SiteOne a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precio, capitalización, EV/EBITDA y consenso de BPA y ventas de WSO, CNM, GWW, FAST, WCC, POOL, SITE y AIT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https://finance.yahoo.com/quote/WSO/analysis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Ferguson (entrada en el S&amp;P 500 el 31-jul-2026, RBC prudente con los productos de construcción el 7-oct-2026, resultados,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https://seekingalpha.com/api/sa/combined/FERG.xml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últimos 30 mensajes sobre $FERG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https://api.stocktwits.com/api/2/streams/symbol/FERG.json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análisis de lectores-autores sobre Ferguson («Attractive Model But A Muted Macro Environment», «Capitalizing On The Infrastructure Supercycle While We Wait For Housing», «Delivers Another Solid Quarter, Despite A Muted Macro»)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https://seekingalpha.com/symbol/FERG/analysis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18 oct 2026.</w:t>
      </w:r>
    </w:p>
    <w:p>
      <w:pPr>
        <w:pStyle w:val="Nota"/>
        <w:spacing w:after="100"/>
      </w:pPr>
      <w:r>
        <w:t xml:space="preserve">Línea cotizada: acciones ordinarias en la Bolsa de Nueva York (FERG), en USD, la misma divisa de las cuentas; desde el 20-jul-2026 ya no cotiza en Londres. Precio: cierre del viernes 16-oct-2026 (231,61 USD). </w:t>
      </w:r>
      <w:r>
        <w:rPr>
          <w:b/>
        </w:rPr>
        <w:t xml:space="preserve">Cambio de ejercicio</w:t>
      </w:r>
      <w:r>
        <w:t xml:space="preserve">: hasta julio de 2025 el ejercicio cerraba el 31 de julio; después hubo un periodo de transición de cinco meses (ago-dic 2025, Form 10-KT) y desde 2026 el ejercicio es el año natural. La serie del informe mezcla tres ejercicios a julio auditados (FY2021-FY2023, de Ferguson plc) con los años naturales 2024 y 2025 que publica la propia empresa (no auditados como tales, pero sus trimestres cuadran con el 10-KT y los 10-Q): entre FY2023 (cierra en jul-2023) y 2024 (cierra en dic-2024) hay 17 meses, y la TCAC 2021-2025 cubre 4,4 años y no 4. El balance de 2024 es el del 31-ene-2025 (10-Q), el más cercano publicado al cierre de 2024. El periodo de cinco meses de transición no se usa como ejercicio. Las proyecciones son años naturales (2026e = ene-dic 2026). Arrendamientos operativos (1.891 M) fuera de la deuda (US GAAP). BPA diluido de operaciones continuadas (sin el Reino Unido y los países nórdicos vendidos en 2019-2021). Ferguson presenta la cuenta por función (coste de ventas y gastos generales).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Ferguson Enterprises Inc. (FERG)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(212,13 – 271,64)</c:v>
                </c:pt>
                <c:pt idx="1">
                  <c:v>Precio objetivo de los analistas (235,00 – 325,00)</c:v>
                </c:pt>
                <c:pt idx="2">
                  <c:v>Comparables: PER NTM (210,13 – 331,10)</c:v>
                </c:pt>
                <c:pt idx="3">
                  <c:v>Transacciones precedentes (EV/EBITDA) (169,81 – 222,28)</c:v>
                </c:pt>
                <c:pt idx="4">
                  <c:v>DCF (WACC y g ± 0,5) (130,88 – 177,78)</c:v>
                </c:pt>
                <c:pt idx="5">
                  <c:v>Escenarios (bajista – alcista) (91,16 – 178,70)</c:v>
                </c:pt>
                <c:pt idx="6">
                  <c:v>DCF con la prima implícita del mercado (4,2 %)</c:v>
                </c:pt>
                <c:pt idx="7">
                  <c:v>Precio actual (231,61)</c:v>
                </c:pt>
              </c:strCache>
            </c:strRef>
          </c:cat>
          <c:val>
            <c:numRef>
              <c:f>Hoja1!$B$2:$B$9</c:f>
              <c:numCache>
                <c:formatCode>#,##0</c:formatCode>
                <c:ptCount val="8"/>
                <c:pt idx="0">
                  <c:v>212.13</c:v>
                </c:pt>
                <c:pt idx="1">
                  <c:v>235</c:v>
                </c:pt>
                <c:pt idx="2">
                  <c:v>210.13</c:v>
                </c:pt>
                <c:pt idx="3">
                  <c:v>169.81</c:v>
                </c:pt>
                <c:pt idx="4">
                  <c:v>130.88</c:v>
                </c:pt>
                <c:pt idx="5">
                  <c:v>91.16</c:v>
                </c:pt>
                <c:pt idx="6">
                  <c:v>157.69</c:v>
                </c:pt>
                <c:pt idx="7">
                  <c:v>230.45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(212,13 – 271,64)</c:v>
                </c:pt>
                <c:pt idx="1">
                  <c:v>Precio objetivo de los analistas (235,00 – 325,00)</c:v>
                </c:pt>
                <c:pt idx="2">
                  <c:v>Comparables: PER NTM (210,13 – 331,10)</c:v>
                </c:pt>
                <c:pt idx="3">
                  <c:v>Transacciones precedentes (EV/EBITDA) (169,81 – 222,28)</c:v>
                </c:pt>
                <c:pt idx="4">
                  <c:v>DCF (WACC y g ± 0,5) (130,88 – 177,78)</c:v>
                </c:pt>
                <c:pt idx="5">
                  <c:v>Escenarios (bajista – alcista) (91,16 – 178,70)</c:v>
                </c:pt>
                <c:pt idx="6">
                  <c:v>DCF con la prima implícita del mercado (4,2 %)</c:v>
                </c:pt>
                <c:pt idx="7">
                  <c:v>Precio actual (231,61)</c:v>
                </c:pt>
              </c:strCache>
            </c:strRef>
          </c:cat>
          <c:val>
            <c:numRef>
              <c:f>Hoja1!$C$2:$C$9</c:f>
              <c:numCache>
                <c:formatCode>#,##0</c:formatCode>
                <c:ptCount val="8"/>
                <c:pt idx="0">
                  <c:v>59.50999999999999</c:v>
                </c:pt>
                <c:pt idx="1">
                  <c:v>90</c:v>
                </c:pt>
                <c:pt idx="2">
                  <c:v>120.97000000000003</c:v>
                </c:pt>
                <c:pt idx="3">
                  <c:v>52.47</c:v>
                </c:pt>
                <c:pt idx="4">
                  <c:v>46.900000000000006</c:v>
                </c:pt>
                <c:pt idx="5">
                  <c:v>87.53999999999999</c:v>
                </c:pt>
                <c:pt idx="6">
                  <c:v>36.43000000000001</c:v>
                </c:pt>
                <c:pt idx="7">
                  <c:v>2.3200000000000216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21478</c:v>
                </c:pt>
                <c:pt idx="1">
                  <c:v>27067</c:v>
                </c:pt>
                <c:pt idx="2">
                  <c:v>28291</c:v>
                </c:pt>
                <c:pt idx="3">
                  <c:v>28349</c:v>
                </c:pt>
                <c:pt idx="4">
                  <c:v>29807</c:v>
                </c:pt>
              </c:numCache>
            </c:numRef>
          </c:val>
        </c:ser>
        <c:ser>
          <c:idx val="1"/>
          <c:order val="1"/>
          <c:tx>
            <c:strRef>
              <c:f>Hoja1!$C$1</c:f>
              <c:strCache>
                <c:ptCount val="1"/>
                <c:pt idx="0">
                  <c:v>Canadá</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1314</c:v>
                </c:pt>
                <c:pt idx="1">
                  <c:v>1499</c:v>
                </c:pt>
                <c:pt idx="2">
                  <c:v>1443</c:v>
                </c:pt>
                <c:pt idx="3">
                  <c:v>1469</c:v>
                </c:pt>
                <c:pt idx="4">
                  <c:v>1509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Estados Unidos</c:v>
                </c:pt>
                <c:pt idx="1">
                  <c:v>Canadá</c:v>
                </c:pt>
              </c:strCache>
            </c:strRef>
          </c:cat>
          <c:val>
            <c:numRef>
              <c:f>Hoja1!$B$2:$B$3</c:f>
              <c:numCache>
                <c:formatCode>General</c:formatCode>
                <c:ptCount val="2"/>
                <c:pt idx="0">
                  <c:v>95.2</c:v>
                </c:pt>
                <c:pt idx="1">
                  <c:v>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c:v>
                </c:pt>
              </c:strCache>
            </c:strRef>
          </c:cat>
          <c:val>
            <c:numRef>
              <c:f>Hoja1!$B$2:$B$3</c:f>
              <c:numCache>
                <c:formatCode>0"%"</c:formatCode>
                <c:ptCount val="2"/>
                <c:pt idx="0">
                  <c:v>95.2</c:v>
                </c:pt>
                <c:pt idx="1">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(mayoristas NAICS 4237,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168158</c:v>
                </c:pt>
                <c:pt idx="1">
                  <c:v>172496</c:v>
                </c:pt>
                <c:pt idx="2">
                  <c:v>204577</c:v>
                </c:pt>
                <c:pt idx="3">
                  <c:v>230962</c:v>
                </c:pt>
                <c:pt idx="4">
                  <c:v>230302</c:v>
                </c:pt>
                <c:pt idx="5">
                  <c:v>244329</c:v>
                </c:pt>
                <c:pt idx="6">
                  <c:v>257975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Ferguson</c:v>
                </c:pt>
                <c:pt idx="1">
                  <c:v>Core &amp; Main</c:v>
                </c:pt>
                <c:pt idx="2">
                  <c:v>Watsco</c:v>
                </c:pt>
                <c:pt idx="3">
                  <c:v>WESCO International</c:v>
                </c:pt>
                <c:pt idx="4">
                  <c:v>Pool Corp</c:v>
                </c:pt>
                <c:pt idx="5">
                  <c:v>SiteOne Landscape Supply</c:v>
                </c:pt>
                <c:pt idx="6">
                  <c:v>Home Depot (SRS, GMS, HD Supply)</c:v>
                </c:pt>
                <c:pt idx="7">
                  <c:v>W.W. Grainger</c:v>
                </c:pt>
              </c:strCache>
            </c:strRef>
          </c:cat>
          <c:val>
            <c:numRef>
              <c:f>Hoja1!$B$2:$B$9</c:f>
              <c:numCache>
                <c:formatCode>0.0"%"</c:formatCode>
                <c:ptCount val="8"/>
                <c:pt idx="0">
                  <c:v>9.1</c:v>
                </c:pt>
                <c:pt idx="1">
                  <c:v>9.6</c:v>
                </c:pt>
                <c:pt idx="2">
                  <c:v>9</c:v>
                </c:pt>
                <c:pt idx="3">
                  <c:v>5.6</c:v>
                </c:pt>
                <c:pt idx="4">
                  <c:v>10.9</c:v>
                </c:pt>
                <c:pt idx="5">
                  <c:v>5.3</c:v>
                </c:pt>
                <c:pt idx="7">
                  <c:v>15.4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22792</c:v>
                </c:pt>
                <c:pt idx="1">
                  <c:v>28566</c:v>
                </c:pt>
                <c:pt idx="2">
                  <c:v>29734</c:v>
                </c:pt>
                <c:pt idx="3">
                  <c:v>29818</c:v>
                </c:pt>
                <c:pt idx="4">
                  <c:v>31316</c:v>
                </c:pt>
                <c:pt idx="5">
                  <c:v>33195</c:v>
                </c:pt>
                <c:pt idx="6">
                  <c:v>35519</c:v>
                </c:pt>
                <c:pt idx="7">
                  <c:v>37472</c:v>
                </c:pt>
                <c:pt idx="8">
                  <c:v>39346</c:v>
                </c:pt>
                <c:pt idx="9">
                  <c:v>41313</c:v>
                </c:pt>
                <c:pt idx="10">
                  <c:v>43172</c:v>
                </c:pt>
                <c:pt idx="11">
                  <c:v>45115</c:v>
                </c:pt>
                <c:pt idx="12">
                  <c:v>46919</c:v>
                </c:pt>
                <c:pt idx="13">
                  <c:v>48796</c:v>
                </c:pt>
                <c:pt idx="14">
                  <c:v>50504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2259</c:v>
                </c:pt>
                <c:pt idx="1">
                  <c:v>3138</c:v>
                </c:pt>
                <c:pt idx="2">
                  <c:v>3105</c:v>
                </c:pt>
                <c:pt idx="3">
                  <c:v>2905</c:v>
                </c:pt>
                <c:pt idx="4">
                  <c:v>3243</c:v>
                </c:pt>
                <c:pt idx="5">
                  <c:v>3452</c:v>
                </c:pt>
                <c:pt idx="6">
                  <c:v>3765</c:v>
                </c:pt>
                <c:pt idx="7">
                  <c:v>4047</c:v>
                </c:pt>
                <c:pt idx="8">
                  <c:v>4289</c:v>
                </c:pt>
                <c:pt idx="9">
                  <c:v>4544</c:v>
                </c:pt>
                <c:pt idx="10">
                  <c:v>4749</c:v>
                </c:pt>
                <c:pt idx="11">
                  <c:v>4963</c:v>
                </c:pt>
                <c:pt idx="12">
                  <c:v>5161</c:v>
                </c:pt>
                <c:pt idx="13">
                  <c:v>5368</c:v>
                </c:pt>
                <c:pt idx="14">
                  <c:v>5555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30.6</c:v>
                </c:pt>
                <c:pt idx="1">
                  <c:v>30.7</c:v>
                </c:pt>
                <c:pt idx="2">
                  <c:v>30.4</c:v>
                </c:pt>
                <c:pt idx="3">
                  <c:v>30.3</c:v>
                </c:pt>
                <c:pt idx="4">
                  <c:v>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9.9</c:v>
                </c:pt>
                <c:pt idx="1">
                  <c:v>11</c:v>
                </c:pt>
                <c:pt idx="2">
                  <c:v>10.4</c:v>
                </c:pt>
                <c:pt idx="3">
                  <c:v>9.7</c:v>
                </c:pt>
                <c:pt idx="4">
                  <c:v>10.4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9.9</c:v>
                </c:pt>
                <c:pt idx="2">
                  <c:v>9.4</c:v>
                </c:pt>
                <c:pt idx="3">
                  <c:v>8.6</c:v>
                </c:pt>
                <c:pt idx="4">
                  <c:v>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7.2</c:v>
                </c:pt>
                <c:pt idx="1">
                  <c:v>7.3</c:v>
                </c:pt>
                <c:pt idx="2">
                  <c:v>6.4</c:v>
                </c:pt>
                <c:pt idx="3">
                  <c:v>5.5</c:v>
                </c:pt>
                <c:pt idx="4">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3.6</c:v>
                </c:pt>
                <c:pt idx="5">
                  <c:v>3.6</c:v>
                </c:pt>
                <c:pt idx="6">
                  <c:v>4.6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3</c:v>
                </c:pt>
                <c:pt idx="6">
                  <c:v>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46</c:v>
                </c:pt>
                <c:pt idx="2">
                  <c:v>44</c:v>
                </c:pt>
                <c:pt idx="3">
                  <c:v>39</c:v>
                </c:pt>
                <c:pt idx="4">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80</c:v>
                </c:pt>
                <c:pt idx="2">
                  <c:v>69</c:v>
                </c:pt>
                <c:pt idx="3">
                  <c:v>75</c:v>
                </c:pt>
                <c:pt idx="4">
                  <c:v>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70</c:v>
                </c:pt>
                <c:pt idx="1">
                  <c:v>66</c:v>
                </c:pt>
                <c:pt idx="2">
                  <c:v>60</c:v>
                </c:pt>
                <c:pt idx="3">
                  <c:v>53</c:v>
                </c:pt>
                <c:pt idx="4">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1141</c:v>
                </c:pt>
                <c:pt idx="1">
                  <c:v>859</c:v>
                </c:pt>
                <c:pt idx="2">
                  <c:v>2282</c:v>
                </c:pt>
                <c:pt idx="3">
                  <c:v>1743</c:v>
                </c:pt>
                <c:pt idx="4">
                  <c:v>1827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1630</c:v>
                </c:pt>
                <c:pt idx="1">
                  <c:v>2099</c:v>
                </c:pt>
                <c:pt idx="2">
                  <c:v>1889</c:v>
                </c:pt>
                <c:pt idx="3">
                  <c:v>1651</c:v>
                </c:pt>
                <c:pt idx="4">
                  <c:v>2006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27.8</c:v>
                </c:pt>
                <c:pt idx="1">
                  <c:v>31.4</c:v>
                </c:pt>
                <c:pt idx="2">
                  <c:v>26.6</c:v>
                </c:pt>
                <c:pt idx="3">
                  <c:v>20.8</c:v>
                </c:pt>
                <c:pt idx="4">
                  <c:v>24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32.6</c:v>
                </c:pt>
                <c:pt idx="1">
                  <c:v>43.4</c:v>
                </c:pt>
                <c:pt idx="2">
                  <c:v>38.9</c:v>
                </c:pt>
                <c:pt idx="3">
                  <c:v>31.4</c:v>
                </c:pt>
                <c:pt idx="4">
                  <c:v>35.4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0.52</c:v>
                </c:pt>
                <c:pt idx="1">
                  <c:v>1.01</c:v>
                </c:pt>
                <c:pt idx="2">
                  <c:v>1.02</c:v>
                </c:pt>
                <c:pt idx="3">
                  <c:v>1.23</c:v>
                </c:pt>
                <c:pt idx="4">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150</c:v>
                </c:pt>
                <c:pt idx="1">
                  <c:v>450</c:v>
                </c:pt>
                <c:pt idx="2">
                  <c:v>750</c:v>
                </c:pt>
                <c:pt idx="3">
                  <c:v>0</c:v>
                </c:pt>
                <c:pt idx="4">
                  <c:v>600</c:v>
                </c:pt>
                <c:pt idx="5">
                  <c:v>2200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286</c:v>
                </c:pt>
                <c:pt idx="1">
                  <c:v>650</c:v>
                </c:pt>
                <c:pt idx="2">
                  <c:v>616</c:v>
                </c:pt>
                <c:pt idx="3">
                  <c:v>297</c:v>
                </c:pt>
                <c:pt idx="4">
                  <c:v>276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1036</c:v>
                </c:pt>
                <c:pt idx="1">
                  <c:v>538</c:v>
                </c:pt>
                <c:pt idx="2">
                  <c:v>711</c:v>
                </c:pt>
                <c:pt idx="3">
                  <c:v>637</c:v>
                </c:pt>
                <c:pt idx="4">
                  <c:v>656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400</c:v>
                </c:pt>
                <c:pt idx="1">
                  <c:v>1545</c:v>
                </c:pt>
                <c:pt idx="2">
                  <c:v>908</c:v>
                </c:pt>
                <c:pt idx="3">
                  <c:v>893</c:v>
                </c:pt>
                <c:pt idx="4">
                  <c:v>902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(17 personas)</c:v>
                </c:pt>
              </c:strCache>
            </c:strRef>
          </c:cat>
          <c:val>
            <c:numRef>
              <c:f>Hoja1!$B$2:$B$4</c:f>
              <c:numCache>
                <c:formatCode>0.0"%"</c:formatCode>
                <c:ptCount val="3"/>
                <c:pt idx="0">
                  <c:v>10.08</c:v>
                </c:pt>
                <c:pt idx="1">
                  <c:v>5.45</c:v>
                </c:pt>
                <c:pt idx="2">
                  <c:v>0.15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49.6</c:v>
                </c:pt>
                <c:pt idx="1">
                  <c:v>31.9</c:v>
                </c:pt>
                <c:pt idx="2">
                  <c:v>56.4</c:v>
                </c:pt>
                <c:pt idx="3">
                  <c:v>-27.2</c:v>
                </c:pt>
                <c:pt idx="4">
                  <c:v>55.1</c:v>
                </c:pt>
                <c:pt idx="5">
                  <c:v>-8.6</c:v>
                </c:pt>
                <c:pt idx="6">
                  <c:v>29.9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31.2</c:v>
                </c:pt>
                <c:pt idx="1">
                  <c:v>18.3</c:v>
                </c:pt>
                <c:pt idx="2">
                  <c:v>28.7</c:v>
                </c:pt>
                <c:pt idx="3">
                  <c:v>-18.2</c:v>
                </c:pt>
                <c:pt idx="4">
                  <c:v>26.2</c:v>
                </c:pt>
                <c:pt idx="5">
                  <c:v>24.9</c:v>
                </c:pt>
                <c:pt idx="6">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14.5</c:v>
                </c:pt>
                <c:pt idx="1">
                  <c:v>9.8</c:v>
                </c:pt>
                <c:pt idx="2">
                  <c:v>11.8</c:v>
                </c:pt>
                <c:pt idx="3">
                  <c:v>13.3</c:v>
                </c:pt>
                <c:pt idx="4">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13.3</c:v>
                </c:pt>
                <c:pt idx="1">
                  <c:v>13.3</c:v>
                </c:pt>
                <c:pt idx="2">
                  <c:v>13.3</c:v>
                </c:pt>
                <c:pt idx="3">
                  <c:v>13.3</c:v>
                </c:pt>
                <c:pt idx="4">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FloWorks (válvulas y control de fluidos industrial)</c:v>
                </c:pt>
                <c:pt idx="1">
                  <c:v>Foundation Building Materials (materiales de interior)</c:v>
                </c:pt>
                <c:pt idx="2">
                  <c:v>SRS Distribution (tejados, piscinas, paisajismo)</c:v>
                </c:pt>
              </c:strCache>
            </c:strRef>
          </c:cat>
          <c:val>
            <c:numRef>
              <c:f>Hoja1!$B$2:$B$4</c:f>
              <c:numCache>
                <c:formatCode>0.0"x"</c:formatCode>
                <c:ptCount val="3"/>
                <c:pt idx="0">
                  <c:v>10</c:v>
                </c:pt>
                <c:pt idx="1">
                  <c:v>13.4</c:v>
                </c:pt>
                <c:pt idx="2">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1884</c:v>
                </c:pt>
                <c:pt idx="1">
                  <c:v>1777</c:v>
                </c:pt>
                <c:pt idx="2">
                  <c:v>2007</c:v>
                </c:pt>
                <c:pt idx="3">
                  <c:v>2164</c:v>
                </c:pt>
                <c:pt idx="4">
                  <c:v>2303</c:v>
                </c:pt>
                <c:pt idx="5">
                  <c:v>2524</c:v>
                </c:pt>
                <c:pt idx="6">
                  <c:v>2638</c:v>
                </c:pt>
                <c:pt idx="7">
                  <c:v>2777</c:v>
                </c:pt>
                <c:pt idx="8">
                  <c:v>2888</c:v>
                </c:pt>
                <c:pt idx="9">
                  <c:v>3025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14624</c:v>
                </c:pt>
                <c:pt idx="1">
                  <c:v>20702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231,61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91.16</c:v>
                </c:pt>
                <c:pt idx="1">
                  <c:v>150.82</c:v>
                </c:pt>
                <c:pt idx="2">
                  <c:v>178.7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(212,13 – 271,64)</c:v>
                </c:pt>
                <c:pt idx="1">
                  <c:v>Precio objetivo de los analistas (235,00 – 325,00)</c:v>
                </c:pt>
                <c:pt idx="2">
                  <c:v>Comparables: PER NTM (210,13 – 331,10)</c:v>
                </c:pt>
                <c:pt idx="3">
                  <c:v>Transacciones precedentes (EV/EBITDA) (169,81 – 222,28)</c:v>
                </c:pt>
                <c:pt idx="4">
                  <c:v>DCF (WACC y g ± 0,5) (130,88 – 177,78)</c:v>
                </c:pt>
                <c:pt idx="5">
                  <c:v>Escenarios (bajista – alcista) (91,16 – 178,70)</c:v>
                </c:pt>
                <c:pt idx="6">
                  <c:v>DCF con la prima implícita del mercado (4,2 %)</c:v>
                </c:pt>
                <c:pt idx="7">
                  <c:v>Precio actual (231,61)</c:v>
                </c:pt>
              </c:strCache>
            </c:strRef>
          </c:cat>
          <c:val>
            <c:numRef>
              <c:f>Hoja1!$B$2:$B$9</c:f>
              <c:numCache>
                <c:formatCode>#,##0</c:formatCode>
                <c:ptCount val="8"/>
                <c:pt idx="0">
                  <c:v>212.13</c:v>
                </c:pt>
                <c:pt idx="1">
                  <c:v>235</c:v>
                </c:pt>
                <c:pt idx="2">
                  <c:v>210.13</c:v>
                </c:pt>
                <c:pt idx="3">
                  <c:v>169.81</c:v>
                </c:pt>
                <c:pt idx="4">
                  <c:v>130.88</c:v>
                </c:pt>
                <c:pt idx="5">
                  <c:v>91.16</c:v>
                </c:pt>
                <c:pt idx="6">
                  <c:v>157.69</c:v>
                </c:pt>
                <c:pt idx="7">
                  <c:v>230.45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(212,13 – 271,64)</c:v>
                </c:pt>
                <c:pt idx="1">
                  <c:v>Precio objetivo de los analistas (235,00 – 325,00)</c:v>
                </c:pt>
                <c:pt idx="2">
                  <c:v>Comparables: PER NTM (210,13 – 331,10)</c:v>
                </c:pt>
                <c:pt idx="3">
                  <c:v>Transacciones precedentes (EV/EBITDA) (169,81 – 222,28)</c:v>
                </c:pt>
                <c:pt idx="4">
                  <c:v>DCF (WACC y g ± 0,5) (130,88 – 177,78)</c:v>
                </c:pt>
                <c:pt idx="5">
                  <c:v>Escenarios (bajista – alcista) (91,16 – 178,70)</c:v>
                </c:pt>
                <c:pt idx="6">
                  <c:v>DCF con la prima implícita del mercado (4,2 %)</c:v>
                </c:pt>
                <c:pt idx="7">
                  <c:v>Precio actual (231,61)</c:v>
                </c:pt>
              </c:strCache>
            </c:strRef>
          </c:cat>
          <c:val>
            <c:numRef>
              <c:f>Hoja1!$C$2:$C$9</c:f>
              <c:numCache>
                <c:formatCode>#,##0</c:formatCode>
                <c:ptCount val="8"/>
                <c:pt idx="0">
                  <c:v>59.50999999999999</c:v>
                </c:pt>
                <c:pt idx="1">
                  <c:v>90</c:v>
                </c:pt>
                <c:pt idx="2">
                  <c:v>120.97000000000003</c:v>
                </c:pt>
                <c:pt idx="3">
                  <c:v>52.47</c:v>
                </c:pt>
                <c:pt idx="4">
                  <c:v>46.900000000000006</c:v>
                </c:pt>
                <c:pt idx="5">
                  <c:v>87.53999999999999</c:v>
                </c:pt>
                <c:pt idx="6">
                  <c:v>36.43000000000001</c:v>
                </c:pt>
                <c:pt idx="7">
                  <c:v>2.3200000000000216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