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Pernod Ricard SA</w:t>
      </w:r>
    </w:p>
    <w:p>
      <w:pPr>
        <w:spacing w:after="60"/>
        <w:rPr>
          <w:color w:val="52514E"/>
          <w:sz w:val="22"/>
          <w:szCs w:val="22"/>
        </w:rPr>
      </w:pPr>
      <w:r>
        <w:rPr>
          <w:color w:val="52514E"/>
          <w:sz w:val="22"/>
          <w:szCs w:val="22"/>
        </w:rPr>
        <w:t xml:space="preserve">RI · Euronext París · ISIN FR0000120693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68,22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69,86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+9,3 % (base +7,2 %)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85,16 EUR · mercado 105,70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17.212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Pernod Ricard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 / FR0000120693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destiladores y bodegas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https://www.pernod-ricard.com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68,22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57,86 – 90,34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30.710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69,86 EUR</w:t>
      </w:r>
      <w:r>
        <w:t xml:space="preserve"> frente a 68,22 · Rentabilidad a 12 meses </w:t>
      </w:r>
      <w:r>
        <w:rPr>
          <w:b/>
          <w:bCs/>
        </w:rPr>
        <w:t xml:space="preserve">+9,3 % (base +7,2 %)</w:t>
      </w:r>
      <w:r>
        <w:t xml:space="preserve"> · Valor intrínseco 85,16 EUR · con la prima implícita del mercado: 105,70 (+54,9 %) · Alcista / bajista +49,3 % / -19,7 %</w:t>
      </w:r>
    </w:p>
    <w:p>
      <w:pPr>
        <w:spacing w:after="100"/>
      </w:pPr>
      <w:r>
        <w:rPr>
          <w:b/>
        </w:rPr>
        <w:t xml:space="preserve">La recomendación y por qué.</w:t>
      </w:r>
      <w:r>
        <w:t xml:space="preserve"> Mantener con convicción media. El objetivo a 12 meses es de 69,86 EUR (68,44 EUR en el base), con una rentabilidad ponderada del 9,3 % y del 7,2 % en el base, dividendo del 6,9 % incluido; el valor intrínseco es de 85,16 EUR, un 24,8 % sobre el precio de 68,22 EUR, y el objetivo medio de los analistas (80,45 EUR) queda entre los dos. Con tres años de historia limpia el selector aplica la regla v2, que no supone recuperación del múltiplo: la acción está barata en valor, pero sin un catalizador que la lleve a su valor en un año. La convicción es media porque los datos ya son de fuente primaria pero el suelo de EE. UU. no está probado: la subirían unas ventas orgánicas del 1S27 (18-feb-2027) positivas en EE. UU.; la bajaría una caja libre que no cubra el dividendo otro año.</w:t>
      </w:r>
    </w:p>
    <w:p>
      <w:pPr>
        <w:spacing w:after="100"/>
      </w:pPr>
      <w:r>
        <w:rPr>
          <w:b/>
        </w:rPr>
        <w:t xml:space="preserve">Qué cambia frente al informe del 14-oct.</w:t>
      </w:r>
      <w:r>
        <w:t xml:space="preserve"> El 1T27 (15-oct) batió el consenso: −0,9 % orgánico frente a −1,7 %, con EE. UU. −10 %, China −25 % e India +19 %, parte por llenado de canal ante la posible salida a bolsa de la filial [4, 12]. El precio es ahora el cierre real (68,22 EUR, +6,6 % sobre los 64,00 derivados), el balance está completo y el puente suma 2.836 M que antes faltaban (minoritarios, factoring, dividendo a cuenta): el valor intrínseco baja de 91,09 a 85,16 EUR. La confianza pasa de baja a media y desaparece el bloqueo; el que queda es el de la regla (v2) y la calidad.</w:t>
      </w:r>
    </w:p>
    <w:p>
      <w:pPr>
        <w:spacing w:after="100"/>
      </w:pPr>
      <w:r>
        <w:rPr>
          <w:b/>
        </w:rPr>
        <w:t xml:space="preserve">El negocio.</w:t>
      </w:r>
      <w:r>
        <w:t xml:space="preserve"> Marcas líderes y 7.203 M de existencias envejecidas son un foso real, con un margen operativo del 25,8 % [1]. Pero el ROIC es del 6,8 %, 0,2 puntos sobre el WACC (6,59 %), frente al 10,0 % del FY2023: hoy apenas crea valor. La sostenibilidad del crecimiento es «En parte»: la proyección casi no necesita capital, pero el poder de precios (precio y mezcla negativos en el FY26 y el 1T27) no está demostrado.</w:t>
      </w:r>
    </w:p>
    <w:p>
      <w:pPr>
        <w:spacing w:after="100"/>
      </w:pPr>
      <w:r>
        <w:rPr>
          <w:b/>
        </w:rPr>
        <w:t xml:space="preserve">Finanzas.</w:t>
      </w:r>
      <w:r>
        <w:t xml:space="preserve"> La caja libre (1.197 M, conversión del 91 %) no cubre el dividendo (1.226 M) y la deuda neta ajustada es de 12.521 M, 3,8 veces el EBITDA [1, 2]. La guía apunta a menos de 3 veces en el FY29.</w:t>
      </w:r>
    </w:p>
    <w:p>
      <w:pPr>
        <w:spacing w:after="100"/>
      </w:pPr>
      <w:r>
        <w:rPr>
          <w:b/>
        </w:rPr>
        <w:t xml:space="preserve">Equipo y gobierno.</w:t>
      </w:r>
      <w:r>
        <w:t xml:space="preserve"> La familia Ricard controla el 22,84 % de los votos y ha comprado: 161,7 M a 64,06 EUR en junio y el consejero delegado a 62,10 EUR en abril [36, 37]. Suma alineación, resta independencia; la directora financiera salió el 30-sep [1].</w:t>
      </w:r>
    </w:p>
    <w:p>
      <w:pPr>
        <w:spacing w:after="100"/>
      </w:pPr>
      <w:r>
        <w:rPr>
          <w:b/>
        </w:rPr>
        <w:t xml:space="preserve">Valoración.</w:t>
      </w:r>
      <w:r>
        <w:t xml:space="preserve"> El DCF da 91,36 EUR; el DCF inverso dice que el precio descuenta ventas cayendo un 5,8 % al año durante siete años, o un margen final del 27,8 %, exigente frente a una caída orgánica del 1-4 % al año. Los comparables dan 65,82 EUR por EV/EBITDA y 90,46 EUR por PER: la deuda explica la diferencia. Nuestro BPA coincide con el consenso; discrepamos en el múltiplo a un año.</w:t>
      </w:r>
    </w:p>
    <w:p>
      <w:pPr>
        <w:spacing w:after="100"/>
      </w:pPr>
      <w:r>
        <w:rPr>
          <w:b/>
        </w:rPr>
        <w:t xml:space="preserve">Riesgos y catalizadores.</w:t>
      </w:r>
      <w:r>
        <w:t xml:space="preserve"> El mayor es la caída estructural del consumo (bajista de 54,76 EUR, −19,7 %), seguido de un recorte del dividendo y de los aranceles (EE. UU. sobre la UE, acuerdo del coñac en China; −45 pb de margen en el FY26) [1, 2]. Catalizadores: junta del 20-nov, fin del perímetro de Imperial Blue en diciembre, 1S27 el 18-feb-2027 y la posible salida a bolsa de India.</w:t>
      </w:r>
    </w:p>
    <w:p>
      <w:pPr>
        <w:spacing w:after="100"/>
      </w:pPr>
      <w:r>
        <w:rPr>
          <w:b/>
        </w:rPr>
        <w:t xml:space="preserve">Qué cambiaría la decisión.</w:t>
      </w:r>
      <w:r>
        <w:t xml:space="preserve"> Por la regla, Comprar por debajo de 64,84 EUR y Vender por encima de 82,85 EUR, pero la calidad (ROIC − WACC de 0,2 puntos frente a 5) impide comprar a cualquier precio mientras el ROIC no vuelva al 10 %. Pasaríamos a revisar con ventas orgánicas de EE. UU. positivas en el 1S27; bajaríamos el base con EE. UU. por debajo de −8 % o un dividendo por debajo de 4,00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Más de 12 meses (2-3 años) · Objetivo a 12 meses: </w:t>
      </w:r>
      <w:r>
        <w:rPr>
          <w:b/>
          <w:bCs/>
        </w:rPr>
        <w:t xml:space="preserve">69,86 EUR</w:t>
      </w:r>
      <w:r>
        <w:t xml:space="preserve"> (rentabilidad +9,3 % (base +7,2 %)) · Valor intrínseco: 85,16 EUR (+24,8 % sobre 68,22) · con la prima implícita del mercado: 105,70 (+54,9 %)</w:t>
      </w:r>
    </w:p>
    <w:p>
      <w:pPr>
        <w:spacing w:after="100"/>
      </w:pPr>
      <w:r>
        <w:t xml:space="preserve">Pernod Ricard es el segundo grupo mundial de espirituosos (Absolut, Jameson, Chivas, Martell), con 9.404 M EUR de ventas y un margen operativo recurrente del 25,8 % en el FY2026 [1]. Sus marcas y sus 7.203 M de existencias envejecidas son una barrera real, pero el negocio lleva tres años encogiendo: el BPA recurrente pasó de 9,11 EUR a 5,85 EUR entre el FY2023 y el FY2026, y el ROIC del 10,0 % al 6,8 % [1, 11].</w:t>
      </w:r>
    </w:p>
    <w:p>
      <w:pPr>
        <w:spacing w:after="100"/>
      </w:pPr>
      <w:r>
        <w:t xml:space="preserve">A 68,22 EUR el precio descuenta que las ventas caigan un 5,8 % al año durante siete años; el PER adelantado es de 12,2 veces y la rentabilidad por dividendo, del 6,9 %. Es casi el múltiplo más bajo de su historia y el de una empresa sin crecimiento: el EV/EBITDA de 10,8 veces está en la mediana de los comparables solo porque la deuda (3,8 veces el EBITDA) lo infla.</w:t>
      </w:r>
    </w:p>
    <w:p>
      <w:pPr>
        <w:spacing w:after="100"/>
      </w:pPr>
      <w:r>
        <w:t xml:space="preserve">El mercado acierta en que el suelo no está probado: el 1T27 batió el consenso, pero EE. UU. cae un 10 %, China un 25 % y parte del +19 % de India es llenado de canal [4]. Se equivoca si el FY2026 fue el suelo: con ventas orgánicas planas en el FY2027, un 3 % después y el margen del plan de eficiencia, el valor es de 85,16 EUR. Para invertir hay que creer que EE. UU. vuelve a crecer en 2027 y que el dividendo aguanta; a 12 meses, sin recuperación del múltiplo, la rentabilidad es del 9,3 %.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4,96 = 54,06 · 11,7x × 5,85 = 68,44 · 15,2x × 6,39 = 97,13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80,45 (nuestro base -14,9 %)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 / -19,7 %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6,6 %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64,84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64,84 y 82,85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82,85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64,84 EUR: la regla daría Comprar, pero la calidad (ROIC − WACC de 0,2 puntos) lo impide mientras el ROIC no se acerque al 10 %.</w:t>
      </w:r>
    </w:p>
    <w:p>
      <w:pPr>
        <w:pStyle w:val="ListParagraph"/>
        <w:numPr>
          <w:ilvl w:val="0"/>
          <w:numId w:val="2"/>
        </w:numPr>
        <w:spacing w:after="60"/>
      </w:pPr>
      <w:r>
        <w:t xml:space="preserve">Ventas orgánicas de EE. UU. positivas en el 1S27 o 3T27: revisaríamos el escenario bajista y la probabilidad del alcista.</w:t>
      </w:r>
    </w:p>
    <w:p>
      <w:pPr>
        <w:pStyle w:val="ListParagraph"/>
        <w:numPr>
          <w:ilvl w:val="0"/>
          <w:numId w:val="2"/>
        </w:numPr>
        <w:spacing w:after="60"/>
      </w:pPr>
      <w:r>
        <w:t xml:space="preserve">Ventas orgánicas del 1S27 por debajo de −2 % o recorte del dividendo por debajo de 4,00 EUR: bajaríamos el caso base.</w:t>
      </w:r>
    </w:p>
    <w:p>
      <w:pPr>
        <w:pStyle w:val="ListParagraph"/>
        <w:numPr>
          <w:ilvl w:val="0"/>
          <w:numId w:val="2"/>
        </w:numPr>
        <w:spacing w:after="60"/>
      </w:pPr>
      <w:r>
        <w:t xml:space="preserve">Precio por encima de 82,85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permanente: ventas cayendo un 5,8 % al año durante siete años, o un margen EBITDA que baja al 27,8 %, como Brown-Forman, y un PER de 12 veces como el de una empresa sin crecimiento ni valor de marca.</w:t>
      </w:r>
    </w:p>
    <w:p>
      <w:pPr>
        <w:keepNext/>
        <w:spacing w:after="100"/>
      </w:pPr>
      <w:r>
        <w:rPr>
          <w:b/>
          <w:bCs/>
        </w:rPr>
        <w:t xml:space="preserve">Lo que creemos nosotros.</w:t>
      </w:r>
    </w:p>
    <w:p>
      <w:pPr>
        <w:spacing w:after="100"/>
      </w:pPr>
      <w:r>
        <w:t xml:space="preserve">Una estabilización: ventas orgánicas planas en el FY2027 y un 3-3,5 % después, el extremo bajo de la guía, con el margen del plan de eficiencia (31,5 %) y el dividendo mantenido. Coincidimos con el consenso en el beneficio; no tenemos una visión distinta del múltiplo a un año.</w:t>
      </w:r>
    </w:p>
    <w:p>
      <w:pPr>
        <w:keepNext/>
        <w:spacing w:after="100"/>
      </w:pPr>
      <w:r>
        <w:rPr>
          <w:b/>
          <w:bCs/>
        </w:rPr>
        <w:t xml:space="preserve">Por qué podemos tener razón.</w:t>
      </w:r>
    </w:p>
    <w:p>
      <w:pPr>
        <w:spacing w:after="100"/>
      </w:pPr>
      <w:r>
        <w:t xml:space="preserve">Fuera de EE. UU. y China las ventas ya crecen (+4 % en el resto del mundo en el 1T27), la demanda final de Martell volvió a crecer en China en el Medio Otoño y desde diciembre deja de restar el perímetro de Imperial Blue [4]. Pero no tenemos ventaja informativa: la discrepancia es de duración, no de dato.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8,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12,2 veces</w:t>
      </w:r>
      <w:r>
        <w:t xml:space="preserve">, cerca del mínimo de la serie, frente a una mediana de comparables de 16,6 veces [50].</w:t>
      </w:r>
    </w:p>
    <w:p>
      <w:pPr>
        <w:pStyle w:val="ListParagraph"/>
        <w:numPr>
          <w:ilvl w:val="0"/>
          <w:numId w:val="2"/>
        </w:numPr>
        <w:spacing w:after="60"/>
      </w:pPr>
      <w:r>
        <w:rPr>
          <w:b/>
        </w:rPr>
        <w:t xml:space="preserve">Rentabilidad por dividendo del 6,9 %</w:t>
      </w:r>
      <w:r>
        <w:t xml:space="preserve"> con 4,70 EUR mantenidos [1].</w:t>
      </w:r>
    </w:p>
    <w:p>
      <w:pPr>
        <w:pStyle w:val="ListParagraph"/>
        <w:numPr>
          <w:ilvl w:val="0"/>
          <w:numId w:val="2"/>
        </w:numPr>
        <w:spacing w:after="60"/>
      </w:pPr>
      <w:r>
        <w:rPr>
          <w:b/>
        </w:rPr>
        <w:t xml:space="preserve">1T27 mejor de lo esperado</w:t>
      </w:r>
      <w:r>
        <w:t xml:space="preserve">: −0,9 % orgánico frente a −1,7 % del consenso [4, 12].</w:t>
      </w:r>
    </w:p>
    <w:p>
      <w:pPr>
        <w:pStyle w:val="ListParagraph"/>
        <w:numPr>
          <w:ilvl w:val="0"/>
          <w:numId w:val="2"/>
        </w:numPr>
        <w:spacing w:after="60"/>
      </w:pPr>
      <w:r>
        <w:rPr>
          <w:b/>
        </w:rPr>
        <w:t xml:space="preserve">Plan de eficiencia de 1.000 M</w:t>
      </w:r>
      <w:r>
        <w:t xml:space="preserve"> del FY26 al FY28, la mitad ya entregada [4].</w:t>
      </w:r>
    </w:p>
    <w:p>
      <w:pPr>
        <w:pStyle w:val="ListParagraph"/>
        <w:numPr>
          <w:ilvl w:val="0"/>
          <w:numId w:val="2"/>
        </w:numPr>
        <w:spacing w:after="60"/>
      </w:pPr>
      <w:r>
        <w:rPr>
          <w:b/>
        </w:rPr>
        <w:t xml:space="preserve">La familia y el consejero delegado compran</w:t>
      </w:r>
      <w:r>
        <w:t xml:space="preserve">: 161,7 M a 64,06 EUR en junio de 2026 [36].</w:t>
      </w:r>
    </w:p>
    <w:p>
      <w:pPr>
        <w:pStyle w:val="Heading2"/>
      </w:pPr>
      <w:r>
        <w:t xml:space="preserve">En contra</w:t>
      </w:r>
    </w:p>
    <w:p>
      <w:pPr>
        <w:pStyle w:val="ListParagraph"/>
        <w:numPr>
          <w:ilvl w:val="0"/>
          <w:numId w:val="2"/>
        </w:numPr>
        <w:spacing w:after="60"/>
      </w:pPr>
      <w:r>
        <w:rPr>
          <w:b/>
        </w:rPr>
        <w:t xml:space="preserve">ROIC del 6,8 %</w:t>
      </w:r>
      <w:r>
        <w:t xml:space="preserve">, 0,2 puntos sobre el WACC (6,59 %).</w:t>
      </w:r>
    </w:p>
    <w:p>
      <w:pPr>
        <w:pStyle w:val="ListParagraph"/>
        <w:numPr>
          <w:ilvl w:val="0"/>
          <w:numId w:val="2"/>
        </w:numPr>
        <w:spacing w:after="60"/>
      </w:pPr>
      <w:r>
        <w:rPr>
          <w:b/>
        </w:rPr>
        <w:t xml:space="preserve">Deuda neta ajustada de 12.521 M</w:t>
      </w:r>
      <w:r>
        <w:t xml:space="preserve">, 3,8 veces el EBITDA [1].</w:t>
      </w:r>
    </w:p>
    <w:p>
      <w:pPr>
        <w:pStyle w:val="ListParagraph"/>
        <w:numPr>
          <w:ilvl w:val="0"/>
          <w:numId w:val="2"/>
        </w:numPr>
        <w:spacing w:after="60"/>
      </w:pPr>
      <w:r>
        <w:rPr>
          <w:b/>
        </w:rPr>
        <w:t xml:space="preserve">EE. UU. −10 % y China −25 %</w:t>
      </w:r>
      <w:r>
        <w:t xml:space="preserve"> en el 1T27 [4].</w:t>
      </w:r>
    </w:p>
    <w:p>
      <w:pPr>
        <w:pStyle w:val="ListParagraph"/>
        <w:numPr>
          <w:ilvl w:val="0"/>
          <w:numId w:val="2"/>
        </w:numPr>
        <w:spacing w:after="60"/>
      </w:pPr>
      <w:r>
        <w:rPr>
          <w:b/>
        </w:rPr>
        <w:t xml:space="preserve">El dividendo (1.226 M) supera la caja libre (1.197 M)</w:t>
      </w:r>
      <w:r>
        <w:t xml:space="preserve"> y el saldo se ofrece en acciones [2].</w:t>
      </w:r>
    </w:p>
    <w:p>
      <w:pPr>
        <w:pStyle w:val="ListParagraph"/>
        <w:numPr>
          <w:ilvl w:val="0"/>
          <w:numId w:val="2"/>
        </w:numPr>
        <w:spacing w:after="60"/>
      </w:pPr>
      <w:r>
        <w:rPr>
          <w:b/>
        </w:rPr>
        <w:t xml:space="preserve">Volumen mundial de bebidas alcohólicas a la baja</w:t>
      </w:r>
      <w:r>
        <w:t xml:space="preserve"> antes de recuperarse, según IWSR [32].</w:t>
      </w:r>
    </w:p>
    <w:p>
      <w:pPr>
        <w:pStyle w:val="Heading2"/>
      </w:pPr>
      <w:r>
        <w:t xml:space="preserve">Qué tiene que pasar para que la tesis funcione</w:t>
      </w:r>
    </w:p>
    <w:p>
      <w:pPr>
        <w:spacing w:after="100"/>
      </w:pPr>
      <w:r>
        <w:t xml:space="preserve">La tesis depende de que el FY2026 sea el suelo de las ventas en EE. UU. y China y de que el plan de eficiencia llegue al margen. La señal de que no se cumple: ventas orgánicas del 1S27 (18-feb-2027) por debajo de −2 %, EE. UU. por debajo de −8 %, India por debajo del +8 % una vez pasado el llenado de canal, o una caja libre que deje de cubrir el dividendo y lleve la deuda neta por encima de 4 veces el EBITDA.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FY26 fue el suelo.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mercado y el que más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India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guía; parte es llenado de canal.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eficiencia tiene que verse 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 publicada (3,8x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4,0x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 M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10,8x / 10,8x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12,5x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 · 4,4x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Pernod Ricard nace en 1975 de la fusión de Pernod y Ricard, dos casas de anís de Marsella y París. Se hizo global con compras: Irish Distillers (Jameson) en 1988, parte de Seagram (Chivas, Martell) en 2001, Allied Domecq (Ballantine’s, Beefeater, Kahlúa) en 2005 y Vin &amp; Sprit (Absolut) en 2008, esta última con mucha deuda. La familia Ricard conserva la presidencia y un bloque de referencia; Alexandre Ricard es presidente y consejero delegado desde 2015. Desde 2023 las ventas caen por la normalización tras la pandemia, el desestocaje en EE. UU. y la debilidad de China; en 2025-26 vendió la cartera de vinos y estudió sin éxito una fusión con Brown-Forman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Pernod y Ricard.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Irish Distillers (Jameson).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 los activos de Seagram (Chivas Regal, Martell).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Allied Domecq con Fortune Brands.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Vin &amp; Sprit (Absolut) por unos 5.600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12.137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de fusión con Brown-Forman (marzo-abril), terminadas sin acuerdo.</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Segundo grupo mundial de espirituosos de marca: Absolut, Jameson, Chivas Regal, Ballantine’s, Martell, Royal Salute, The Glenlivet, Beefeater, Malibu, Havana Club, Ricard, Mumm y Perrier-Jouët, y whiskies indios (Royal Stag, el whisky n.º 1 del mundo con unos 32 M de cajas, y Blenders Pride) [2]. Las 13 marcas estratégicas internacionales son el 65 % de las ventas [2]. Vende en unos 160 países, con equipos propios en más de 60 y 16.893 empleados; las ventas del FY26 fueron 9.404 M: Asia y resto del mundo 42 %, Europa 31 % y Américas 27 %, con EE. UU. 17 %, India 13 % y China 7 % [2]. Mercados maduros, en torno al 55 %; emergentes, el 45 % [2]. Tras vender los vinos (2024-26) e Imperial Blue (diciembre de 2025), el negocio es de espirituosos, champán y RTD (2,5 % de las ventas) [2].</w:t>
      </w:r>
    </w:p>
    <w:p>
      <w:pPr>
        <w:pStyle w:val="Heading2"/>
      </w:pPr>
      <w:r>
        <w:t xml:space="preserve">Cómo gana dinero</w:t>
      </w:r>
    </w:p>
    <w:p>
      <w:pPr>
        <w:spacing w:after="100"/>
      </w:pPr>
      <w:r>
        <w:t xml:space="preserve">Margen bruto de en torno al 60 % y margen operativo recurrente del 26-28 % por el precio de marca; casi la mitad del valor está en marcas premium envejecidas (whisky, coñac) que exigen años de existencias en balance [22]. La publicidad y promoción es la palanca: un 15 % de las ventas en el FY26 [22]. El margen depende de la mezcla (prestige frente a estándar), del precio en mercados emergentes y del coste del líquido envejecido; la estacionalidad concentra ventas en el primer semestre (Navidad, Año Nuevo chino, Diwali).</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y 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y 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 mayoristas y distribuidores (en EE. UU., por el sistema de tres niveles), a la gran distribución, a la hostelería y al travel retail; no hay un cliente relevante. El poder de precios se ha debilitado: el precio/mezcla de las marcas estratégicas fue −3 % en el FY26 (Jameson −5 %, Martell −7 %) con volumen −1 % [2]. En EE. UU. las ventas al consumidor cayeron en torno a un 7 % en el FY26 y los mayoristas redujeron existencias; el desfase frente al mercado mejoró a −2 puntos en el 1T27 [2, 4]. En China el coñac pierde cuota por su exposición a la hostelería, castigada por la campaña oficial de austeridad [2, 4]. En India gana cuota con precios al alza (premiumización)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 −0,9 %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mejora secuencial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EE. UU. y China, +0,5 % en el FY26 y +4 % en el 1T27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pb (−35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−45 pb y coste del líquido envejecido frente a estructura −8 %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las marcas estratégicas internacionales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M de cajas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volumen, −3 % precio/mezcla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1T27, volumen del grupo +6 % y de estas marcas +2 %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FY27: en torno al 16 %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estratégicas de 616 M frente a 1.213 M en el FY25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por debajo de 3x en el FY29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(whisky escocés e irlandés, coñac, vodka, ginebra, ron, anisados) y champán, donde Pernod Ricard es el n.º 2 mundial detrás de Diageo [13, 22]. No hay una serie gratuita del valor mundial de los espirituosos: la serie usa EE. UU. (ingresos de los productores, DISCUS), el primer mercado de Pernod y el que más cae [22, 29]. Como contraste se dan las exportaciones de whisky escocés (Scotch Whisky Association) [31] y los volúmenes mundiales de IWSR [32]. El valor mundial de toda la bebida alcohólica fue de 1,17 billones de USD en 2022 (IWSR, citado por Diageo)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[29]. Exportaciones de whisky escocés: 5.300 M GBP en 2025 (−1,8 %) [31]. Total mundial de bebidas alcohólicas: 1,17 billones de USD de venta al público en 2022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[29]. Diageo dice que la premiumización sigue, pero «con más matices», y amplía su escalera de precios y formatos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[32]. Diageo dice que los datos de Numerator muestran menos efecto de los GLP-1 en los espirituosos que en la cerveza y el vino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[29, 30]. IWSR prevé +17 % de volumen de RTD en diez años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[32]. India es el primer mercado del whisky escocés en volumen (220 millones de botellas, +15 %)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[17]. Exportaciones de whisky escocés a EE. UU.: −15 % en volumen entre mayo y diciembre de 2025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[13]. Las consumiciones en China cayeron un 7 % en 2025 [32].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[13, 14,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[13]. La gran distribución y los monopolios estatales negocian precio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[13]. Un tercio de las ventas está expuesto a zonas con estrés hídrico alto o muy alto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[13,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[13, 32]. Los espirituosos ganaron 13 puntos de cuota en el alcohol de EE. UU. desde 2000 (42,4 % en 2025) [29].</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[29]. En 2020-21 subió un 10 % y un 12 % con el consumo en casa [29]. Desde 2022 se estanca: 37.600 M en 2022, 37.700 M en 2023, 37.200 M en 2024 y 36.400 M en 2025 [29], con desestocaje de los mayoristas y menor renta disponible. En el mundo, el volumen de espirituosos cayó un 3 % en 2025 [32], y Diageo y Pernod cayeron un 2,0 % y un 3,9 % orgánico en el FY26 [14, 22].</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[17, 25]. Se discute la posible subida al 35 % de la tarifa sobre el whisky de malta escocés (vence una suspensión de cinco años) y la revisión de los aranceles tras el fallo del Tribunal Supremo de EE. UU. [17, 31]. En mayo de 2026 Diageo celebró una noticia sobre el whisky escocés y los aranceles en EE. UU., con efecto mínimo en el FY26 y más relevante para el FY27 [18]. Impuestos especiales: en el Reino Unido, el impuesto a los espirituosos subió más del 17 % en tres años y se cobra por graduación [13, 31]; en India, Maharashtra subió impuestos en el FY26 [13]. En EE. UU. regulan la TTB federal y los estados (precios, etiquetado, publicidad, distribución) [13]. Rémy Cointreau cita un precio mínimo de importación del coñac en China acordado con el MOFCOM [25].</w:t>
      </w:r>
    </w:p>
    <w:p>
      <w:pPr>
        <w:pStyle w:val="Heading2"/>
      </w:pPr>
      <w:r>
        <w:t xml:space="preserve">Tendencias y disrupción</w:t>
      </w:r>
    </w:p>
    <w:p>
      <w:pPr>
        <w:spacing w:after="100"/>
      </w:pPr>
      <w:r>
        <w:t xml:space="preserve">Las RTD son el segmento que más crece: 1.000 millones de cajas de 9 litros en el mundo en 2025 [32] y +16 % en EE. UU. [29]; Diageo, que creó el segmento con Smirnoff Ice, reconoce que «perdió el foco» y lo vuelve a integrar con sus marcas [13]. La cerveza sin alcohol (+8 % de volumen) favorece a Guinness 0.0, la cerveza sin alcohol n.º 1 en el Reino Unido [13, 32]. El consumo se desplaza a India, México, Colombia y Vietnam, y cae en China, EE. UU., Japón, Alemania y Reino Unido [32]. El tequila, motor de la década en EE. UU., bajó un 4,1 % en 2025 [29] y Diageo perdió cuota en él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espirituosos de marca internacional, detrás de Diageo (ventas de 9.404 M EUR frente a 16.844 M EUR); n.º 1 en whisky irlandés (Jameson), n.º 1 en coñac en volumen en China (Martell, 48 % de cuota en valor según la empresa) y líder en espirituosos importados premium en India con un 40 % de cuota en valor [2,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(Johnnie Walker, Smirnoff, Guinness, Don Julio). FY26 (a junio de 2026): ventas de 19.643 M USD y resultado operativo antes de partidas excepcionales de 5.683 M USD; convertido a 1,1662 USD/EUR (media BCE del ejercicio) [13, 14,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[28,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[26,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[27,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[25,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bebidas.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fidelidad es a la marca, no un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centenarias con margen operativo del 25,8 % frente al 17,7 % de Rémy Cointreau y el 20,9 % de Campari [10, 13, 14]; pero precio/mezcla negativo en EE. UU. y China en el FY26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publicidad; el coste del líquido envejecido sube con la inflación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más de 160 países y existencias envejecidas que un entrante tarda 10-20 años en reunir [10].</w:t>
            </w:r>
          </w:p>
        </w:tc>
      </w:tr>
    </w:tbl>
    <w:p>
      <w:pPr>
        <w:spacing w:after="160" w:before="0"/>
      </w:pPr>
    </w:p>
    <w:p>
      <w:pPr>
        <w:pStyle w:val="Heading2"/>
      </w:pPr>
      <w:r>
        <w:t xml:space="preserve">Amenazas</w:t>
      </w:r>
    </w:p>
    <w:p>
      <w:pPr>
        <w:spacing w:after="100"/>
      </w:pPr>
      <w:r>
        <w:t xml:space="preserve">Primera, la moderación del consumo entre los jóvenes y los GLP-1: IWSR prevé que el volumen mundial siga cayendo hasta 2031 [32]. Segunda, la pérdida de poder de precios en EE. UU. y China, donde Pernod cayó un 14 % y el coñac sufre aranceles [22, 25]. Tercera, los aranceles de EE. UU. del 15 % a los productos de la UE [17]. Cuarta, el desplazamiento hacia las bebidas listas para tomar y el tequila, donde Pernod tiene poca presencia [29]. Probabilidad media-alta de que el margen no recupere el 28 % del FY23.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FY2021-FY2026: ingresos </w:t>
      </w:r>
      <w:r>
        <w:rPr>
          <w:b/>
          <w:bCs/>
        </w:rPr>
        <w:t xml:space="preserve">1,3 %</w:t>
      </w:r>
      <w:r>
        <w:t xml:space="preserve">, EBITDA </w:t>
      </w:r>
      <w:r>
        <w:rPr>
          <w:b/>
          <w:bCs/>
        </w:rPr>
        <w:t xml:space="preserve">0,3 %</w:t>
      </w:r>
      <w:r>
        <w:t xml:space="preserve">, BPA </w:t>
      </w:r>
      <w:r>
        <w:rPr>
          <w:b/>
          <w:bCs/>
        </w:rPr>
        <w:t xml:space="preserve">-1,0 %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caen tres años seguidos desde el máximo de 12.137 M del FY23 hasta 9.404 M en el FY26 (−22,5 %): orgánico −1 % en el FY24, −3 % en el FY25 y −3,9 % en el FY26, más divisa (−568 M en el FY26) y ventas de negocios (−582 M) [2, 8]. EE. UU. (−14 % orgánico en el FY26) y China (−19 %) explican la caída; sin ellos el grupo creció un 0,5 % [2]. El margen operativo recurrente pasó del 27,6 % del FY23 al 25,8 % (−35 pb orgánicos en el FY26, −117 pb publicados): el margen bruto restó 221 pb (precio/mezcla negativo, aranceles −45 pb, inflación del líquido envejecido) y los gastos de estructura, que bajaron un 8 %, sumaron 109 pb [2]. El 1T FY27 (15-oct-2026) mejora: −0,9 % orgánico y −6,3 % publicado, con volúmenes +6 % y EE. UU. −10 %, China −25 % e India +19 % [4].</w:t>
      </w:r>
    </w:p>
    <w:p>
      <w:pPr>
        <w:pStyle w:val="Heading2"/>
      </w:pPr>
      <w:r>
        <w:t xml:space="preserve">Ajustes y partidas no recurrentes</w:t>
      </w:r>
    </w:p>
    <w:p>
      <w:pPr>
        <w:spacing w:after="100"/>
      </w:pPr>
      <w:r>
        <w:t xml:space="preserve">La cuenta va en la base recurrente de la empresa: EBIT = resultado operativo recurrente (PRO), resultado financiero, impuesto y minoritarios recurrentes, beneficio neto recurrente atribuido y BPA recurrente diluido [2, 9, 10]. La diferencia con las NIIF son los «otros ingresos y gastos operativos» (reestructuraciones, deterioros, plusvalías de ventas de marcas): −261 M en el FY26 y −208 M en el FY25, con un beneficio neto publicado de 1.203 M (BPA 4,77) y 1.626 M (6,45) [1]. Se repiten todos los años (reestructuración «Fit for Future» y ventas de marcas), así que no son excepcionales: en la valoración se tratan como parte del coste vía la tasa de reinversión y se dicen en el texto. El EBITDA es el de la empresa (PRO más amortizaciones), el mismo que usa para la deuda neta/EBITDA (3,7x) y que da MarketScreener (2.836 M).</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Pernod publica ventas cada trimestre y resultados cada semestre (el trimestre fiscal empieza en julio: 1T27 = julio-septiembre de 2026). En los resultados del FY26 (27-ago) la dirección habló de un año de «transición»: orgánico del 1S −5,9 % y del 2S −1,3 %, guía FY27 de ventas orgánicas «ampliamente estables» con caídas en EE. UU. y China por ajuste de inventarios, y marco FY27-FY29 «cerca del extremo bajo» del +3 % a +6 % [2, 5]. Los analistas preguntaron sobre todo por el margen bruto (líquido envejecido más caro, conflicto de Oriente Medio, devolución de aranceles en EE. UU.) y por cómo encaja una media del 3 % con un FY27 plano: la directora financiera entrante dijo que el arancel neto en EE. UU. y China se compensa en parte con el tratado India-Reino Unido y no dio cifras [5]. Frente a febrero, cuando la guía FY26 hablaba de mejora «sesgada al 2S» y de inversiones estratégicas de 750 M, el discurso ya da por tocado fondo en China (ventas al consumidor de vuelta al crecimiento en el Medio Otoño) [4, 7]. El 1T27 (15-oct) batió el consenso que recopila la propia empresa: −0,9 % orgánico frente a −1,7 % (rango −3,8 % a −0,2 %) [4, 12]. La dirección evitó cuantificar el margen operativo orgánico del FY27 («lo defenderemos con fuerza») y la salida a bolsa de Pernod Ricard India, que dice estar preparando [4,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(FY2023: Compras de participaciones y negocios por 1.159 M (estado de flujos) y salto de los minoritarios de 309 a 998 M: el activo crece 1.664 M [9].; FY2026: Venta de Imperial Blue (efectiva en diciembre de 2025) y de vinos (Mumm Napa, Kenwood): efecto perímetro de −582 M en ventas y −114 M en el resultado operativo recurrente [1,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publicada (con arrendamientos) bajó de 10.951 M en el FY24 a 10.727 M en el FY25 y 10.662 M en el FY26, pero el ratio sobre EBITDA subió de 3,3x a 3,7x porque el EBITDA cayó un 16 % [2]. El circulante es el rasgo del negocio: 7.203 M de existencias envejecidas (whisky, coñac) sobre 8.470 M de inventario, un 77 % de las ventas; la empresa recortó la inversión en existencias estratégicas de 645 M (FY24) a 233 M (FY26) [2]. La caja libre cubre los dividendos solo con el factoring y las ventas de marcas: FCF de 1.197 M frente a 1.226 M de dividendos en el FY26 [2]. En el FY28 vencen 1.833 M de bonos con cupones del 0,5-3,75 %, que se refinanciarán por encima del 3,4 % de coste medio.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7.281</w:t>
      </w:r>
      <w:r>
        <w:t xml:space="preserve">, conversión </w:t>
      </w:r>
      <w:r>
        <w:rPr>
          <w:b/>
          <w:bCs/>
        </w:rPr>
        <w:t xml:space="preserve">64 %</w:t>
      </w:r>
      <w:r>
        <w:t xml:space="preserve"> del beneficio neto; adquisiciones 2.508, dividendos 6.237, recompras 1.974.</w:t>
      </w:r>
    </w:p>
    <w:p>
      <w:pPr>
        <w:spacing w:after="100"/>
      </w:pPr>
      <w:r>
        <w:t xml:space="preserve">El flujo operativo (después de intereses e impuestos, que la empresa clasifica en explotación) cayó de 2.294 M en el FY22 a 1.579 M en el FY26 [1, 10]. La inversión en existencias estratégicas va dentro del circulante del flujo operativo (233 M en el FY26, 557 M en el FY25), y el capex de 391 M es la mitad del máximo de 773 M del FY24 [1, 2]. La empresa define la «caja libre» como flujo operativo menos capex neto: 1.197 M en el FY26, +6 %, con una conversión de caja del 91 % (74 % en el FY25) [2]. El capex de mantenimiento no se publica; estimación propia: unos 350-400 M, cerca de la amortización (413 M), porque el capex del FY26 ya está en ese nivel y la empresa habla de «inversiones estratégicas» que no pasarán de 700 M entre capex y existencias [2, 4]. Las ventas de marcas aportaron 438 M en el FY26 y 308 M en el FY25.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KPMG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del FY26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NIIF-UE auditadas por Deloitte (23 años seguidos) y KPMG (10 años) sin salvedades [1]. Los «otros gastos operativos» se repiten todos los años (−261 M en el FY26, −208 M en el FY25), sobre todo reestructuración y deterioros (106 M de deterioros netos en el FY26), y la empresa los excluye de su beneficio recurrente: el BPA publicado (4,77) queda un 18 % por debajo del recurrente (5,85) [1, 2]. Las existencias envejecidas no se amortizan y su coste sube con la inflación pasada del líquido, lo que retrasa el impacto en el margen [5]. El factoring de 1.105 M mejora la caja y el circulante; está estable desde hace dos años [2]. Los pagos en acciones son pequeños (16 M). El auditor señala como cuestión clave el deterioro de marcas: 40 M en la sociedad matriz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−208 y −261 M al año en el FY25-FY26: el BPA recurrente sobrestima el beneficio publicado en un 13-18 %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de clientes por 1.105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Reduce las cuentas a cobrar netas a 1.228 M frente a 2.332 M brutas; se trata como deuda en el puente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de 1.226 M frente a FCF de 1.197 M en el FY26; el saldo del FY26 se ofrece en acciones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27.099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6.458 M en FY2026 (el 24 % del capital invertido medio); ha subido más de un 5 % en 2 de 5 años: compras pequeñas. ROIC publicado 6,8 %; sin fondo de comercio, 8,9 %.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0,0 % · </w:t>
      </w:r>
      <w:r>
        <w:rPr>
          <w:b/>
          <w:bCs/>
        </w:rPr>
        <w:t xml:space="preserve">WACC</w:t>
      </w:r>
      <w:r>
        <w:t xml:space="preserve">: 6,6 %.</w:t>
      </w:r>
    </w:p>
    <w:p>
      <w:pPr>
        <w:spacing w:after="100"/>
      </w:pPr>
      <w:r>
        <w:t xml:space="preserve">Pernod crea muy poco valor sobre el capital que ha pagado: el ROIC del FY2026 es del 6,8 %, apenas 0,2 puntos por encima del WACC (6,59 %), frente al 10,0 % del FY2023 [1]. La caída sale del margen, no de la rotación: el NOPAT baja de 2.591 M a 1.834 M mientras el capital invertido sube de 25.937 M a 27.099 M por las existencias envejecidas (7.203 M) y las marcas compradas. Sin fondo de comercio el ROIC es del 8,9 %, y el ROIC incremental de los últimos años es nulo: el capital añadido desde el FY2023 no ha generado beneficio. Diageo, con un margen operativo del 28,9 % frente al 25,8 %, rinde algo más sobre un capital igual de cargado de marcas [13, 14]. Con el margen del 30,6 % del FY2028e el ROIC volvería a un 7,5-8 %: crea valor, pero lejos de los 5 puntos sobre el WACC que exige una compra.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1.993 M a 30-jun-2026 y unos 2.800 M de líneas comprometidas no dispuestas, de ellas una sindicada revolving de 2.100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Baa1/P2 y S&amp;P BBB+/A2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Factoring y titulización de clientes por 1.105 M a 30-jun-2026 (1.122 M un año antes): las cuentas a cobrar brutas son 2.332 M y las netas 1.228 M [2]; es financiación y en el puente se suma a la deuda. El dividendo a cuenta de 592 M figuraba como pasivo corriente al cierre y se pagó el 24-jul-2026 [1]. Provisiones para pensiones de 216 M (265 M en el FY25), otras provisiones no corrientes de 310 M y corrientes de 125 M [1]. Los préstamos tienen covenants de apalancamiento financiero según el URD; la deuda neta/EBITDA es de 3,7x con objetivo por debajo de 3x en el FY29 [1, 2]. Pasivos por impuestos diferidos de 3.125 M ligados sobre todo a las marcas [1]. Sin litigios materiales provisionados por encima de lo habitual.</w:t>
      </w:r>
    </w:p>
    <w:p>
      <w:pPr>
        <w:pStyle w:val="Heading1"/>
      </w:pPr>
      <w:r>
        <w:t xml:space="preserve">12. Asignación de capital</w:t>
      </w:r>
    </w:p>
    <w:p>
      <w:pPr>
        <w:pStyle w:val="Confianza"/>
        <w:spacing w:after="100"/>
      </w:pPr>
      <w:r>
        <w:t xml:space="preserve">Confianza: Media</w:t>
      </w:r>
    </w:p>
    <w:p>
      <w:pPr>
        <w:spacing w:after="100"/>
      </w:pPr>
      <w:r>
        <w:t xml:space="preserve">Prioridades declaradas: inversión en existencias y capex, gestión activa de la cartera (compras que creen valor), dividendo progresivo con un pago de en torno al 50 % del beneficio neto recurrente y recompras cuando lo anterior esté cubierto, manteniendo el grado de inversión [2]. El dividendo está en 4,70 EUR desde el FY23, un 80 % del BPA recurrente del FY26 (5,85); el saldo del FY26 (2,35 EUR, fecha ex 25-nov-2026, pago 18-dic) se podrá cobrar en acciones nuevas emitidas con un 10 % de descuento [1]. No hay recompras desde el FY24 (334 M) [1]. Objetivo de deuda neta/EBITDA por debajo de 3x en el FY29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participaciones y marcas del FY23 (1.159 M en el estado de flujos)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contables de 998 M desde el FY23; sin deterioro material publicado del fondo de comercio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cartera de vinos (Jacob’s Creek, Campo Viejo y otras) y de Mumm Napa y Kenwood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de 308 M en el FY25 y parte de los 438 M del FY26; mejora el margen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Imperial Blue (India) a Tilaknagar, efectiva en diciembre de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(cobro)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Inmediatamente acretiva en margen según la empresa; resta ventas al perímetro hasta diciembre de 2026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entre iguales con Brown-Forman (conversaciones confirmadas el 26-mar-2026)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Canje de acciones (propuesto)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Terminadas sin acuerdo el 28-abr-2026.</w:t>
            </w:r>
          </w:p>
        </w:tc>
      </w:tr>
    </w:tbl>
    <w:p>
      <w:pPr>
        <w:spacing w:after="160" w:before="0"/>
      </w:pPr>
    </w:p>
    <w:p>
      <w:pPr>
        <w:spacing w:after="100"/>
      </w:pPr>
      <w:r>
        <w:t xml:space="preserve">En diez años la dirección pasó de comprar (marcas premium, RTD, agave) a vender: unos 1.500 M de ingresos brutos por ventas de marcas no estratégicas [2]. El capital se ha ido sobre todo a existencias envejecidas: las inversiones estratégicas llegaron a 1.400 M en el FY24, cuando ya caían las ventas, y ahora se recortan a 616 M [2]. El retorno de esa inversión no aparece todavía: el beneficio recurrente es un 37 % inferior al del FY23. El dividendo plano de 4,70 EUR con un pago del 80 % y la opción de cobro en acciones indican que se defiende el dividendo con dilución en vez de recortarlo, a diferencia de Diageo, que lo redujo a la mitad en febrero de 2026.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Nieto del fundador; en el grupo desde 2003, consejero delegado desde febrero de 2015 y presidente desde noviembre de 2015 [1]. Llevó las ventas a su máximo de 12.137 M en el FY23 y ha presidido la caída a 9.404 M; tiene 245.000 acciones a título personal y compró 22.581 en el último año [1,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Mauve Croizat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(EVP Finance &amp; 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Hélène de Tissot, que dejó el grupo el 30-sep-2026; presentó ya las cifras del FY26 en la conferencia de agosto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Conor McQuaid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Pernod Ricard USA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responde del primer mercado (17 % de las ventas), que cayó un 14 % orgánico en el FY26 y no cumplió el objetivo de evolucionar en línea con el mercado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Gilles Bogaert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Global Markets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a 30-jun-2026; dirige la red comercial reorganizada en 10 entidades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Barbizet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Contrapeso independiente de un presidente-consejero delegado de la familia; su mandato vence en la junta de 2026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bajo de un dígito y expansión del margen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−1 % orgánico; resultado operativo recurrente +1,5 %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orgánica de ventas de un dígito bajo y defensa del margen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orgánico; margen operativo publicado estable (26,9 %)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transición con mejora sesgada al 2S; inversiones estratégicas de unos 750 M; conversión de caja ≥ 80 %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−3,9 % (1S −5,9 %, 2S −1,3 %); inversiones de 616 M; conversión del 91 %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FY27-FY29 (marco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+3 % a +6 % de ventas orgánicas al año; desde ago-2026 «cerca del extremo bajo» de media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FY27 guiado plano; 1T27 −0,9 %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Alexandre Ricard lleva once años al frente, sin cambios de presidente o consejero delegado en 24 meses [1]. La credibilidad de la guía es media: cumplió la defensa del margen y la caja, pero el marco de crecimiento a medio plazo se ha rebajado dos veces (4-7 % a 3-6 % y ahora al extremo bajo) [4, 6]. El cambio de directora financiera en septiembre de 2026 y la intentona fallida con Brown-Forman (marzo-abril) muestran presión para cambiar algo [1, 38, 39]. El presidente y la familia compran acciones (161,7 M el 19-jun-2026 por una sociedad familiar), señal de que ven el precio bajo [36]. No hay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Barbizet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Albert Baladi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Virginie Fauvel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 Koeune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Anne Lange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Lemierre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Petitcolin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Kory Sorenson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Ian Gallienne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Groupe Bruxelles Lambert)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César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Société Paul Ricard)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Société Paul Ricard (Patricia Ricard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1983</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Veronica Vargas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(familia Ricard)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Carla Machado Leite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Brice Thommen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del FY26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163,64 / ventas 0,10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Concierto familiar Paul Ricard (Société Paul Ricard, Le Delos Invest I-III, Rigivar y miembros de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(22,84 %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pt desde dic-2025 (15,16 %): compra de 2,52 M de acciones el 19-jun-2026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Bruxelles Lambert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de referencia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de la empresa a 31-mar-2026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 Group (indirecta)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5 % de los votos el 15-jun-2026, a la vez que la operación con derivados de Le Delos Invest II [1,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de los votos en julio de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el 29-may-2026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5 % el 24-mar-2026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30-jun-2026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465.733 acciones sin voto a 30-sep-2026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(entrega de acciones de rendimiento, venta parcial)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vinculada a un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Persona vinculada a Veronica Vargas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Delos Invest II (sociedad de Société Paul Ricard,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2.523.628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el FY26 Alexandre Ricard devengó 1,33 M de fijo, 1,17 M de variable anual (108 % del fijo frente a un objetivo del 110 % y un máximo del 180 %) y acciones de rendimiento valoradas en 2,23 M: 5,25 M en total, 63 veces el coste medio por empleado del grupo [1]. El variable anual pesa un 80 % en cuatro métricas financieras (resultado operativo recurrente, beneficio neto recurrente, caja libre recurrente y margen, un 20 % cada una) y un 30 % en criterios no financieros; no cobró el criterio de EE. UU. [1]. Las acciones de rendimiento dependen del resultado operativo a tres años y del TSR frente a ocho competidores [1]. En la junta de 2025 la remuneración del FY25 obtuvo un 89,2 % a favor y un 10,8 % en contra; descontados los votos de la familia (22 % de los derechos), el rechazo del capital libre ronda el 14,6 % (estimación propia) [35].</w:t>
      </w:r>
    </w:p>
    <w:p>
      <w:pPr>
        <w:pStyle w:val="Heading2"/>
      </w:pPr>
      <w:r>
        <w:t xml:space="preserve">Operaciones vinculadas, estructura de control y defensas</w:t>
      </w:r>
    </w:p>
    <w:p>
      <w:pPr>
        <w:spacing w:after="100"/>
      </w:pPr>
      <w:r>
        <w:t xml:space="preserve">La familia Ricard actúa en concierto con el 16,16 % del capital y el 22,84 % de los votos gracias al voto doble de las acciones nominativas con más de dos años: 50,7 M de acciones tenían voto doble a 30-jun-2026 [1]. Preside y dirige un miembro de la familia y tiene otros tres consejeros (Société Paul Ricard, César Giron y Veronica Vargas); GBL, con un 6,8 %, tiene otro [1]. Ocho de los doce consejeros elegidos por la junta son independientes, con una consejera coordinadora [1]. Con un 22,8 % de los votos y una asistencia del 80 % del capital en la junta, la familia tiene de hecho minoría de bloqueo y decide quién preside; la fusión con Brown-Forman, otra empresa familiar, se rompió sin acuerdo en un mes [38, 39]. Las sociedades de la familia han pignorado acciones (950.917 el 14-oct-2026 y 2,84 M en junio de 2026, ligadas a instrumentos a plazo) [36].</w:t>
      </w:r>
    </w:p>
    <w:p>
      <w:pPr>
        <w:pStyle w:val="Heading2"/>
      </w:pPr>
      <w:r>
        <w:t xml:space="preserve">Señales de alerta</w:t>
      </w:r>
    </w:p>
    <w:p>
      <w:pPr>
        <w:pStyle w:val="ListParagraph"/>
        <w:numPr>
          <w:ilvl w:val="0"/>
          <w:numId w:val="2"/>
        </w:numPr>
        <w:spacing w:after="60"/>
      </w:pPr>
      <w:r>
        <w:t xml:space="preserve">Cambio de directora financiera: Hélène de Tissot dejó el grupo el 30-sep-2026; la sustituye Mauve Croizat [1].</w:t>
      </w:r>
    </w:p>
    <w:p>
      <w:pPr>
        <w:pStyle w:val="ListParagraph"/>
        <w:numPr>
          <w:ilvl w:val="0"/>
          <w:numId w:val="2"/>
        </w:numPr>
        <w:spacing w:after="60"/>
      </w:pPr>
      <w:r>
        <w:t xml:space="preserve">Pignoraciones de acciones por las sociedades familiares (Société Paul Ricard, Le Delos Invest II) en octubre de 2025, enero, junio y octubre de 2026, y compra de 2,52 M de acciones con instrumentos a plazo el 19-jun-2026: la familia se apalanca para aumentar su participación [36].</w:t>
      </w:r>
    </w:p>
    <w:p>
      <w:pPr>
        <w:pStyle w:val="ListParagraph"/>
        <w:numPr>
          <w:ilvl w:val="0"/>
          <w:numId w:val="2"/>
        </w:numPr>
        <w:spacing w:after="60"/>
      </w:pPr>
      <w:r>
        <w:t xml:space="preserve">Presidente y consejero delegado en la misma persona, de la familia de control, con voto doble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FY27 (guía del 27-ago-2026, confirmada el 15-oct-2026): ventas orgánicas «ampliamente estables», con caídas en EE. UU. y China por ajuste de inventarios desde el 1T y crecimiento en el resto del mundo, sobre todo India; publicidad en torno al 16 % de las ventas; defensa «fuerte» del margen operativo orgánico; inversiones estratégicas de unos 700 M y conversión de caja del 90 % [2, 4]. Medio plazo FY27-FY29: crecimiento orgánico de ventas de media «cerca del extremo bajo» del +3 % a +6 %, expansión del margen orgánico con 1.000 M de eficiencias acumuladas entre el FY26 y el FY28 (la mitad ya lograda), conversión del 90 % y deuda neta/EBITDA por debajo de 3x en el FY29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16-oct-2026 (BPA en NIIF, con partidas no recurrentes)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16-oct-2026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16-oct-2026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 122,00</w:t>
            </w:r>
          </w:p>
        </w:tc>
      </w:tr>
    </w:tbl>
    <w:p>
      <w:pPr>
        <w:spacing w:after="160" w:before="0"/>
      </w:pPr>
    </w:p>
    <w:p>
      <w:pPr>
        <w:pStyle w:val="Heading2"/>
      </w:pPr>
      <w:r>
        <w:t xml:space="preserve">Revisiones de estimaciones</w:t>
      </w:r>
    </w:p>
    <w:p>
      <w:pPr>
        <w:spacing w:after="100"/>
      </w:pPr>
      <w:r>
        <w:t xml:space="preserve">Las estimaciones llevan un año a la baja: el FY26 acabó con ventas de 9.404 M y BPA recurrente de 5,85 (−19 %) y, tras los resultados de agosto, Mediobanca y Deutsche Bank rebajaron sus objetivos (DB a 63 EUR, conservar) [42, 46]. El 1T27 batió el consenso de la propia empresa (−0,9 % orgánico frente a −1,7 %) y Berenberg revisó sus estimaciones manteniendo comprar; Jefferies sigue en comprar con 90 EUR y ve estabilización en 2027 y recuperación en 2028 [3, 7, 12]. Solo hay una fuente gratuita con estimaciones completas (MarketScreener); su EBITDA y su EBIT son los recurrentes de la empresa y su BPA es el NIIF (4,77 en el FY26 frente a 5,85 recurrente).</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pierde un 23,5 % en un año y un 19,1 % anual en cinco, frente a +3,6 % anual del CAC 40 [40]: el mercado ha pasado de pagar el ciclo alcista poscovid de los destilados (máximo de 217 EUR en 2022) a descontar una caída estructural. La caída máxima de cinco años es del −68,9 %, hasta el mínimo de 58,04 EUR del 5-oct-2026 [40]. En 2026 la peor parte llegó con los resultados de Diageo (25-feb, −7,9 % en Pernod por el recorte del dividendo de Diageo), la confirmación de las conversaciones con Brown-Forman (26-mar, −5,7 %) y los resultados del FY26 (27-ago, −4,6 %) [38, 40, 49]. Desde el mínimo de octubre sube un 17,5 % en ocho sesiones seguidas, con todo el sector (Diageo +7 %, Brown-Forman +8 %, Rémy +19 % entre el 12 y el 16-oct) y un 1T27 mejor de lo esperado [40, 46, 47]. Beta de 0,64 mensual a cinco años y 0,96 semanal a dos años frente al CAC 40.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 / +5,1 % / +3,6 % / -23,6 %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-24,4 % / +17,5 %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17,5 % desde el mínimo del 5-oct en ocho sesiones, con todo el sector (Diageo +7 %, Brown-Forman +7,7 %, Rémy +19 % entre el 12 y el 16-oct) y ventas del 1T27 mejores de lo esperado (−0,9 % orgánico frente a −1,7 %) [4, 12, 46,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18-sep tras los resultados del FY26 (27-ago: −4,6 % en el día), con la guía de ventas orgánicas solo estables, y la salida a mínimos de una década de todo el sector [2, 40,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confirma conversaciones con Brown-Forman para una fusión; el mercado teme una operación grande con acciones. Terminaron sin acuerdo el 28-abr [38,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recorta su dividendo a la mitad (−12,7 % en Diageo) y el mercado extiende la duda a Pernod, cuyo dividendo absorbe toda la caja libre [49].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Deutsche Bank mantiene «conservar» con objetivo de 63 EUR; Jefferies sigue en «comprar» con 90 EUR y Berenberg revisa estimaciones manteniendo «comprar» tras el 1T27 [42,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 de 2.234 M (−0,9 % orgánico, −6,3 % publicado por la salida de Imperial Blue y de los vinos); EE. UU. −10 %, China −25 %, India +19 % con un efecto de llenado de canal por la posible salida a bolsa; guía del FY27 confirmada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la directora financiera, Hélène de Tissot; la sustituye Mauve Croizat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 Delos Invest II (familia Ricard) compra 2.523.628 acciones a 64,06 EUR (161,7 M), parte con instrumentos a plazo; el concierto familiar sube al 16,16 % del capital. Las sociedades familiares tienen acciones pignoradas, pero no hay venta anunciada [36,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y consejero delegado, Alexandre Ricard, compra 6.081 acciones a 62,10 EUR y una persona vinculada a una consejera, 3.000; en noviembre de 2025 ya había comprado 16.500 a 82-83 EUR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y Brown-Forman terminan las conversaciones de fusión sin acuerdo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13,5 % en un mes y un 17,5 % desde el mínimo de 57,86 EUR, pero sigue un 23,6 % por debajo de hace un año y en tendencia lateral, sin avisos de precio [40]. El rebote es de sector y lo apoya un dato (1T27 mejor de lo esperado), no un rumor [4, 47]. No hay colocaciones ni ventas de la familia anunciadas: la familia y el consejero delegado han comprado en 2026 [36]. Los próximos resultados (1S27, 18-feb-2027) quedan a cuatro meses [4]. Ningún hecho pendiente puede mover el precio más de un 5 % antes de esa fecha salvo la junta del 20-nov;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En los tres años limpios (FY2024-FY2026) Pernod cotiza a 10,8 veces el EBITDA de los últimos 12 meses, un 10 % por encima de la mediana, y a 11,7 veces el PER, en la mediana, porque el beneficio ha caído tanto como el precio [1, 40]. Excluimos FY2021-FY2023: el auge de los destilados tras la pandemia (PER al cierre de 22-30 veces) no es comparable con un negocio que vende un 3,9 % menos en orgánico. Lo estructural es que el mercado ha dejado de pagar a Pernod como un crecedor del 4-7 %: el PER adelantado pasó de 25,6 veces en junio de 2023 a 11,5 veces en junio de 2026.</w:t>
      </w:r>
    </w:p>
    <w:p>
      <w:pPr>
        <w:pStyle w:val="Heading1"/>
      </w:pPr>
      <w:r>
        <w:t xml:space="preserve">18. Comparables cotizados</w:t>
      </w:r>
    </w:p>
    <w:p>
      <w:pPr>
        <w:pStyle w:val="Confianza"/>
        <w:spacing w:after="100"/>
      </w:pPr>
      <w:r>
        <w:t xml:space="preserve">Confianza: Media</w:t>
      </w:r>
    </w:p>
    <w:p>
      <w:pPr>
        <w:spacing w:after="100"/>
      </w:pPr>
      <w:r>
        <w:t xml:space="preserve">Grupos de bebidas alcohólicas con marcas globales: los destiladores cotizados (Diageo, Brown-Forman, Campari, Rémy Cointreau), Constellation Brands y las dos grandes cerveceras (AB InBev y Heineken). Las cifras son de MarketScreener a 12-oct-2026 (en EUR) y se llevan al cierre del 16-oct con la variación del precio de cada una: la capitalización y el PER, por el cociente de precios; el valor empresa, por el cambio de la capitalización (en Diageo, sin deuda neta en la ficha, solo el PER) [40, 50]. Fuera LVMH (el lujo pesa el 90 % de su beneficio) y Kweichow Moutai (mercado chino regulado). Rémy Cointreau (+19 % en cuatro días) distorsiona por arriba; con ella fuera la mediana del PER apenas cambia.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10,6x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10,6x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 / 16,6x / 18,3x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3,5x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11,9 + -0,31 × crecimiento; R² = 0,09. El crecimiento explica poco los múltiplos de estos comparables (R² &lt; 0,3): la regresión no se usa en la valoración.</w:t>
      </w:r>
    </w:p>
    <w:p>
      <w:pPr>
        <w:spacing w:after="100"/>
      </w:pPr>
      <w:r>
        <w:t xml:space="preserve">Pernod cotiza a 10,8 veces el EBITDA de los próximos 12 meses, en línea con la mediana de los siete comparables, y a 12,5 veces el BPA, frente a una mediana de 16,6 veces [50]. Las dos lecturas no cuadran por la deuda: Pernod tiene 3,8 veces de deuda neta ajustada sobre el EBITDA y el PER castiga menos que el valor empresa a los apalancados. El EV/EBITDA da 65,82 EUR por acción y el PER 90,46 EUR; los usamos los dos, con un 20 % de peso, ahora que hay consenso de EBITDA para los próximos 12 meses [41]. La mezcla tiene sesgos: AB InBev y Heineken son cerveceras que crecen más; Rémy (14,4 veces) y Campari (12,2 veces) llevan prima de recuperación; Constellation (10,8 veces el BPA) está tan desratada como Pernod. El crecimiento no explica los múltiplos de la muestra.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EABL facturó 996 M USD en el FY25, con EBITDA de 258 M (18,6x publicado) y deuda neta de 229 M. Cierre previsto en el 2S del año natural 2026.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No publica EBITDA. Cerrada el 30-abr-2024.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Marcas de vino y vermú de bajo margen.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(291 M USD el pago inicial y 489 M USD con todo el variable, al tipo del corte). No se publicaron ventas ni múltiplo. En el FY26 Diageo registró un deterioro de Don Papa dentro de los 1.500 M de deterioros.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No se publicaron ventas ni múltiplo. [51]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61,11 – 135,10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Pocas operaciones de destilados publican el múltiplo de EBITDA: Asahi paga 17 veces el EBITDA ajustado por EABL y Campari pagó unas 17 veces la contribución tras publicidad por Courvoisier (5,3 veces ventas), mientras las marcas de vino y vermú salen a 1,3 veces ventas [51]. Pernod tiene un concierto familiar con el 22,8 % de los votos: una opa hostil es inviable, y la única operación corporativa intentada, la fusión entre iguales con Brown-Forman de marzo de 2026, terminó sin acuerdo un mes después [38, 39]. El valor de control no es un escenario de este informe.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−3 %, con ventas orgánicas estables según la guía, unos −2,8 puntos de perímetro por Imperial Blue (−127 M en el 1T27, hasta diciembre) y divisa casi neutra (−3 M en el 1T27) [4]. FY2028e-FY2031e: 3-3,5 %, el extremo bajo del objetivo de la empresa para el FY27-FY29 («cerca del +3 %») [4]; luego 2,5 %. Es menos que el consenso en el FY2027e (9.122 M frente a 9.325 M) porque recogemos el perímetro entero, y casi igual en el FY2029e (9.724 M frente a 9.764 M) [41]. El crecimiento medio (2,1 %) queda por encima del 1,3 % anual histórico de las ventas publicadas FY2021-FY2026 [1, 11].</w:t>
      </w:r>
    </w:p>
    <w:p>
      <w:pPr>
        <w:keepNext/>
        <w:spacing w:after="100"/>
      </w:pPr>
      <w:r>
        <w:rPr>
          <w:b/>
          <w:bCs/>
        </w:rPr>
        <w:t xml:space="preserve">Márgenes.</w:t>
      </w:r>
    </w:p>
    <w:p>
      <w:pPr>
        <w:spacing w:after="100"/>
      </w:pPr>
      <w:r>
        <w:t xml:space="preserve">Margen EBITDA del 30,2 % en el FY2027e, el real del FY2026 (2.423 M de resultado operativo recurrente más 413 M de amortización sobre 9.404 M) [1], en línea con el consenso (30,2 %) [41]. Sube al 31,5 % en el FY2031e con el plan de 1.000 M de eficiencias del FY26 al FY28 (la mitad ya entregada), parte del cual se reinvierte en publicidad (16 % de las ventas) [2, 4]. Queda por debajo del 30,6 % del FY2023 más el ahorro, porque el poder de precios se ha debilitado (precio y mezcla negativos en el FY26) y los aranceles costaron 45 pb [2].</w:t>
      </w:r>
    </w:p>
    <w:p>
      <w:pPr>
        <w:keepNext/>
        <w:spacing w:after="100"/>
      </w:pPr>
      <w:r>
        <w:rPr>
          <w:b/>
          <w:bCs/>
        </w:rPr>
        <w:t xml:space="preserve">Inversión y circulante.</w:t>
      </w:r>
    </w:p>
    <w:p>
      <w:pPr>
        <w:spacing w:after="100"/>
      </w:pPr>
      <w:r>
        <w:t xml:space="preserve">Amortización del 4,4 % de las ventas (413 M en el FY2026). Capex del 5,4 %: el 4,2 % del FY2026 (391 M) más los pagos de arrendamientos (101 M), porque el EBITDA NIIF 16 no lleva los alquileres [1]. El circulante comercial se queda en el 79,5 % de las ventas (77,2 % en el FY2026: 8.470 M de existencias, el 85 % envejecidas, más clientes menos proveedores) [1]: con la guía de inversiones estratégicas de unos 700 M (capex más existencias estratégicas) el modelo invierte unos 460 M de capex y 210-260 M de circulante al año desde el FY2028e [4]. Con esto el flujo libre del FY2027e (1.686 M antes de intereses) queda algo por encima de la caja libre publicada del FY2026 más intereses netos (unos 1.500 M), que llevaba costes de reestructuración [2].</w:t>
      </w:r>
    </w:p>
    <w:p>
      <w:pPr>
        <w:keepNext/>
        <w:spacing w:after="100"/>
      </w:pPr>
      <w:r>
        <w:rPr>
          <w:b/>
          <w:bCs/>
        </w:rPr>
        <w:t xml:space="preserve">Coste del capital.</w:t>
      </w:r>
    </w:p>
    <w:p>
      <w:pPr>
        <w:spacing w:after="100"/>
      </w:pPr>
      <w:r>
        <w:t xml:space="preserve">Tasa libre del 3,48 % (Bund a 10 años, 16-oct-2026) [43]. Beta de 0,9: la ajustada semanal a dos años es 0,91 y la mensual a cinco años 0,64 [40]; usamos la primera porque la mensual está deprimida por el periodo de pandemia. Prima de mercado del 5,5 % y 0,5 puntos de prima adicional por la exposición a India, China y otros emergentes. Coste de la deuda antes de impuestos del 3,7 % (el coste medio actual es del 3,4 %; sumamos el de refinanciar) [1] y 38 % de deuda a valor de mercado (10.662 M frente a 17.212 M de capitalización). WACC del 6,59 %. Con la prima implícita del mercado (4,2 %) [45] el WACC baja al 5,9 %.</w:t>
      </w:r>
    </w:p>
    <w:p>
      <w:pPr>
        <w:keepNext/>
        <w:spacing w:after="100"/>
      </w:pPr>
      <w:r>
        <w:rPr>
          <w:b/>
          <w:bCs/>
        </w:rPr>
        <w:t xml:space="preserve">Valor terminal.</w:t>
      </w:r>
    </w:p>
    <w:p>
      <w:pPr>
        <w:spacing w:after="100"/>
      </w:pPr>
      <w:r>
        <w:t xml:space="preserve">Crecimiento a perpetuidad del 2,0 %, la inflación esperada del euro y 1,5 puntos por debajo del Bund. El valor terminal pesa el 75 % del valor; equivale a unas 11 veces el EBITDA final, en línea con el EV/EBITDA de los próximos 12 meses de hoy (10,8 veces) y con la mediana de los comparables [50].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 M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(reinvierte el 37 %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(histórico: 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frente al 2,1 %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2.053 M, el 15 % del NOPAT, con un capex bruto medio del 5,4 % de las ventas). En un negocio de activos ligeros, el crecimiento medio del 2,1 %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estables: volumen +1 % (India y resto del mundo; +6 % en el 1T27) y precio/mezcla −1 % (mezcla peor por la caída de EE. UU. y del coñac en China); −3 % de perímetro (Imperial Blue) y divisa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+2 %, inflación de los emergentes: el extremo bajo del objetivo del 3-6 % orgánico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por India y el resto del mundo, con EE. UU. estabilizado; precio +2 %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y precio +2 %; por debajo del 4-7 % que la empresa logró antes de la pandemia [9,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FY2030e; converge al 2,5 % y al 2 % terminal.</w:t>
            </w:r>
          </w:p>
        </w:tc>
      </w:tr>
    </w:tbl>
    <w:p>
      <w:pPr>
        <w:spacing w:after="160" w:before="0"/>
      </w:pPr>
    </w:p>
    <w:p>
      <w:pPr>
        <w:spacing w:after="100"/>
      </w:pPr>
      <w:r>
        <w:t xml:space="preserve">Las pruebas del motor pasan: la proyección reinvierte el 10 % del NOPAT y un negocio de marcas puede crecer un 2,1 % con precio y volumen sin capital nuevo. Pero la prueba de un negocio ligero es el poder de precios, y está en duda: el precio y la mezcla fueron negativos en el FY26 y en el 1T27, las ventas publicadas solo crecieron un 1,3 % anual entre el FY2021 y el FY2026 y el ROIC (6,8 %) apenas cubre el WACC [1, 2, 4]. El foso (marcas líderes, existencias envejecidas de 7.203 M que un competidor tardaría doce años en reunir) sostiene el margen, pero el crecimiento del 3 % solo se ha visto antes de la pandemia. «En parte»: no rebajamos el base porque ya está en el extremo bajo de la guía.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 (base: 2,1 %)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6,6 %)</w:t>
            </w:r>
          </w:p>
        </w:tc>
      </w:tr>
    </w:tbl>
    <w:p>
      <w:pPr>
        <w:spacing w:after="160" w:before="0"/>
      </w:pPr>
    </w:p>
    <w:p>
      <w:pPr>
        <w:spacing w:after="100"/>
      </w:pPr>
      <w:r>
        <w:t xml:space="preserve">El DCF da 91,36 EUR por acción, un 33,9 % sobre el precio, con el valor terminal en el 75 % del total. El DCF inverso es la clave: a 68,22 EUR el mercado descuenta que las ventas caigan un 5,8 % al año durante siete años con nuestros márgenes, o un margen EBITDA final del 27,8 % con nuestras ventas; la rentabilidad implícita en el precio es del 7,5 %, frente a un WACC del 6,59 %. Es un supuesto exigente a la baja: las ventas publicadas cayeron un 8,1 % anual entre el FY2023 y el FY2026, pero con desestocaje, la salida del pico de la pandemia, la venta de los vinos y de Imperial Blue y 10 puntos de divisa; en orgánico la caída fue del 1-4 % al año [1, 2]. Un margen del 27,8 % es el de Brown-Forman hoy [23]. Dicho de otra forma, el precio solo se justifica si la caída de los tres últimos años continúa y el plan de eficiencia no llega al margen. La sensibilidad es grande: con un WACC un punto más alto (7,6 %) el valor baja a 65,54 EUR, por debajo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y China siguen cayendo en el FY2027 (ventas −5 %), el efecto de India se revierte, el plan de eficiencia se reinvierte entero en publicidad y el margen EBITDA baja dos puntos, al 28,2-29,5 %, como el de Brown-Forman; el WACC sube medio punto por la rebaja de rating. Es lo que ya viven Diageo y Rémy.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el FY2027 y vuelta a un 3-3,5 % desde el FY2028 por India y el resto del mundo, el extremo bajo de la guía; el plan de eficiencia sube el margen EBITDA al 31,5 % y el dividendo se mantiene.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crecer en el FY2028 al terminar el desestocaje, China se estabiliza con el acuerdo del coñac y el crecimiento llega al 4,5-5 %, el centro de la banda del 3-6 %; el margen sube un punto más que en 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68,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82,48 EUR (+20,9 %).</w:t>
      </w:r>
    </w:p>
    <w:p>
      <w:pPr>
        <w:spacing w:after="100"/>
      </w:pPr>
      <w:r>
        <w:t xml:space="preserve">El bajista (54,76 EUR, −19,7 %) pierde una quinta parte; el alcista (101,85 EUR, +49,3 %) gana la mitad. La asimetría es de 2,50 veces en el DCF y de 2,04 veces a 12 meses. Damos un 30 % al bajista porque la caída del consumo puede ser estructural: es el escenario que ya viven Diageo y Rémy Cointreau [49]. El alcista tiene poco recorrido sobre el base (+11 %) porque el valor ya supone una recuperación del margen; el riesgo está en el lado bajista. Compensa en valor, pero depende de un WACC bajo: con un punto más el base (65,54 EUR) queda por debajo del precio.</w:t>
      </w:r>
    </w:p>
    <w:p>
      <w:pPr>
        <w:pStyle w:val="Heading1"/>
      </w:pPr>
      <w:r>
        <w:t xml:space="preserve">22. Suma de partes</w:t>
      </w:r>
    </w:p>
    <w:p>
      <w:pPr>
        <w:pStyle w:val="Confianza"/>
        <w:spacing w:after="100"/>
      </w:pPr>
      <w:r>
        <w:t xml:space="preserve">Confianza: Media</w:t>
      </w:r>
    </w:p>
    <w:p>
      <w:pPr>
        <w:spacing w:after="100"/>
      </w:pPr>
      <w:r>
        <w:t xml:space="preserve">No aplica: tras vender los vinos (2024-2025) e Imperial Blue (diciembre de 2025), el grupo es un solo negocio de espirituosos y champán, con márgenes y comparables parecidos en todas las marcas [1,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68,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85,16 EUR (+24,8 % sobre 68,22).</w:t>
      </w:r>
    </w:p>
    <w:p>
      <w:pPr>
        <w:spacing w:after="100"/>
      </w:pPr>
      <w:r>
        <w:t xml:space="preserve">Pesamos el DCF base (91,36 EUR) y los escenarios ponderados (82,48 EUR) al 40 % cada uno y los comparables al 20 % (78,14 EUR, la media de EV/EBITDA y PER de los próximos 12 meses): valor intrínseco de 85,16 EUR, un 24,8 % sobre el precio. Los comparables entran ahora porque hay consenso de EBITDA y BPA para los próximos 12 meses [41]. Las transacciones (mediana de 126,16 EUR) llevan prima de control y marcas de crecimiento (Courvoisier, EABL): no se usan [51]. La dispersión es amplia (de 54,76 a 127,18 EUR) porque el valor depende de que el margen se recupere y de una tasa de descuento baja.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+49,3 %</w:t>
            </w:r>
          </w:p>
        </w:tc>
      </w:tr>
    </w:tbl>
    <w:p>
      <w:pPr>
        <w:spacing w:after="160" w:before="0"/>
      </w:pPr>
    </w:p>
    <w:p>
      <w:pPr>
        <w:spacing w:after="100"/>
      </w:pPr>
      <w:r>
        <w:rPr>
          <w:b/>
          <w:bCs/>
        </w:rPr>
        <w:t xml:space="preserve">Objetivo a 12 meses (ponderado):</w:t>
      </w:r>
      <w:r>
        <w:t xml:space="preserve"> 69,86 EUR · rentabilidad +9,3 % (base +7,2 %) · señal Mantener.</w:t>
      </w:r>
    </w:p>
    <w:p>
      <w:pPr>
        <w:spacing w:after="100"/>
      </w:pPr>
      <w:r>
        <w:t xml:space="preserve">Para comparar, con la regla v2 (historia al cierre, mismo precio): 10,9x / 11,7x / 15,2x, 9,3 % Mantener; con el tope anterior del base (×1,3, 14-oct mediodía): 18,1 % Comprar; con la v3 sin el selector (tope ×1,1): 18,1 % Comprar.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recurrente del FY2028e (5,85 EUR) está un 3 % por encima del BPA NIIF del consenso (5,68 EUR), que lleva unos 0,2-0,3 EUR de partidas no recurrentes al año (4,77 frente a 5,85 en el FY26): en la misma base estamos en línea [1, 41]. En ventas y EBITDA quedamos un 1-2 % por debajo del consenso en el FY2027e-FY2028e porque recogemos todo el perímetro de Imperial Blue. Nuestro precio base a 12 meses (68,44 EUR) está un 14,9 % por debajo del objetivo medio de 80,45 EUR: la diferencia es de múltiplo (11,7 veces frente a unas 14 veces implícitas), no de beneficio.</w:t>
      </w:r>
    </w:p>
    <w:p>
      <w:pPr>
        <w:keepNext/>
        <w:spacing w:after="100"/>
      </w:pPr>
      <w:r>
        <w:rPr>
          <w:b/>
          <w:bCs/>
        </w:rPr>
        <w:t xml:space="preserve">Del valor intrínseco al objetivo a 12 meses.</w:t>
      </w:r>
    </w:p>
    <w:p>
      <w:pPr>
        <w:spacing w:after="100"/>
      </w:pPr>
      <w:r>
        <w:t xml:space="preserve">El objetivo a 12 meses (69,86 EUR ponderado; 68,44 EUR el base) queda un 18 % por debajo del valor intrínseco (85,16 EUR). La regla v2, la que elige el selector con solo tres años de historia limpia, pone el base en la mediana al cierre (11,7 veces) y no supone ninguna recuperación del múltiplo; la v3 (base 13,3 veces) daría 75,89 EUR y un 18,1 %. Para cerrar la distancia hace falta que el mercado vuelva a pagar 14-15 veces, y eso solo pasará con dos o tres trimestres de ventas orgánicas positivas en EE. UU.: el primer dato es el 1S27 (18-feb-2027).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Aprueba el saldo del dividendo del FY26 (2,35 EUR) con opción de cobro en acciones al 90 % del precio medio; voto de la remuneración del consejero delegado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25-nov-2026 / 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y pago del saldo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2,35 EUR por acción (3,4 % del precio); un cobro en acciones alto diluye un 1 %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efecto perímetro de Imperial Blue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2S27 las ventas publicadas dejan de restar unos 130 M por trimestre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Navidad y Año Nuevo chino: prueba de si EE. UU. y China tocan fondo y primer dato de margen del plan de eficiencia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la vuelta a ventas orgánicas positivas que necesita el múltiplo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la filial india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de mercado al negocio que más crece (+19 % en el 1T27) y podría reducir deuda; depende del consejo [4,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UE-EE. UU. y acuerdo con China sobre el coñac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arancel menor libera margen (−45 pb en el FY26); su ruptura lo resta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alcohol (jóvenes, salud, GLP-1)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sobre el DCF base (escenario bajista: 54,76 EUR frente a 91,36)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emergentes (India +19 % en el 1T27) que crecen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mundial de IWSR y consumo final de EE. UU. por debajo de −3 % otro año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no tocan fondo en el FY27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 sobre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de mayoristas avanzado; en China la demanda final volvió a crecer en el Medio Otoño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por debajo de −8 % o China por debajo de −15 %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corto plazo (Diageo cayó un 12,7 % el día de su recorte) [49]</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cobro en acciones y caja libre de 1.197 M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por debajo de 1.100 M o deuda neta/EBITDA por encima de 4x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3,8 veces el EBITDA con la deuda ajustada y rebaja del rating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+0,5 puntos de WACC ≈ −15 % (77,18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Baa1/BBB+, coste de la deuda del 3,4 % y 2.800 M de líneas sin disponer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 deuda neta/EBITDA sin bajar en el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la UE y el Reino Unido y fin del acuerdo con China sobre el coñac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 aranceles del 18 % de las ventas a precio de venta al público, que la empresa espera bajar al 14 %; tratado India-Reino Unido en vigor desde julio de 2026 [5,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del arancel del 15 % de la UE o del precio mínimo chino del coñac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 llenado de canal en India antes de la salida a bolsa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india es sólida (premiumización, comparativa fácil en Maharashtra)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por debajo del +8 %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grande que diluya o endeude (tras el intento con Brown-Forman)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cerradas sin acuerdo el 28-abr; objetivo de deuda neta/EBITDA por debajo de 3x en el FY29 [4,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Rumores de fusión o ampliación</w:t>
            </w:r>
          </w:p>
        </w:tc>
      </w:tr>
    </w:tbl>
    <w:p>
      <w:pPr>
        <w:spacing w:after="160" w:before="0"/>
      </w:pPr>
    </w:p>
    <w:p>
      <w:pPr>
        <w:pStyle w:val="Heading2"/>
      </w:pPr>
      <w:r>
        <w:t xml:space="preserve">Pre-mortem</w:t>
      </w:r>
    </w:p>
    <w:p>
      <w:pPr>
        <w:spacing w:after="100"/>
      </w:pPr>
      <w:r>
        <w:t xml:space="preserve">Octubre de 2029: la acción ha perdido un 40 %, hasta unos 41 EUR. La caída del consumo en EE. UU. no era desestocaje sino estructural: los menores de 35 años beben menos, los GLP-1 se generalizan y las bebidas sin alcohol y el cannabis legal ganan ocasiones. Pernod encadena tres años de ventas orgánicas planas o negativas; el efecto de llenado de canal del 1T27 en India se revierte en cuanto sale a bolsa la filial y el resto del mundo no compensa. El plan de eficiencia de 1.000 M se reinvierte en publicidad para defender cuota y el margen operativo no pasa del 25 %. China rompe el acuerdo sobre el coñac tras una nueva disputa comercial con la UE y EE. UU. sube el arancel a los espirituosos europeos. La caja libre baja de 1.000 M, la deuda neta pasa de 4 veces el EBITDA, Moody’s rebaja a Baa2 y el consejo recorta el dividendo a la mitad, como Diageo. El PER se queda en 8-9 veces un BPA de 4,5 EUR. Indicadores que lo habrían anticipado: ventas orgánicas de EE. UU. por debajo de −8 % en el 1S27, caja libre por debajo del dividendo dos años seguidos y la deuda neta/EBITDA sin bajar de 3,5x en el FY27.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−2 % (pequeño frente al escenario bajista)</w:t>
      </w:r>
    </w:p>
    <w:p>
      <w:pPr>
        <w:spacing w:after="100"/>
      </w:pPr>
      <w:r>
        <w:t xml:space="preserve">La IA no sustituye una botella de Jameson ni una existencia envejecida de doce años: las ventas no son sustituibles por la IA. Toca los costes y la publicidad. Pernod usa herramientas propias de IA para asignar el presupuesto de publicidad y promoción (el 16 % de las ventas) y para la gestión de precios y promociones, y la «transformación digital» forma parte del plan de eficiencia de 1.000 M entre el FY26 y el FY28 [2, 4]. La amenaza es indirecta: los distribuidores y las plataformas de comercio electrónico con IA comparan precios y ganan poder de negociación, y la publicidad dirigida abarata la entrada de marcas pequeñas. Señal: que el margen operativo no suba con el plan de eficiencia o que la publicidad sobre ventas tenga que pasar del 16 % para defender la cuota.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2025-06</w:t>
            </w:r>
          </w:p>
        </w:tc>
      </w:tr>
    </w:tbl>
    <w:p>
      <w:pPr>
        <w:spacing w:after="160" w:before="0"/>
      </w:pPr>
    </w:p>
    <w:p>
      <w:pPr>
        <w:pStyle w:val="Heading2"/>
      </w:pPr>
      <w:r>
        <w:t xml:space="preserve">Asuntos materiales</w:t>
      </w:r>
    </w:p>
    <w:p>
      <w:pPr>
        <w:spacing w:after="100"/>
      </w:pPr>
      <w:r>
        <w:t xml:space="preserve">Los asuntos materiales son el consumo responsable (regulación de publicidad, impuestos especiales e información sanitaria: en EE. UU. se debatió en 2025 el aviso de cáncer en las etiquetas), el agua y la agricultura (cereal, uva, agave) y el envasado de vidrio, que concentra buena parte de las emisiones del alcance 3 [29, 32].</w:t>
      </w:r>
    </w:p>
    <w:p>
      <w:pPr>
        <w:pStyle w:val="Heading2"/>
      </w:pPr>
      <w:r>
        <w:t xml:space="preserve">Controversias</w:t>
      </w:r>
    </w:p>
    <w:p>
      <w:pPr>
        <w:spacing w:after="100"/>
      </w:pPr>
      <w:r>
        <w:t xml:space="preserve">No hemos encontrado sanciones relevantes en tres años en las fuentes accesibles. El principal litigio comercial es la investigación antidumping china sobre el brandy europeo, que impuso depósitos y luego un precio mínimo de importación del coñac [25].</w:t>
      </w:r>
    </w:p>
    <w:p>
      <w:pPr>
        <w:pStyle w:val="Heading1"/>
      </w:pPr>
      <w:r>
        <w:t xml:space="preserve">27. Preguntas abiertas para la dirección y la due diligence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−10 % del 1T27 es desestocaje y cuánto consumo, y en qué trimestre se igualan envíos y consumo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de uno estructural; mueve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+19 % del 1T27 es llenado de canal por la salida a bolsa y qué porcentaje de la filial se colocaría?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sostiene la guía de ventas estables; un efecto puntual se revierte.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caja libre y apalancamiento se mantiene el dividendo de 4,70 EUR, y cuánto del saldo se espera en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(1.226 M) consume toda la caja libre (1.197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eficiencia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 M llega al margen y cuánto cuesta en caja la reestructuración?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EBITDA sube del 30,2 % al 31,5 %.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devuelve en el FY27 la caída del impacto de aranceles y las devoluciones de EE. UU., y qué pasa si China revisa el acuerdo del coñac?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Fueron −45 pb en el FY26.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nivel objetivo de existencias envejecidas sobre ventas y cuándo deja de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mayor partida de reinversión y decide la conversión en caja.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vende y rebaja a mantener: la caja libre no cubre el dividendo y la deuda es alta para el beneficio actual; volvería con una valoración menor o tras un recorte del dividendo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y lectores,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FY26, «las cifras solo se arreglan con el dividendo»; prevé un dividendo menor en 2026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alcistas por marcas premium y emergentes conviven con una cadena de rebajas de objetivos de los analistas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y BFM Bourse (comentario de mercado,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«no encuentra suelo» desde los resultados de agosto; algunos lectores señalan el RSI cerca de sobreventa como posible rebote técnico [55,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Culture Financière (artículo y comentarios,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1T27, el rebote se lee como el final del desestocaje; los lectores discuten si el dividendo de 4,70 EUR aguanta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Idéal Investisseur (comentario técnico)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Rotura de resistencias de 64,50 y 65,52 EUR antes de las ventas; se habla de rebote técnico desde mínimos plurianuales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fondo: la caja libre del FY26 (1.197 M) no cubre los 1.226 M pagados en dividendos y el saldo se ofrece en acciones [1, 2]. La empresa mantiene 4,70 EUR y espera una conversión del 90 %; nuestro base lo mantiene, y el recorte está en los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cuándo toca fondo la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1T27 lo confirma solo en parte: EE. UU. −10 % y China −25 % por ajuste de inventarios, pero la demanda final de Martell volvió a crecer en el Medio Otoño y el grupo bate el consenso [4,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de 12,2 veces está cerca del mínimo de la serie y la rentabilidad por dividendo es del 6,9 % [40]; el DCF inverso dice que el precio descuenta ventas cayendo un 5,8 % al año durante siete años, algo más exigente que lo visto entre el FY2023 y el FY2026 [56].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Moderación del consumo y GLP-1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ya en el escenario bajista; IWSR prevé volumen mundial a la baja antes de recuperarse [32].</w:t>
            </w:r>
          </w:p>
        </w:tc>
      </w:tr>
    </w:tbl>
    <w:p>
      <w:pPr>
        <w:spacing w:after="160" w:before="0"/>
      </w:pPr>
    </w:p>
    <w:p>
      <w:pPr>
        <w:spacing w:after="100"/>
      </w:pPr>
      <w:r>
        <w:t xml:space="preserve">El sentimiento pasa de negativo a dividido tras el 1T27: los foros franceses leen el rebote como el final del desestocaje, mientras los de Alemania y EE. UU. siguen centrados en el dividendo [56, 59]. No hay euforia ni capitulación: el debate es si el dividendo aguanta, no si la empresa sobrevive. Coincide con los analistas, que tienen un objetivo medio de 80,45 EUR pero lo han recortado durante un año [42]. El sentimiento no aporta un riesgo que el informe no recoja; recuerda que el rebote de octubre es de sector y que el dato que tiene que confirmarlo es el del 1S27.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59 (35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79,5 % frente a 77,2 %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siete comparables y crecimientos de −0,2 % a 6,8 %, el crecimiento no explica los múltiplos (R² 0,09): pesan más el apalancamiento y la mezcla de cerveza frente a destilados.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15, 16, 21, 34, 44,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4.8 de deuda del URD FY26 (no publica la vida media); 2) presentación FY26, diapositiva de vencimientos (imagen sin cifras); 3) calcularla con la lista de bonos de la diapositiva 66: posible, pero el saldo en USD no cuadra con el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Pernod (no accesible); 2) IWSR y DISCUS (solo volúmenes y EE. UU.); 3) cociente de ventas frente a un mercado mundial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las juntas de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juntas de la web (solo el acta de 2025 enlazada); 2) URD FY26 (no repite los porcentajes); 3) búsqueda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voto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media «outperform» y 20 analistas); 2) página de consenso de la empresa (solo el 1T27); 3) prensa (Jefferies comprar, Deutsche Bank conservar, Berenberg comprar)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(no hay posiciones por encima del 0,5 % publicadas para Pernod); 2) agregadores;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EBITDA de las transacciones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las partes (solo Asahi-EABL publica el EBITDA); 2) informes anuales de Diageo y Campari;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una con múltiplo de EBITDA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Registration Document 2025-2026 (incluye el informe financiero anual y las cuentas consolidadas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https://www.pernod-ricard.com/system/files/2026-09/PERNOD_RICARD_DEU_2025-2026_EN.pdf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Sales and Results (presentación, 27-ago-2026)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https://www.pernod-ricard.com/system/files/2026-08/Pernod%20Ricard%20FY26%20Financial%20Communication.pdf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FY26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https://www.pernod-ricard.com/system/files/news/downloads/2026-08/2026%2008%2027%20Full%20Year%2026.pdf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FY27 Sales (nota de prensa,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https://www.pernod-ricard.com/system/files/news/downloads/2026-10/2026%2010%2015%20Pernod%20Ricard%20Q1%20FY27%20Release.pdf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FY26 Sales and Results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https://www.pernod-ricard.com/sites/default/files/inline-files/Transcript%20Pernod%20Ricard%20F26%20Sales%20and%20Results%20Call.pdf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Sales and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https://www.pernod-ricard.com/sites/default/files/2026-02/Pernod%20Ricard%20FY26%20H1%20Financial%20Communication.pdf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results call transcript (19-feb-2026)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https://www.pernod-ricard.com/system/files/2026-10/RI-EP_Transcript_2026-02-19.pdf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and Results FY25 (nota de prensa con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https://www.pernod-ricard.com/sites/default/files/2025-08/Sales%20and%20Results%20FY25.pdf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https://www.pernod-ricard.com/sites/default/files/inline-files/PERNOD-RICARD_DEU_23-24_VUK_MEL_2409_1.pdf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https://www.pernod-ricard.com/sites/default/files/2022-09/PER_URD2021_EN_2022_09_27_MEL_3.pdf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ESEF de Pernod Ricard FY2021-FY2025 (xBRL-JSON, LEI 52990097YFPX9J0H5D87)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International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https://filings.xbrl.org/52990097YFPX9J0H5D87/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as of October 9th 2026 (ventas orgánicas del 1T FY27: −1,7 %, rango −3,8 % / −0,2 %)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https://www.pernod-ricard.com/en/consensus-october-9th-2026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half year ended 31 December 2025 (incluye «Tariff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ratings &amp; reporting (MSCI AA, Sustainalytics 18,7, CDP A en clima y A− en agua, ISS ESG C+ Prime)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https://www.pernod-ricard.com/en/sustainability-responsibility/esg-ratings-reporting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27 octobre 2025: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https://www.pernod-ricard.com/sites/default/files/2025-10/Re%CC%81sultat%20Des%20Vote_V2.pdf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(BDIF): Pernod Ricard, octubre de 2025 a octubre de 2026 (26 declaraciones)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https://bdif.amf-france.org/back/api/v1/informations?RechercheTexte=PERNOD%20RICARD&amp;TypesInformation=DD&amp;From=0&amp;Size=40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total de droits de vote et d’actions au 30.09.2026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https://www.pernod-ricard.com/system/files/2026-10/DROITSVOTE_2026%2009%2030.pdf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confirms discussions with Brown-Forman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https://www.pernod-ricard.com/system/files/news/downloads/2026-03/2026%2003%2026%20Pernod%20ricard%20and%20Brown%20Forman.pdf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and Brown-Forman fail to reach merger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Spirits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https://www.thespiritsbusiness.com/2026/04/pernod-and-brown-forman-fail-to-reach-merger-agreement/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RI.PA, CAC 40 (^FCHI) y STOXX Europe 600 Food &amp; Beverage (EXH3.DE), hasta el 16-oct-2026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Financial Data, Forecasts, Estimates (ventas, EBITDA, EBIT, beneficio, BPA, DPA, deuda neta FY25-FY29)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consensus (20 analistas, «outperform», objetivo medio 80,45 EUR, mínimo 60, máximo 122)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BBSIS R10XX): 3,48 %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(16-oct-2026: 1,1253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vers une huitième hausse consécutive (Deutsche Bank conservar 63 EUR; Jefferies comprar 90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https://www.tradingsat.com/pernod-ricard-FR0000120693/actualites/pernod-ricard-pernod-ricard-vers-une-huitieme-hausse-consecutive-1171888.html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sales beat expectations at Pernod Ricard (Sharecast)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https://www.hl.co.uk/shares/stock-market-news/company--news/q1-sales-beat-expectations-at-pernod-ricard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share breaks through 64.50 EUR resistance ahead of October 15 sales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https://www.ideal-investisseur.fr/en/stock-news/pernod-ricard-share-breaks-through-64-50-eur-resistance-ahead-of-october-15-sales-figures/26992.html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new Diageo strategy involves massive dividend cut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https://www.ii.co.uk/analysis-commentary/ii-view-new-diageo-strategy-involves-massive-dividend-cut-ii538260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en EUR), tomados de los análisis de Heineken y Diageo del repositorio y llevados al cierre del 16-oct con la variación del precio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https://www.marketscreener.com/quote/stock/DIAGEO-PLC-4000237/finances/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de bebidas (Asahi-EABL, Campari-Courvoisier, Caffo-Cinzano, Diageo-Don Papa, Diageo-Aviation), recogidas en el análisis de Diageo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prensa de las partes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https://www.diageo.com/en/news-and-media/press-releases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 sold Pernod Ricard and downgrade it to a 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https://seekingalpha.com/article/4830823-why-i-sold-pernod-ricard-and-downgrade-it-to-a-hold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diese Zahlen lassen sich nur mit der Dividende schöntrinken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https://stock3.com/news/pernod-ricard-diese-zahlen-lassen-sich-nur-mit-der-dividende-schoentrinken-17259006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comunidad y narrativas de inversores (actualizaciones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https://simplywall.st/community/narratives/fr/food-beverage-tobacco/epa-ri/pernod-ricard-shares/50lbg8us-ri-premium-positioning-and-global-brands-will-drive-resilient-long-term-expansion/updates/15-the-analyst-price-target-for-pernod-ricard-has-been-reduced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stock breaks through 60 EUR and signs a multi-year low (comentario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https://www.ideal-investisseur.fr/en/actions-b/pernod-ricard-stock-breaks-through-60-eur-and-signs-a-multi-year-low/24806.html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32 % last year: is Pernod Ricard ready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https://www.tikr.com/blog/down-32-last-year-is-pernod-ricard-ready-for-2026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sanctionné en Bourse après l’abandon de son projet de fusion avec Brown-Forman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https://www.tradingsat.com/pernod-ricard-FR0000120693/actualites/pernod-ricard-pernod-ricard-sanctionne-en-bourse-apres-l-abandon-de-son-projet-de-fusion-avec-brown-forman-1161715.html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jour, 1 action: Pernod Ricard rebondit après des ventes trimestrielles qui rassurent le marché (artículo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Culture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https://culture-financiere.com/?p=6659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share 65.52 EUR resistance breaks ahead of quarterly sales (comentario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https://www.ideal-investisseur.fr/en/stock-news/pernod-ricard-share-65-52-eur-resistance-breaks-ahead-of-quarterly-sales/27085.html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90,0 %</w:t>
      </w:r>
      <w:r>
        <w:t xml:space="preserve"> · Secciones con menos del 60 % de campos cubiertos: </w:t>
      </w:r>
      <w:r>
        <w:rPr>
          <w:b/>
          <w:bCs/>
        </w:rPr>
        <w:t xml:space="preserve">ninguna</w:t>
      </w:r>
      <w:r>
        <w:t xml:space="preserve"> · Generado el 18 oct 2026.</w:t>
      </w:r>
    </w:p>
    <w:p>
      <w:pPr>
        <w:pStyle w:val="Nota"/>
        <w:spacing w:after="100"/>
      </w:pPr>
      <w:r>
        <w:t xml:space="preserve">Cuenta en base recurrente (resultado operativo recurrente y beneficio neto recurrente atribuido, diluido), la que usa la empresa y la que sigue el mercado; la cuenta NIIF completa sale del XBRL ESEF de los informes FY2021-FY2025 y del documento de registro universal del FY2026 [1, 11]. Precio: cierre del viernes 16-oct-2026 en Euronext París (68,22 EUR) [40]. El 1T del FY27 solo publica ventas: no hay EBITDA ni BPA trimestrales. El consenso gratuito (MarketScreener) da el BPA en NIIF, no el recurrente, y no publica el reparto de recomendaciones [41, 42].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Pernod Ricard SA (RI)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68,22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(57,86 – 90,34)</c:v>
                </c:pt>
                <c:pt idx="1">
                  <c:v>Precio objetivo de los analistas (60,00 – 122,00)</c:v>
                </c:pt>
                <c:pt idx="2">
                  <c:v>Comparables: EV/EBITDA NTM (51,75 – 88,33)</c:v>
                </c:pt>
                <c:pt idx="3">
                  <c:v>Comparables: PER NTM (82,02 – 99,73)</c:v>
                </c:pt>
                <c:pt idx="4">
                  <c:v>Transacciones precedentes (EV/ventas) (61,11 – 135,10)</c:v>
                </c:pt>
                <c:pt idx="5">
                  <c:v>DCF (WACC y g ± 0,5) (68,30 – 127,18)</c:v>
                </c:pt>
                <c:pt idx="6">
                  <c:v>Escenarios (bajista – alcista) (54,76 – 101,85)</c:v>
                </c:pt>
                <c:pt idx="7">
                  <c:v>DCF con la prima implícita del mercado (4,2 %)</c:v>
                </c:pt>
                <c:pt idx="8">
                  <c:v>Precio actual (68,22)</c:v>
                </c:pt>
              </c:strCache>
            </c:strRef>
          </c:cat>
          <c:val>
            <c:numRef>
              <c:f>Hoja1!$B$2:$B$10</c:f>
              <c:numCache>
                <c:formatCode>#,##0</c:formatCode>
                <c:ptCount val="9"/>
                <c:pt idx="0">
                  <c:v>57.86</c:v>
                </c:pt>
                <c:pt idx="1">
                  <c:v>60</c:v>
                </c:pt>
                <c:pt idx="2">
                  <c:v>51.75</c:v>
                </c:pt>
                <c:pt idx="3">
                  <c:v>82.02</c:v>
                </c:pt>
                <c:pt idx="4">
                  <c:v>61.11</c:v>
                </c:pt>
                <c:pt idx="5">
                  <c:v>68.3</c:v>
                </c:pt>
                <c:pt idx="6">
                  <c:v>54.76</c:v>
                </c:pt>
                <c:pt idx="7">
                  <c:v>98.83</c:v>
                </c:pt>
                <c:pt idx="8">
                  <c:v>67.88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(57,86 – 90,34)</c:v>
                </c:pt>
                <c:pt idx="1">
                  <c:v>Precio objetivo de los analistas (60,00 – 122,00)</c:v>
                </c:pt>
                <c:pt idx="2">
                  <c:v>Comparables: EV/EBITDA NTM (51,75 – 88,33)</c:v>
                </c:pt>
                <c:pt idx="3">
                  <c:v>Comparables: PER NTM (82,02 – 99,73)</c:v>
                </c:pt>
                <c:pt idx="4">
                  <c:v>Transacciones precedentes (EV/ventas) (61,11 – 135,10)</c:v>
                </c:pt>
                <c:pt idx="5">
                  <c:v>DCF (WACC y g ± 0,5) (68,30 – 127,18)</c:v>
                </c:pt>
                <c:pt idx="6">
                  <c:v>Escenarios (bajista – alcista) (54,76 – 101,85)</c:v>
                </c:pt>
                <c:pt idx="7">
                  <c:v>DCF con la prima implícita del mercado (4,2 %)</c:v>
                </c:pt>
                <c:pt idx="8">
                  <c:v>Precio actual (68,22)</c:v>
                </c:pt>
              </c:strCache>
            </c:strRef>
          </c:cat>
          <c:val>
            <c:numRef>
              <c:f>Hoja1!$C$2:$C$10</c:f>
              <c:numCache>
                <c:formatCode>#,##0</c:formatCode>
                <c:ptCount val="9"/>
                <c:pt idx="0">
                  <c:v>32.480000000000004</c:v>
                </c:pt>
                <c:pt idx="1">
                  <c:v>62</c:v>
                </c:pt>
                <c:pt idx="2">
                  <c:v>36.58</c:v>
                </c:pt>
                <c:pt idx="3">
                  <c:v>17.710000000000008</c:v>
                </c:pt>
                <c:pt idx="4">
                  <c:v>73.99</c:v>
                </c:pt>
                <c:pt idx="5">
                  <c:v>58.88000000000001</c:v>
                </c:pt>
                <c:pt idx="6">
                  <c:v>47.089999999999996</c:v>
                </c:pt>
                <c:pt idx="7">
                  <c:v>45.22000000000001</c:v>
                </c:pt>
                <c:pt idx="8">
                  <c:v>0.6800000000000068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2627</c:v>
                </c:pt>
                <c:pt idx="1">
                  <c:v>3133</c:v>
                </c:pt>
                <c:pt idx="2">
                  <c:v>3481</c:v>
                </c:pt>
                <c:pt idx="3">
                  <c:v>3340</c:v>
                </c:pt>
                <c:pt idx="4">
                  <c:v>3154</c:v>
                </c:pt>
                <c:pt idx="5">
                  <c:v>2584</c:v>
                </c:pt>
              </c:numCache>
            </c:numRef>
          </c:val>
        </c:ser>
        <c:ser>
          <c:idx val="1"/>
          <c:order val="1"/>
          <c:tx>
            <c:strRef>
              <c:f>Hoja1!$C$1</c:f>
              <c:strCache>
                <c:ptCount val="1"/>
                <c:pt idx="0">
                  <c:v>Asia y resto del mundo</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3640</c:v>
                </c:pt>
                <c:pt idx="1">
                  <c:v>4438</c:v>
                </c:pt>
                <c:pt idx="2">
                  <c:v>5191</c:v>
                </c:pt>
                <c:pt idx="3">
                  <c:v>4973</c:v>
                </c:pt>
                <c:pt idx="4">
                  <c:v>4635</c:v>
                </c:pt>
                <c:pt idx="5">
                  <c:v>3920</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2557</c:v>
                </c:pt>
                <c:pt idx="1">
                  <c:v>3130</c:v>
                </c:pt>
                <c:pt idx="2">
                  <c:v>3465</c:v>
                </c:pt>
                <c:pt idx="3">
                  <c:v>3285</c:v>
                </c:pt>
                <c:pt idx="4">
                  <c:v>3170</c:v>
                </c:pt>
                <c:pt idx="5">
                  <c:v>2900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y resto del mundo</c:v>
                </c:pt>
                <c:pt idx="2">
                  <c:v>Europa</c:v>
                </c:pt>
              </c:strCache>
            </c:strRef>
          </c:cat>
          <c:val>
            <c:numRef>
              <c:f>Hoja1!$B$2:$B$4</c:f>
              <c:numCache>
                <c:formatCode>General</c:formatCode>
                <c:ptCount val="3"/>
                <c:pt idx="0">
                  <c:v>27.5</c:v>
                </c:pt>
                <c:pt idx="1">
                  <c:v>41.7</c:v>
                </c:pt>
                <c:pt idx="2">
                  <c:v>30.8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EE. UU.</c:v>
                </c:pt>
                <c:pt idx="1">
                  <c:v>Resto de América</c:v>
                </c:pt>
                <c:pt idx="2">
                  <c:v>India</c:v>
                </c:pt>
                <c:pt idx="3">
                  <c:v>China</c:v>
                </c:pt>
                <c:pt idx="4">
                  <c:v>Resto de Asia, África y Oriente Medio</c:v>
                </c:pt>
                <c:pt idx="5">
                  <c:v>Europa</c:v>
                </c:pt>
              </c:strCache>
            </c:strRef>
          </c:cat>
          <c:val>
            <c:numRef>
              <c:f>Hoja1!$B$2:$B$7</c:f>
              <c:numCache>
                <c:formatCode>0"%"</c:formatCode>
                <c:ptCount val="6"/>
                <c:pt idx="0">
                  <c:v>17</c:v>
                </c:pt>
                <c:pt idx="1">
                  <c:v>10.5</c:v>
                </c:pt>
                <c:pt idx="2">
                  <c:v>13</c:v>
                </c:pt>
                <c:pt idx="3">
                  <c:v>7</c:v>
                </c:pt>
                <c:pt idx="4">
                  <c:v>21.7</c:v>
                </c:pt>
                <c:pt idx="5">
                  <c:v>30.8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Diageo</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25.8</c:v>
                </c:pt>
                <c:pt idx="1">
                  <c:v>28.9</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8824</c:v>
                </c:pt>
                <c:pt idx="1">
                  <c:v>10701</c:v>
                </c:pt>
                <c:pt idx="2">
                  <c:v>12137</c:v>
                </c:pt>
                <c:pt idx="3">
                  <c:v>11598</c:v>
                </c:pt>
                <c:pt idx="4">
                  <c:v>10959</c:v>
                </c:pt>
                <c:pt idx="5">
                  <c:v>9404</c:v>
                </c:pt>
                <c:pt idx="6">
                  <c:v>9122</c:v>
                </c:pt>
                <c:pt idx="7">
                  <c:v>9396</c:v>
                </c:pt>
                <c:pt idx="8">
                  <c:v>9724</c:v>
                </c:pt>
                <c:pt idx="9">
                  <c:v>10016</c:v>
                </c:pt>
                <c:pt idx="10">
                  <c:v>10317</c:v>
                </c:pt>
                <c:pt idx="11">
                  <c:v>10575</c:v>
                </c:pt>
                <c:pt idx="12">
                  <c:v>10839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2790</c:v>
                </c:pt>
                <c:pt idx="1">
                  <c:v>3405</c:v>
                </c:pt>
                <c:pt idx="2">
                  <c:v>3765</c:v>
                </c:pt>
                <c:pt idx="3">
                  <c:v>3557</c:v>
                </c:pt>
                <c:pt idx="4">
                  <c:v>3373</c:v>
                </c:pt>
                <c:pt idx="5">
                  <c:v>2836</c:v>
                </c:pt>
                <c:pt idx="6">
                  <c:v>2755</c:v>
                </c:pt>
                <c:pt idx="7">
                  <c:v>2875</c:v>
                </c:pt>
                <c:pt idx="8">
                  <c:v>3015</c:v>
                </c:pt>
                <c:pt idx="9">
                  <c:v>3135</c:v>
                </c:pt>
                <c:pt idx="10">
                  <c:v>3250</c:v>
                </c:pt>
                <c:pt idx="11">
                  <c:v>3331</c:v>
                </c:pt>
                <c:pt idx="12">
                  <c:v>3414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60</c:v>
                </c:pt>
                <c:pt idx="1">
                  <c:v>60.5</c:v>
                </c:pt>
                <c:pt idx="2">
                  <c:v>59.7</c:v>
                </c:pt>
                <c:pt idx="3">
                  <c:v>60.1</c:v>
                </c:pt>
                <c:pt idx="4">
                  <c:v>59.5</c:v>
                </c:pt>
                <c:pt idx="5">
                  <c:v>58.4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31.6</c:v>
                </c:pt>
                <c:pt idx="1">
                  <c:v>31.8</c:v>
                </c:pt>
                <c:pt idx="2">
                  <c:v>31</c:v>
                </c:pt>
                <c:pt idx="3">
                  <c:v>30.7</c:v>
                </c:pt>
                <c:pt idx="4">
                  <c:v>30.8</c:v>
                </c:pt>
                <c:pt idx="5">
                  <c:v>30.2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27.5</c:v>
                </c:pt>
                <c:pt idx="1">
                  <c:v>28.3</c:v>
                </c:pt>
                <c:pt idx="2">
                  <c:v>27.6</c:v>
                </c:pt>
                <c:pt idx="3">
                  <c:v>26.9</c:v>
                </c:pt>
                <c:pt idx="4">
                  <c:v>26.9</c:v>
                </c:pt>
                <c:pt idx="5">
                  <c:v>25.8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18.3</c:v>
                </c:pt>
                <c:pt idx="1">
                  <c:v>19.8</c:v>
                </c:pt>
                <c:pt idx="2">
                  <c:v>19.3</c:v>
                </c:pt>
                <c:pt idx="3">
                  <c:v>17.2</c:v>
                </c:pt>
                <c:pt idx="4">
                  <c:v>16.7</c:v>
                </c:pt>
                <c:pt idx="5">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3T25</c:v>
                </c:pt>
                <c:pt idx="1">
                  <c:v>4T25</c:v>
                </c:pt>
                <c:pt idx="2">
                  <c:v>1T26</c:v>
                </c:pt>
                <c:pt idx="3">
                  <c:v>2T26</c:v>
                </c:pt>
                <c:pt idx="4">
                  <c:v>3T26</c:v>
                </c:pt>
                <c:pt idx="5">
                  <c:v>4T26</c:v>
                </c:pt>
                <c:pt idx="6">
                  <c:v>1T27</c:v>
                </c:pt>
              </c:strCache>
            </c:strRef>
          </c:cat>
          <c:val>
            <c:numRef>
              <c:f>Hoja1!$B$2:$B$8</c:f>
              <c:numCache>
                <c:formatCode>0.0"%"</c:formatCode>
                <c:ptCount val="7"/>
                <c:pt idx="0">
                  <c:v>-2.9</c:v>
                </c:pt>
                <c:pt idx="1">
                  <c:v>-5.8</c:v>
                </c:pt>
                <c:pt idx="2">
                  <c:v>-14.3</c:v>
                </c:pt>
                <c:pt idx="3">
                  <c:v>-15.4</c:v>
                </c:pt>
                <c:pt idx="4">
                  <c:v>-14.6</c:v>
                </c:pt>
                <c:pt idx="5">
                  <c:v>-12</c:v>
                </c:pt>
                <c:pt idx="6">
                  <c:v>-6.3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3T25</c:v>
                </c:pt>
                <c:pt idx="1">
                  <c:v>4T25</c:v>
                </c:pt>
                <c:pt idx="2">
                  <c:v>1T26</c:v>
                </c:pt>
                <c:pt idx="3">
                  <c:v>2T26</c:v>
                </c:pt>
                <c:pt idx="4">
                  <c:v>3T26</c:v>
                </c:pt>
                <c:pt idx="5">
                  <c:v>4T26</c:v>
                </c:pt>
                <c:pt idx="6">
                  <c:v>1T27</c:v>
                </c:pt>
              </c:strCache>
            </c:strRef>
          </c:cat>
          <c:val>
            <c:numRef>
              <c:f>Hoja1!$C$2:$C$8</c:f>
              <c:numCache>
                <c:formatCode>0.0"%"</c:formatCode>
                <c:ptCount val="7"/>
                <c:pt idx="0">
                  <c:v>-3.2</c:v>
                </c:pt>
                <c:pt idx="1">
                  <c:v>-0.3</c:v>
                </c:pt>
                <c:pt idx="2">
                  <c:v>-7.3</c:v>
                </c:pt>
                <c:pt idx="3">
                  <c:v>-4.3</c:v>
                </c:pt>
                <c:pt idx="4">
                  <c:v>0</c:v>
                </c:pt>
                <c:pt idx="5">
                  <c:v>-2.3</c:v>
                </c:pt>
                <c:pt idx="6">
                  <c:v>-0.9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47</c:v>
                </c:pt>
                <c:pt idx="1">
                  <c:v>47</c:v>
                </c:pt>
                <c:pt idx="2">
                  <c:v>55</c:v>
                </c:pt>
                <c:pt idx="3">
                  <c:v>50</c:v>
                </c:pt>
                <c:pt idx="4">
                  <c:v>49</c:v>
                </c:pt>
                <c:pt idx="5">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678</c:v>
                </c:pt>
                <c:pt idx="1">
                  <c:v>636</c:v>
                </c:pt>
                <c:pt idx="2">
                  <c:v>605</c:v>
                </c:pt>
                <c:pt idx="3">
                  <c:v>652</c:v>
                </c:pt>
                <c:pt idx="4">
                  <c:v>692</c:v>
                </c:pt>
                <c:pt idx="5">
                  <c:v>791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242</c:v>
                </c:pt>
                <c:pt idx="1">
                  <c:v>261</c:v>
                </c:pt>
                <c:pt idx="2">
                  <c:v>258</c:v>
                </c:pt>
                <c:pt idx="3">
                  <c:v>231</c:v>
                </c:pt>
                <c:pt idx="4">
                  <c:v>223</c:v>
                </c:pt>
                <c:pt idx="5">
                  <c:v>241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1469</c:v>
                </c:pt>
                <c:pt idx="1">
                  <c:v>1673</c:v>
                </c:pt>
                <c:pt idx="2">
                  <c:v>1215</c:v>
                </c:pt>
                <c:pt idx="3">
                  <c:v>829</c:v>
                </c:pt>
                <c:pt idx="4">
                  <c:v>1008</c:v>
                </c:pt>
                <c:pt idx="5">
                  <c:v>1087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1612</c:v>
                </c:pt>
                <c:pt idx="1">
                  <c:v>2124</c:v>
                </c:pt>
                <c:pt idx="2">
                  <c:v>2340</c:v>
                </c:pt>
                <c:pt idx="3">
                  <c:v>2000</c:v>
                </c:pt>
                <c:pt idx="4">
                  <c:v>1829</c:v>
                </c:pt>
                <c:pt idx="5">
                  <c:v>1476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8.1</c:v>
                </c:pt>
                <c:pt idx="1">
                  <c:v>9.8</c:v>
                </c:pt>
                <c:pt idx="2">
                  <c:v>10</c:v>
                </c:pt>
                <c:pt idx="3">
                  <c:v>8.7</c:v>
                </c:pt>
                <c:pt idx="4">
                  <c:v>8.1</c:v>
                </c:pt>
                <c:pt idx="5">
                  <c:v>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6.6</c:v>
                </c:pt>
                <c:pt idx="1">
                  <c:v>6.6</c:v>
                </c:pt>
                <c:pt idx="2">
                  <c:v>6.6</c:v>
                </c:pt>
                <c:pt idx="3">
                  <c:v>6.6</c:v>
                </c:pt>
                <c:pt idx="4">
                  <c:v>6.6</c:v>
                </c:pt>
                <c:pt idx="5">
                  <c:v>6.6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10.9</c:v>
                </c:pt>
                <c:pt idx="1">
                  <c:v>13.8</c:v>
                </c:pt>
                <c:pt idx="2">
                  <c:v>14.8</c:v>
                </c:pt>
                <c:pt idx="3">
                  <c:v>12.7</c:v>
                </c:pt>
                <c:pt idx="4">
                  <c:v>11.8</c:v>
                </c:pt>
                <c:pt idx="5">
                  <c:v>9.6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2.69</c:v>
                </c:pt>
                <c:pt idx="1">
                  <c:v>2.54</c:v>
                </c:pt>
                <c:pt idx="2">
                  <c:v>2.73</c:v>
                </c:pt>
                <c:pt idx="3">
                  <c:v>3.07</c:v>
                </c:pt>
                <c:pt idx="4">
                  <c:v>3.19</c:v>
                </c:pt>
                <c:pt idx="5">
                  <c:v>3.76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c:v>
                </c:pt>
                <c:pt idx="1">
                  <c:v>FY2028</c:v>
                </c:pt>
                <c:pt idx="2">
                  <c:v>FY2029</c:v>
                </c:pt>
                <c:pt idx="3">
                  <c:v>FY2030</c:v>
                </c:pt>
                <c:pt idx="4">
                  <c:v>FY2031</c:v>
                </c:pt>
                <c:pt idx="5">
                  <c:v>FY2032</c:v>
                </c:pt>
                <c:pt idx="6">
                  <c:v>FY2033+</c:v>
                </c:pt>
              </c:strCache>
            </c:strRef>
          </c:cat>
          <c:val>
            <c:numRef>
              <c:f>Hoja1!$B$2:$B$8</c:f>
              <c:numCache>
                <c:formatCode>#,##0</c:formatCode>
                <c:ptCount val="7"/>
                <c:pt idx="0">
                  <c:v>490</c:v>
                </c:pt>
                <c:pt idx="1">
                  <c:v>1833</c:v>
                </c:pt>
                <c:pt idx="2">
                  <c:v>1350</c:v>
                </c:pt>
                <c:pt idx="3">
                  <c:v>1500</c:v>
                </c:pt>
                <c:pt idx="4">
                  <c:v>1500</c:v>
                </c:pt>
                <c:pt idx="5">
                  <c:v>1300</c:v>
                </c:pt>
                <c:pt idx="6">
                  <c:v>4249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131</c:v>
                </c:pt>
                <c:pt idx="1">
                  <c:v>735</c:v>
                </c:pt>
                <c:pt idx="2">
                  <c:v>1159</c:v>
                </c:pt>
                <c:pt idx="3">
                  <c:v>245</c:v>
                </c:pt>
                <c:pt idx="4">
                  <c:v>174</c:v>
                </c:pt>
                <c:pt idx="5">
                  <c:v>64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704</c:v>
                </c:pt>
                <c:pt idx="1">
                  <c:v>826</c:v>
                </c:pt>
                <c:pt idx="2">
                  <c:v>1072</c:v>
                </c:pt>
                <c:pt idx="3">
                  <c:v>1208</c:v>
                </c:pt>
                <c:pt idx="4">
                  <c:v>1201</c:v>
                </c:pt>
                <c:pt idx="5">
                  <c:v>1226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20</c:v>
                </c:pt>
                <c:pt idx="1">
                  <c:v>813</c:v>
                </c:pt>
                <c:pt idx="2">
                  <c:v>786</c:v>
                </c:pt>
                <c:pt idx="3">
                  <c:v>334</c:v>
                </c:pt>
                <c:pt idx="4">
                  <c:v>11</c:v>
                </c:pt>
                <c:pt idx="5">
                  <c:v>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Independiente</c:v>
                </c:pt>
                <c:pt idx="2">
                  <c:v>Dominical</c:v>
                </c:pt>
                <c:pt idx="3">
                  <c:v>Otro externo</c:v>
                </c:pt>
              </c:strCache>
            </c:strRef>
          </c:cat>
          <c:val>
            <c:numRef>
              <c:f>Hoja1!$B$2:$B$5</c:f>
              <c:numCache>
                <c:formatCode>0</c:formatCode>
                <c:ptCount val="4"/>
                <c:pt idx="0">
                  <c:v>1</c:v>
                </c:pt>
                <c:pt idx="1">
                  <c:v>8</c:v>
                </c:pt>
                <c:pt idx="2">
                  <c:v>4</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Concierto familiar Paul Ricard (Société Paul Ricard, Le Delos Invest I-III, Rigivar y miembros de la familia)</c:v>
                </c:pt>
                <c:pt idx="1">
                  <c:v>Groupe Bruxelles Lambert</c:v>
                </c:pt>
                <c:pt idx="2">
                  <c:v>Goldman Sachs Group (indirecta)</c:v>
                </c:pt>
                <c:pt idx="3">
                  <c:v>Massachusetts Financial Services</c:v>
                </c:pt>
                <c:pt idx="4">
                  <c:v>BlackRock</c:v>
                </c:pt>
                <c:pt idx="5">
                  <c:v>Capital Group</c:v>
                </c:pt>
                <c:pt idx="6">
                  <c:v>Empleados</c:v>
                </c:pt>
                <c:pt idx="7">
                  <c:v>Autocartera</c:v>
                </c:pt>
              </c:strCache>
            </c:strRef>
          </c:cat>
          <c:val>
            <c:numRef>
              <c:f>Hoja1!$B$2:$B$9</c:f>
              <c:numCache>
                <c:formatCode>0.0"%"</c:formatCode>
                <c:ptCount val="8"/>
                <c:pt idx="0">
                  <c:v>16.16</c:v>
                </c:pt>
                <c:pt idx="1">
                  <c:v>6.8</c:v>
                </c:pt>
                <c:pt idx="2">
                  <c:v>6.47</c:v>
                </c:pt>
                <c:pt idx="3">
                  <c:v>6.27</c:v>
                </c:pt>
                <c:pt idx="4">
                  <c:v>5.22</c:v>
                </c:pt>
                <c:pt idx="5">
                  <c:v>4.79</c:v>
                </c:pt>
                <c:pt idx="6">
                  <c:v>1.47</c:v>
                </c:pt>
                <c:pt idx="7">
                  <c:v>0.18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-2.9</c:v>
                </c:pt>
                <c:pt idx="1">
                  <c:v>28.2</c:v>
                </c:pt>
                <c:pt idx="2">
                  <c:v>8.6</c:v>
                </c:pt>
                <c:pt idx="3">
                  <c:v>11.2</c:v>
                </c:pt>
                <c:pt idx="4">
                  <c:v>-1.6</c:v>
                </c:pt>
                <c:pt idx="5">
                  <c:v>34.9</c:v>
                </c:pt>
                <c:pt idx="6">
                  <c:v>-13.1</c:v>
                </c:pt>
                <c:pt idx="7">
                  <c:v>-13.1</c:v>
                </c:pt>
                <c:pt idx="8">
                  <c:v>-31.8</c:v>
                </c:pt>
                <c:pt idx="9">
                  <c:v>-32.9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20.3</c:v>
                </c:pt>
                <c:pt idx="1">
                  <c:v>16</c:v>
                </c:pt>
                <c:pt idx="2">
                  <c:v>16.8</c:v>
                </c:pt>
                <c:pt idx="3">
                  <c:v>12.4</c:v>
                </c:pt>
                <c:pt idx="4">
                  <c:v>9.8</c:v>
                </c:pt>
                <c:pt idx="5">
                  <c:v>9.8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9.8</c:v>
                </c:pt>
                <c:pt idx="1">
                  <c:v>9.8</c:v>
                </c:pt>
                <c:pt idx="2">
                  <c:v>9.8</c:v>
                </c:pt>
                <c:pt idx="3">
                  <c:v>9.8</c:v>
                </c:pt>
                <c:pt idx="4">
                  <c:v>9.8</c:v>
                </c:pt>
                <c:pt idx="5">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AB InBev</c:v>
                </c:pt>
                <c:pt idx="2">
                  <c:v>Constellation Brands</c:v>
                </c:pt>
                <c:pt idx="3">
                  <c:v>Diageo</c:v>
                </c:pt>
                <c:pt idx="4">
                  <c:v>Brown-Forman</c:v>
                </c:pt>
                <c:pt idx="5">
                  <c:v>Campari</c:v>
                </c:pt>
                <c:pt idx="6">
                  <c:v>Rémy Cointreau</c:v>
                </c:pt>
                <c:pt idx="7">
                  <c:v>Heineken</c:v>
                </c:pt>
              </c:strCache>
            </c:strRef>
          </c:cat>
          <c:val>
            <c:numRef>
              <c:f>Hoja1!$B$2:$B$9</c:f>
              <c:numCache>
                <c:formatCode>0.0"x"</c:formatCode>
                <c:ptCount val="8"/>
                <c:pt idx="0">
                  <c:v>10.8</c:v>
                </c:pt>
                <c:pt idx="1">
                  <c:v>9.3</c:v>
                </c:pt>
                <c:pt idx="2">
                  <c:v>9.4</c:v>
                </c:pt>
                <c:pt idx="3">
                  <c:v>10.6</c:v>
                </c:pt>
                <c:pt idx="4">
                  <c:v>13</c:v>
                </c:pt>
                <c:pt idx="5">
                  <c:v>12.2</c:v>
                </c:pt>
                <c:pt idx="6">
                  <c:v>14.4</c:v>
                </c:pt>
                <c:pt idx="7">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Pernod Ricard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10.8</c:v>
                </c:pt>
              </c:numCache>
            </c:numRef>
          </c:yVal>
          <c:smooth val="0"/>
        </c:ser>
        <c:ser>
          <c:idx val="1"/>
          <c:order val="1"/>
          <c:tx>
            <c:strRef>
              <c:f>Hoja1!$A$3</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9.3</c:v>
                </c:pt>
              </c:numCache>
            </c:numRef>
          </c:yVal>
          <c:smooth val="0"/>
        </c:ser>
        <c:ser>
          <c:idx val="2"/>
          <c:order val="2"/>
          <c:tx>
            <c:strRef>
              <c:f>Hoja1!$A$4</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0.4</c:v>
                </c:pt>
              </c:numCache>
            </c:numRef>
          </c:xVal>
          <c:yVal>
            <c:numRef>
              <c:f>Hoja1!$C$4</c:f>
              <c:numCache>
                <c:formatCode>0.0"x"</c:formatCode>
                <c:ptCount val="1"/>
                <c:pt idx="0">
                  <c:v>9.4</c:v>
                </c:pt>
              </c:numCache>
            </c:numRef>
          </c:yVal>
          <c:smooth val="0"/>
        </c:ser>
        <c:ser>
          <c:idx val="3"/>
          <c:order val="3"/>
          <c:tx>
            <c:strRef>
              <c:f>Hoja1!$A$5</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0.7</c:v>
                </c:pt>
              </c:numCache>
            </c:numRef>
          </c:xVal>
          <c:yVal>
            <c:numRef>
              <c:f>Hoja1!$C$5</c:f>
              <c:numCache>
                <c:formatCode>0.0"x"</c:formatCode>
                <c:ptCount val="1"/>
                <c:pt idx="0">
                  <c:v>13</c:v>
                </c:pt>
              </c:numCache>
            </c:numRef>
          </c:yVal>
          <c:smooth val="0"/>
        </c:ser>
        <c:ser>
          <c:idx val="4"/>
          <c:order val="4"/>
          <c:tx>
            <c:strRef>
              <c:f>Hoja1!$A$6</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1.9</c:v>
                </c:pt>
              </c:numCache>
            </c:numRef>
          </c:xVal>
          <c:yVal>
            <c:numRef>
              <c:f>Hoja1!$C$6</c:f>
              <c:numCache>
                <c:formatCode>0.0"x"</c:formatCode>
                <c:ptCount val="1"/>
                <c:pt idx="0">
                  <c:v>12.2</c:v>
                </c:pt>
              </c:numCache>
            </c:numRef>
          </c:yVal>
          <c:smooth val="0"/>
        </c:ser>
        <c:ser>
          <c:idx val="5"/>
          <c:order val="5"/>
          <c:tx>
            <c:strRef>
              <c:f>Hoja1!$A$7</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3.6</c:v>
                </c:pt>
              </c:numCache>
            </c:numRef>
          </c:xVal>
          <c:yVal>
            <c:numRef>
              <c:f>Hoja1!$C$7</c:f>
              <c:numCache>
                <c:formatCode>0.0"x"</c:formatCode>
                <c:ptCount val="1"/>
                <c:pt idx="0">
                  <c:v>14.4</c:v>
                </c:pt>
              </c:numCache>
            </c:numRef>
          </c:yVal>
          <c:smooth val="0"/>
        </c:ser>
        <c:ser>
          <c:idx val="6"/>
          <c:order val="6"/>
          <c:tx>
            <c:strRef>
              <c:f>Hoja1!$A$8</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3.9</c:v>
                </c:pt>
              </c:numCache>
            </c:numRef>
          </c:xVal>
          <c:yVal>
            <c:numRef>
              <c:f>Hoja1!$C$8</c:f>
              <c:numCache>
                <c:formatCode>0.0"x"</c:formatCode>
                <c:ptCount val="1"/>
                <c:pt idx="0">
                  <c:v>7.9</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1686</c:v>
                </c:pt>
                <c:pt idx="1">
                  <c:v>1535</c:v>
                </c:pt>
                <c:pt idx="2">
                  <c:v>1581</c:v>
                </c:pt>
                <c:pt idx="3">
                  <c:v>1689</c:v>
                </c:pt>
                <c:pt idx="4">
                  <c:v>1755</c:v>
                </c:pt>
                <c:pt idx="5">
                  <c:v>1838</c:v>
                </c:pt>
                <c:pt idx="6">
                  <c:v>1884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9250</c:v>
                </c:pt>
                <c:pt idx="1">
                  <c:v>27299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68,22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54.76</c:v>
                </c:pt>
                <c:pt idx="1">
                  <c:v>91.36</c:v>
                </c:pt>
                <c:pt idx="2">
                  <c:v>101.85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68,22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(57,86 – 90,34)</c:v>
                </c:pt>
                <c:pt idx="1">
                  <c:v>Precio objetivo de los analistas (60,00 – 122,00)</c:v>
                </c:pt>
                <c:pt idx="2">
                  <c:v>Comparables: EV/EBITDA NTM (51,75 – 88,33)</c:v>
                </c:pt>
                <c:pt idx="3">
                  <c:v>Comparables: PER NTM (82,02 – 99,73)</c:v>
                </c:pt>
                <c:pt idx="4">
                  <c:v>Transacciones precedentes (EV/ventas) (61,11 – 135,10)</c:v>
                </c:pt>
                <c:pt idx="5">
                  <c:v>DCF (WACC y g ± 0,5) (68,30 – 127,18)</c:v>
                </c:pt>
                <c:pt idx="6">
                  <c:v>Escenarios (bajista – alcista) (54,76 – 101,85)</c:v>
                </c:pt>
                <c:pt idx="7">
                  <c:v>DCF con la prima implícita del mercado (4,2 %)</c:v>
                </c:pt>
                <c:pt idx="8">
                  <c:v>Precio actual (68,22)</c:v>
                </c:pt>
              </c:strCache>
            </c:strRef>
          </c:cat>
          <c:val>
            <c:numRef>
              <c:f>Hoja1!$B$2:$B$10</c:f>
              <c:numCache>
                <c:formatCode>#,##0</c:formatCode>
                <c:ptCount val="9"/>
                <c:pt idx="0">
                  <c:v>57.86</c:v>
                </c:pt>
                <c:pt idx="1">
                  <c:v>60</c:v>
                </c:pt>
                <c:pt idx="2">
                  <c:v>51.75</c:v>
                </c:pt>
                <c:pt idx="3">
                  <c:v>82.02</c:v>
                </c:pt>
                <c:pt idx="4">
                  <c:v>61.11</c:v>
                </c:pt>
                <c:pt idx="5">
                  <c:v>68.3</c:v>
                </c:pt>
                <c:pt idx="6">
                  <c:v>54.76</c:v>
                </c:pt>
                <c:pt idx="7">
                  <c:v>98.83</c:v>
                </c:pt>
                <c:pt idx="8">
                  <c:v>67.88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(57,86 – 90,34)</c:v>
                </c:pt>
                <c:pt idx="1">
                  <c:v>Precio objetivo de los analistas (60,00 – 122,00)</c:v>
                </c:pt>
                <c:pt idx="2">
                  <c:v>Comparables: EV/EBITDA NTM (51,75 – 88,33)</c:v>
                </c:pt>
                <c:pt idx="3">
                  <c:v>Comparables: PER NTM (82,02 – 99,73)</c:v>
                </c:pt>
                <c:pt idx="4">
                  <c:v>Transacciones precedentes (EV/ventas) (61,11 – 135,10)</c:v>
                </c:pt>
                <c:pt idx="5">
                  <c:v>DCF (WACC y g ± 0,5) (68,30 – 127,18)</c:v>
                </c:pt>
                <c:pt idx="6">
                  <c:v>Escenarios (bajista – alcista) (54,76 – 101,85)</c:v>
                </c:pt>
                <c:pt idx="7">
                  <c:v>DCF con la prima implícita del mercado (4,2 %)</c:v>
                </c:pt>
                <c:pt idx="8">
                  <c:v>Precio actual (68,22)</c:v>
                </c:pt>
              </c:strCache>
            </c:strRef>
          </c:cat>
          <c:val>
            <c:numRef>
              <c:f>Hoja1!$C$2:$C$10</c:f>
              <c:numCache>
                <c:formatCode>#,##0</c:formatCode>
                <c:ptCount val="9"/>
                <c:pt idx="0">
                  <c:v>32.480000000000004</c:v>
                </c:pt>
                <c:pt idx="1">
                  <c:v>62</c:v>
                </c:pt>
                <c:pt idx="2">
                  <c:v>36.58</c:v>
                </c:pt>
                <c:pt idx="3">
                  <c:v>17.710000000000008</c:v>
                </c:pt>
                <c:pt idx="4">
                  <c:v>73.99</c:v>
                </c:pt>
                <c:pt idx="5">
                  <c:v>58.88000000000001</c:v>
                </c:pt>
                <c:pt idx="6">
                  <c:v>47.089999999999996</c:v>
                </c:pt>
                <c:pt idx="7">
                  <c:v>45.22000000000001</c:v>
                </c:pt>
                <c:pt idx="8">
                  <c:v>0.6800000000000068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