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Shenzhen Transsion Holdings Co., Ltd.</w:t>
      </w:r>
    </w:p>
    <w:p>
      <w:pPr>
        <w:spacing w:after="60"/>
        <w:rPr>
          <w:color w:val="52514E"/>
          <w:sz w:val="22"/>
          <w:szCs w:val="22"/>
        </w:rPr>
      </w:pPr>
      <w:r>
        <w:rPr>
          <w:color w:val="52514E"/>
          <w:sz w:val="22"/>
          <w:szCs w:val="22"/>
        </w:rPr>
        <w:t xml:space="preserve">2636.HK · Bolsa de Hong Kong (línea H desde el 15-oct-2026; la línea A cotiza en la STAR Market de Shanghái, 688036) · ISIN n.d.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18 oct 2026</w:t>
      </w:r>
      <w:r>
        <w:rPr>
          <w:color w:val="52514E"/>
          <w:sz w:val="18"/>
          <w:szCs w:val="18"/>
        </w:rPr>
        <w:t xml:space="preserve"> · Divisa: </w:t>
      </w:r>
      <w:r>
        <w:rPr>
          <w:b/>
          <w:bCs/>
          <w:color w:val="52514E"/>
          <w:sz w:val="18"/>
          <w:szCs w:val="18"/>
        </w:rPr>
        <w:t xml:space="preserve">CNY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29,52 CNY (34,62 HKD)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39,67 CNY (46,53 HKD)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+40,1 % (base +34,0 %)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51,73 CNY (60,67 HKD) · mercado 57,69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36.540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4,9x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Shenzhen Transsion Holdings Co., Ltd.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2636.HK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Hong Kong (línea H desde el 15-oct-2026; la línea A cotiza en la STAR Market de Shanghái, 688036)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Hang Seng (H) y STAR 50 / CSI 300 (A)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Hardware, almacenamiento y periféricos (teléfonos)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Shenzhen (Cantón, China) · 2013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www.transsion.com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29,52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27,90 – 29,81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36.540 M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21.639 M CNY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222 M HKD/día en la línea H (2 sesiones) y ≈ 808 M CNY/día en la 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39,67 CNY (46,53 HKD)</w:t>
      </w:r>
      <w:r>
        <w:t xml:space="preserve"> frente a 29,52 (34,62 HKD) · Rentabilidad a 12 meses </w:t>
      </w:r>
      <w:r>
        <w:rPr>
          <w:b/>
          <w:bCs/>
        </w:rPr>
        <w:t xml:space="preserve">+40,1 % (base +34,0 %)</w:t>
      </w:r>
      <w:r>
        <w:t xml:space="preserve"> · Valor intrínseco 51,73 CNY (60,67 HKD) · con la prima implícita del mercado: 57,69 (67,66 HKD) (+95,4 %) · Alcista / bajista +122,8 % / +17,9 %</w:t>
      </w:r>
    </w:p>
    <w:p>
      <w:pPr>
        <w:spacing w:after="100"/>
      </w:pPr>
      <w:r>
        <w:rPr>
          <w:b/>
        </w:rPr>
        <w:t xml:space="preserve">La recomendación y por qué.</w:t>
      </w:r>
      <w:r>
        <w:t xml:space="preserve"> Comprar la línea H (2636.HK), con convicción media. Nuestro objetivo a 12 meses es de 39,67 CNY (46,53 HKD): +40,1 % con dividendo (+34,0 % en el caso base), frente a un precio de 29,52 CNY (34,62 HKD, cierre del 16-oct-2026) [20, 26]. El valor intrínseco (51,73 CNY, 60,67 HKD) está un 75 % por encima del precio. La compra aguanta las pruebas de robustez: con un BPA un 10 % peor la rentabilidad ponderada sigue en el 26,7 %, y el límite robusto es de 37,48 HKD. La convicción es media, no alta, porque todo depende de que el margen se recupere desde el suelo de 2025 y no sabemos cuándo bajará la memoria. La H cotiza un 38,7 % más barata que la A de Shanghái (48,12 CNY) [21, 27]: se compra la misma empresa, con los mismos derechos y dividendos, por 6 de cada 10 yuanes.</w:t>
      </w:r>
    </w:p>
    <w:p>
      <w:pPr>
        <w:spacing w:after="100"/>
      </w:pPr>
      <w:r>
        <w:rPr>
          <w:b/>
        </w:rPr>
        <w:t xml:space="preserve">El negocio.</w:t>
      </w:r>
      <w:r>
        <w:t xml:space="preserve"> Transsion vende teléfonos baratos con las marcas TECNO, Infinix e itel: 169 millones en 2025, el 20 % de los teléfonos de los mercados emergentes y más de la mitad de los de África [1]. El 38 % de las ventas es África, el 36 % Asia-Pacífico emergente (India, Pakistán, Bangladés) y el resto Oriente Medio, Latinoamérica y Europa del Este [1]. Un 11 % viene de accesorios, electrodomésticos y publicidad en sus teléfonos, que crece un 29 %. Su foso es estrecho: distribución, fábricas locales y coste bajo. </w:t>
      </w:r>
      <w:r>
        <w:rPr>
          <w:b/>
        </w:rPr>
        <w:t xml:space="preserve">Calidad: Sí</w:t>
      </w:r>
      <w:r>
        <w:t xml:space="preserve">, con menos holgura que antes: el ROIC prudente fue del 16,1 % en 2025 frente a un WACC del 9,76 % (6,3 puntos), el peor de cinco años (36-64 % en 2021-2024). La sostenibilidad del crecimiento es </w:t>
      </w:r>
      <w:r>
        <w:rPr>
          <w:b/>
        </w:rPr>
        <w:t xml:space="preserve">sí</w:t>
      </w:r>
      <w:r>
        <w:t xml:space="preserve">: proyectamos un 4,8 % anual frente al 7,3 % de 2021-2025.</w:t>
      </w:r>
    </w:p>
    <w:p>
      <w:pPr>
        <w:spacing w:after="100"/>
      </w:pPr>
      <w:r>
        <w:rPr>
          <w:b/>
        </w:rPr>
        <w:t xml:space="preserve">Finanzas y la caída del margen.</w:t>
      </w:r>
      <w:r>
        <w:t xml:space="preserve"> En 2025 las ventas bajaron un 4,5 % (65.591 M CNY) y el beneficio un 53,5 % (2.581 M); el margen EBITDA pasó del 9,1 % al 4,3 % [1]. Tres causas: la memoria, que los centros de datos de IA han encarecido (del 24,5 % al 48,4 % del coste de lo vendido entre 4M25 y 4M26); la competencia de Honor y Xiaomi en África (Transsion bajó del 51 % al 47 % de los smartphones); y más gasto comercial e I+D con menos ventas [1, 14, 15]. Es en parte cíclica (la memoria va por ciclos y en 2026 Xiaomi también recortó la gama baja) y en parte estructural (los rivales se quedan y el móvil básico desaparece), así que no suponemos que vuelva al 9-10 %: un 6,8 % a partir de 2029. El 1S26 ya mejoró: ventas +21,9 % y beneficio +44,8 %, con el margen bruto del 19,0 % al 21,6 % [5, 12]. Caja neta de ≈ 12 CNY por acción y dividendo de 1,70 CNY (5,8 %).</w:t>
      </w:r>
    </w:p>
    <w:p>
      <w:pPr>
        <w:spacing w:after="100"/>
      </w:pPr>
      <w:r>
        <w:rPr>
          <w:b/>
        </w:rPr>
        <w:t xml:space="preserve">Equipo y gobierno.</w:t>
      </w:r>
      <w:r>
        <w:t xml:space="preserve"> Zhu Zhaojiang fundó el negocio en 2006, preside y dirige; controla el 43,4 % a través de Transsion Investment. MediaTek tiene un 5,8 % [1]. El consejo tiene un 40 % de independientes y el accionista de control vendió el 2 % en 2025 [18]. La remuneración de Zhu (2,6 M CNY) es moderada.</w:t>
      </w:r>
    </w:p>
    <w:p>
      <w:pPr>
        <w:spacing w:after="100"/>
      </w:pPr>
      <w:r>
        <w:rPr>
          <w:b/>
        </w:rPr>
        <w:t xml:space="preserve">Valoración.</w:t>
      </w:r>
      <w:r>
        <w:t xml:space="preserve"> El DCF da 51,70 CNY con el bono chino al 1,648 % y 3 puntos de prima adicional por China y los mercados emergentes [24]. El precio equivale a un margen EBITDA del 3,6 % para siempre, por debajo del peor año. A 12 meses no contamos con que el múltiplo suba: PER de 11,2x (el de hoy, 10,2x, con el tope de la regla) sobre un BPA de 2028e de 3,38 CNY, un 27 % por debajo del consenso (4,62 CNY) [22].</w:t>
      </w:r>
    </w:p>
    <w:p>
      <w:pPr>
        <w:spacing w:after="100"/>
      </w:pPr>
      <w:r>
        <w:rPr>
          <w:b/>
        </w:rPr>
        <w:t xml:space="preserve">Riesgos y catalizadores.</w:t>
      </w:r>
      <w:r>
        <w:t xml:space="preserve"> El riesgo principal es que la memoria siga cara y el margen de 2025 sea el normal: en el bajista (8,9x sobre 2,45 CNY) la acción pierde un 20,4 %. Le siguen la cuota frente a Honor y Xiaomi, las monedas de África y Asia del Sur y los juicios de patentes. </w:t>
      </w:r>
      <w:r>
        <w:rPr>
          <w:b/>
        </w:rPr>
        <w:t xml:space="preserve">Riesgo de IA: medio</w:t>
      </w:r>
      <w:r>
        <w:t xml:space="preserve">, indirecto: los centros de datos encarecen la memoria que necesitan sus teléfonos baratos. Catalizadores: resultados del 3T26 hacia el 28-oct-2026 (fecha estimada), el fin de la estabilización de la H en noviembre y la entrada en el Stock Connect, que podría estrechar el descuento frente a la A. El foro de la A es negativo tras trece meses de caídas [28, 29].</w:t>
      </w:r>
    </w:p>
    <w:p>
      <w:pPr>
        <w:spacing w:after="100"/>
      </w:pPr>
      <w:r>
        <w:rPr>
          <w:b/>
        </w:rPr>
        <w:t xml:space="preserve">Qué cambiaría la decisión.</w:t>
      </w:r>
      <w:r>
        <w:t xml:space="preserve"> Compramos por debajo de 41,44 HKD (35,32 CNY); con la prueba robusta, por debajo de 37,48 HKD. Venderíamos por encima de 53,92 HKD (45,97 CNY). Un margen bruto por debajo del 19 % en el 3T26 o el 4T26 nos haría bajar el base al bajista.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39,67 CNY (46,53 HKD)</w:t>
      </w:r>
      <w:r>
        <w:t xml:space="preserve"> (rentabilidad +40,1 % (base +34,0 %)) · Valor intrínseco: 51,73 CNY (60,67 HKD) (+75,2 % sobre 29,52) · con la prima implícita del mercado: 57,69 (67,66 HKD) (+95,4 %)</w:t>
      </w:r>
    </w:p>
    <w:p>
      <w:pPr>
        <w:spacing w:after="100"/>
      </w:pPr>
      <w:r>
        <w:t xml:space="preserve">Transsion es el líder de los teléfonos baratos en África y Asia del Sur, con un ROIC que fue del 36-64 % en 2021-2024 gracias a un circulante negativo y un 16 % en el peor año, 2025 [1]. La memoria cara por la IA y la entrada de Honor y Xiaomi le cortaron el margen a la mitad, y la acción A ha caído un 70 % desde su máximo [21].</w:t>
      </w:r>
    </w:p>
    <w:p>
      <w:pPr>
        <w:spacing w:after="100"/>
      </w:pPr>
      <w:r>
        <w:t xml:space="preserve">La línea H, que cotiza desde el 15-oct-2026, cuesta un 38,7 % menos que la A: 10,2 veces nuestro beneficio de 2027e, con ≈ 12 CNY por acción de caja neta y participaciones (el 41 % del precio) y un dividendo del 5,8 %. El precio equivale a un margen peor que el de 2025 para siempre.</w:t>
      </w:r>
    </w:p>
    <w:p>
      <w:pPr>
        <w:spacing w:after="100"/>
      </w:pPr>
      <w:r>
        <w:t xml:space="preserve">No hace falta que vuelvan los márgenes de 2023: con un EBITDA del 6,5 % en 2028e (frente al 9-10 % de entonces) el BPA es de 3,38 CNY y la rentabilidad a 12 meses del 34 % en el base. Lo que la rompe es que la memoria siga cara en 2027 y Transsion siga perdiendo cuota.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39,67 CNY (46,53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2,45 = 21,81 · 11,2x × 3,38 = 37,86 · 15,1x × 4,05 = 61,15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40,1 % / 34,0 %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33,28 (nuestro base +13,8 %)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51,73 CNY (60,67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(HKD al tipo de 0,8526 CNY por HKD)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29,52 CNY (34,62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122,8 % / 17,9 %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57,69 CNY (67,66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frente a 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asimetría de n.d. (&lt; 2))</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35,32 (41,43 HKD)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35,32 y 45,97 (41,43 y 53,92 HKD)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45,97 (53,92 HKD)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41,44 HKD (35,32 CNY): pasaríamos a Mantener; por encima de 53,92 HKD, a Vender.</w:t>
      </w:r>
    </w:p>
    <w:p>
      <w:pPr>
        <w:pStyle w:val="ListParagraph"/>
        <w:numPr>
          <w:ilvl w:val="0"/>
          <w:numId w:val="2"/>
        </w:numPr>
        <w:spacing w:after="60"/>
      </w:pPr>
      <w:r>
        <w:t xml:space="preserve">Margen bruto por debajo del 19 % en el 3T26 o el 4T26: bajaríamos el base al bajista.</w:t>
      </w:r>
    </w:p>
    <w:p>
      <w:pPr>
        <w:pStyle w:val="ListParagraph"/>
        <w:numPr>
          <w:ilvl w:val="0"/>
          <w:numId w:val="2"/>
        </w:numPr>
        <w:spacing w:after="60"/>
      </w:pPr>
      <w:r>
        <w:t xml:space="preserve">Cuota de smartphones en África por debajo del 40 %: el problema sería estructural y bajaríamos el margen terminal.</w:t>
      </w:r>
    </w:p>
    <w:p>
      <w:pPr>
        <w:pStyle w:val="ListParagraph"/>
        <w:numPr>
          <w:ilvl w:val="0"/>
          <w:numId w:val="2"/>
        </w:numPr>
        <w:spacing w:after="60"/>
      </w:pPr>
      <w:r>
        <w:t xml:space="preserve">Precio de la memoria a la baja en 2027 o un acuerdo con InterDigital: subiríamos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de 2025 es el nuevo normal: la memoria seguirá cara y Honor y Xiaomi le quitarán la gama baja. Un margen EBITDA del 3,6 % para siempre.</w:t>
      </w:r>
    </w:p>
    <w:p>
      <w:pPr>
        <w:keepNext/>
        <w:spacing w:after="100"/>
      </w:pPr>
      <w:r>
        <w:rPr>
          <w:b/>
          <w:bCs/>
        </w:rPr>
        <w:t xml:space="preserve">Lo que creemos nosotros.</w:t>
      </w:r>
    </w:p>
    <w:p>
      <w:pPr>
        <w:spacing w:after="100"/>
      </w:pPr>
      <w:r>
        <w:t xml:space="preserve">La memoria es cíclica y la competencia es estructural: el margen se recupera a la mitad, a un 6,5-6,8 %, por debajo del histórico. Con eso el BPA de 2028e es un 50 % mayor que el de 2025.</w:t>
      </w:r>
    </w:p>
    <w:p>
      <w:pPr>
        <w:keepNext/>
        <w:spacing w:after="100"/>
      </w:pPr>
      <w:r>
        <w:rPr>
          <w:b/>
          <w:bCs/>
        </w:rPr>
        <w:t xml:space="preserve">Por qué podemos tener razón.</w:t>
      </w:r>
    </w:p>
    <w:p>
      <w:pPr>
        <w:spacing w:after="100"/>
      </w:pPr>
      <w:r>
        <w:t xml:space="preserve">En el 1S26 Transsion subió el precio medio del smartphone un 31 % y aun así vendió un 22 % más, y el margen bruto subió 2,6 puntos [1, 5]; en 2026 Xiaomi también recorta la gama baja porque la memoria no le cuadra [13, 14].</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NY) · precio actual 29,5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Barata frente a sí misma</w:t>
      </w:r>
      <w:r>
        <w:t xml:space="preserve">: la H cuesta un 38,7 % menos que la A y 10,2 veces el BPA de 2027e [21, 27].</w:t>
      </w:r>
    </w:p>
    <w:p>
      <w:pPr>
        <w:pStyle w:val="ListParagraph"/>
        <w:numPr>
          <w:ilvl w:val="0"/>
          <w:numId w:val="2"/>
        </w:numPr>
        <w:spacing w:after="60"/>
      </w:pPr>
      <w:r>
        <w:rPr>
          <w:b/>
        </w:rPr>
        <w:t xml:space="preserve">Caja neta y dividendo</w:t>
      </w:r>
      <w:r>
        <w:t xml:space="preserve">: ≈ 12 CNY por acción (41 % del precio) y un 5,8 % de dividendo [1].</w:t>
      </w:r>
    </w:p>
    <w:p>
      <w:pPr>
        <w:pStyle w:val="ListParagraph"/>
        <w:numPr>
          <w:ilvl w:val="0"/>
          <w:numId w:val="2"/>
        </w:numPr>
        <w:spacing w:after="60"/>
      </w:pPr>
      <w:r>
        <w:rPr>
          <w:b/>
        </w:rPr>
        <w:t xml:space="preserve">Poder de precio</w:t>
      </w:r>
      <w:r>
        <w:t xml:space="preserve">: subió un 31 % el precio medio en 2026 y las ventas crecieron un 22 % en el 1S [1, 5].</w:t>
      </w:r>
    </w:p>
    <w:p>
      <w:pPr>
        <w:pStyle w:val="ListParagraph"/>
        <w:numPr>
          <w:ilvl w:val="0"/>
          <w:numId w:val="2"/>
        </w:numPr>
        <w:spacing w:after="60"/>
      </w:pPr>
      <w:r>
        <w:rPr>
          <w:b/>
        </w:rPr>
        <w:t xml:space="preserve">Líder en mercados que crecen</w:t>
      </w:r>
      <w:r>
        <w:t xml:space="preserve">: 20 % de los teléfonos de los mercados emergentes, que crecerán un 8,7 % anual hasta 2030 según Frost &amp; Sullivan [1].</w:t>
      </w:r>
    </w:p>
    <w:p>
      <w:pPr>
        <w:pStyle w:val="Heading2"/>
      </w:pPr>
      <w:r>
        <w:t xml:space="preserve">En contra</w:t>
      </w:r>
    </w:p>
    <w:p>
      <w:pPr>
        <w:pStyle w:val="ListParagraph"/>
        <w:numPr>
          <w:ilvl w:val="0"/>
          <w:numId w:val="2"/>
        </w:numPr>
        <w:spacing w:after="60"/>
      </w:pPr>
      <w:r>
        <w:rPr>
          <w:b/>
        </w:rPr>
        <w:t xml:space="preserve">Memoria cara por la IA</w:t>
      </w:r>
      <w:r>
        <w:t xml:space="preserve">: el 48,4 % del coste de lo vendido en 4M26, el doble que un año antes [1].</w:t>
      </w:r>
    </w:p>
    <w:p>
      <w:pPr>
        <w:pStyle w:val="ListParagraph"/>
        <w:numPr>
          <w:ilvl w:val="0"/>
          <w:numId w:val="2"/>
        </w:numPr>
        <w:spacing w:after="60"/>
      </w:pPr>
      <w:r>
        <w:rPr>
          <w:b/>
        </w:rPr>
        <w:t xml:space="preserve">Pérdida de cuota</w:t>
      </w:r>
      <w:r>
        <w:t xml:space="preserve">: del 51 % al 47 % de los smartphones de África con Honor y Xiaomi creciendo [14, 15].</w:t>
      </w:r>
    </w:p>
    <w:p>
      <w:pPr>
        <w:pStyle w:val="ListParagraph"/>
        <w:numPr>
          <w:ilvl w:val="0"/>
          <w:numId w:val="2"/>
        </w:numPr>
        <w:spacing w:after="60"/>
      </w:pPr>
      <w:r>
        <w:rPr>
          <w:b/>
        </w:rPr>
        <w:t xml:space="preserve">África a la baja en 2026</w:t>
      </w:r>
      <w:r>
        <w:t xml:space="preserve">: Omdia prevé −26 % en unidades [13].</w:t>
      </w:r>
    </w:p>
    <w:p>
      <w:pPr>
        <w:pStyle w:val="ListParagraph"/>
        <w:numPr>
          <w:ilvl w:val="0"/>
          <w:numId w:val="2"/>
        </w:numPr>
        <w:spacing w:after="60"/>
      </w:pPr>
      <w:r>
        <w:rPr>
          <w:b/>
        </w:rPr>
        <w:t xml:space="preserve">Riesgos de país y de patentes</w:t>
      </w:r>
      <w:r>
        <w:t xml:space="preserve">: monedas emergentes, juicios con InterDigital, LG e IP Bridge [1].</w:t>
      </w:r>
    </w:p>
    <w:p>
      <w:pPr>
        <w:pStyle w:val="Heading2"/>
      </w:pPr>
      <w:r>
        <w:t xml:space="preserve">Qué tiene que pasar para que la tesis funcione</w:t>
      </w:r>
    </w:p>
    <w:p>
      <w:pPr>
        <w:spacing w:after="100"/>
      </w:pPr>
      <w:r>
        <w:t xml:space="preserve">El margen bruto y la cuota en África. La señal de que la tesis aguanta: en el 3T26 (hacia el 28-oct) el margen bruto se mantiene por encima del 20 % y las ventas siguen creciendo; la de que falla: un margen bruto por debajo del 19 % o la cuota en África por debajo del 45 %.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memoria y la competencia se comen 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memoria en el coste de lo vendido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 (4M26)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50 %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causa principal de la caída del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 smartphones en África (Omdia, Canalys)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(1T26)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lo cíclico de lo estructural.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Teléfonos vendidos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millones (2025, −16 %)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150 millones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frente a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Descuento de la H frente a la 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38,7 % (16-oct-2026)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H se compra por el descuento; si se amplía, algo pasa con la H.</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5,9x / 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10,8x / 8,9x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 · -3,6x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Zhu Zhaojiang, que venía del fabricante chino Bird, fundó el negocio en Shenzhen en 2006 y se fue a vender a África cuando los grandes no la miraban: teléfonos baratos con doble y cuádruple SIM, baterías largas y cámaras calibradas para pieles oscuras [1]. La sociedad actual nace en 2013, en 2015 ya era la primera de África en unidades y en 2016 entró en India y el resto de Asia emergente [1]. Salió a bolsa en la STAR Market de Shanghái en septiembre de 2019; en 2024 repartió 4 acciones gratis por cada 10 [1]. 2025 fue su peor año desde la salida a bolsa (beneficio −53,5 %) por la memoria y la competencia, y en octubre de 2026 completó la doble cotización en Hong Kong con un descuento del 38-44 % frente a la 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Zhu Zhaojiang empieza el negocio de teléfonos para mercados emergentes en Shenzhen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constituye Transsion Limited, la sociedad actual; Infinix se suma a TECNO e itel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de África en teléfonos vendidos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India y el resto de Asia-Pacífico emergente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STAR Market de Shanghái (688036)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teléfono 5G (Infinix ZERO 5G); ventas −5,7 % por la debilidad del consumo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de ventas (68.715 M) y demanda de Qualcomm por patentes en China, India y Europa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−53,5 % por la memoria y la competencia en Europa del Este y Latinoamérica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con Ericsson (julio), renovación de licencias con Qualcomm y doble cotización en Hong Kong (15-oct) [1].</w:t>
            </w:r>
          </w:p>
        </w:tc>
      </w:tr>
    </w:tbl>
    <w:p>
      <w:pPr>
        <w:spacing w:after="160" w:before="0"/>
      </w:pPr>
    </w:p>
    <w:p>
      <w:pPr>
        <w:pStyle w:val="Heading1"/>
      </w:pPr>
      <w:r>
        <w:t xml:space="preserve">2. Modelo de negocio</w:t>
      </w:r>
    </w:p>
    <w:p>
      <w:pPr>
        <w:spacing w:after="100"/>
      </w:pPr>
      <w:r>
        <w:t xml:space="preserve">Transsion diseña, fabrica y vende teléfonos para mercados emergentes con tres marcas: TECNO (gama media), Infinix (jóvenes, rendimiento) e itel (entrada y móviles básicos) [1]. En 2025 vendió 169 millones de teléfonos, el 11,8 % del mundo y el tercero en unidades, pero el octavo en ingresos (1,7 % del valor) porque vende barato: 566 CNY de precio medio por smartphone [1]. El 89 % de las ventas son teléfonos y el resto, internet móvil (publicidad y aplicaciones en su sistema HiOS/XOS, 942 M con margen bruto del 80 %), accesorios oraimo, electrodomésticos Syinix y energía [1]. Fabrica en seis plantas (cuatro en China, Bangladesh y Etiopía) y vende a más de 2.900 distribuidores en más de 100 países [1].</w:t>
      </w:r>
    </w:p>
    <w:p>
      <w:pPr>
        <w:pStyle w:val="Heading2"/>
      </w:pPr>
      <w:r>
        <w:t xml:space="preserve">Cómo gana dinero</w:t>
      </w:r>
    </w:p>
    <w:p>
      <w:pPr>
        <w:spacing w:after="100"/>
      </w:pPr>
      <w:r>
        <w:t xml:space="preserve">Margen de fabricante de volumen: compra componentes (memoria, procesador, pantalla y cámara son el 68 % del coste en 2025), monta y vende con un margen bruto del 18-23 % y un EBIT del 4-10 % [1]. El margen depende sobre todo del coste de la memoria, que no controla y que repercute con retraso: en 2025 la memoria subió del 25 % al 28 % del coste y el margen bruto cayó 2,2 puntos; en 2026 subió precios y vendió inventario barato, y el margen subió 2,9 puntos [1]. No hay ingresos recurrentes salvo el internet móvil (1,4 % de las ventas) [1]. El apalancamiento operativo es alto: los gastos comerciales, generales e I+D suman 15,3 % de las ventas en 2025, así que un punto de margen bruto mueve un 25-30 % el beneficio. Estacionalidad suave: el tercer trimestre suele ser el más fuerte.</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Teléfonos móviles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Internet móvil, IoT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Teléfonos móviles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Internet móvil, IoT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baja: los cinco mayores distribuidores pesan el 13,4 % de las ventas de 2025 y el primero el 3,1 % [1]. Las ventas son a distribuidores nacionales con crédito corto y cobro en monedas locales o dólares; los clientes finales compran a menudo a plazos (la empresa lidera la financiación de dispositivos en África, según Omdia) [13]. El poder de precios se vio en 2026: el smartphone subió un 31 % de precio medio y las ventas crecieron un 22 % con menos unidades, porque toda la industria subió a la vez [1]. Pero no es poder propio: en 2025, cuando quiso proteger el margen sin que los demás subieran, perdió volumen (−9,1 % de smartphones)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Teléfonos vendidos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Smartphones 106,5 → 96,8; móviles básicos 95,0 → 72,2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del smartphone (CNY)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538,8 (4M25)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705,5 (4M26)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por la memoria; 566,3 en todo 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 (2025); 21,6 %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+2,9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Memoria del 25,0 % al 28,0 % del coste en 2025; el 1S26 vende inventario comprado antes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memoria en el coste de las existencias vendidas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 (4M25)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 (4M26)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que decide el margen de 2026-2027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Distribuidores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2.900 (abr-26)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99 % de las ventas va a distribuidores; el primero pesa el 3,1 % (2025)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Uso de la capacidad de las fábricas de móviles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90,7 % en 2023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teléfonos móviles en mercados emergentes (África, Asia-Pacífico emergente, Oriente Medio, Latinoamérica y Europa central y oriental), donde Transsion hace el 97 % de sus ventas [1]. Se usa el tamaño en ingresos de Frost &amp; Sullivan del folleto (175.500 M USD en 2025) y se contrasta con los envíos de Omdia y Canalys para África, el mercado que más pesa en el beneficio [1, 13, 15]. El mercado mundial (≈ 482.000 M USD, con Apple y Samsung en el 65 % del valor) no es el relevante: Transsion apenas vende por encima de 300 USD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175.500 M USD en 2025 (teléfonos en mercados emergentes, Frost &amp; Sullivan) [1]; África: 19,2 millones de smartphones en el 2T25 y 17,8 millones en el 2T26 (−7 %) [13,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ingresos de teléfonos en mercados emergente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móvil básico al smartphone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móviles básicos caen un 12 % anual en valor en 2021-2025 en mercados emergentes; penetración de internet móvil del 48 % en 2025 al 54 % en 2030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memoria (DRAM y NAND)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Índice medio de DRAM de 821 en 2025 a 3.639 en el 1S26 y de NAND de 899 a 2.831; Frost &amp; Sullivan espera que siga al alza hasta 2030 por la IA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 competidores chinos en África y Latinoamérica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Honor +161 % en el 2T25 y +101 % en el 1T26 en África; Xiaomi +32 % en el 2T25; las cinco primeras de Latinoamérica pasan del 64 % al 60 % del mercado en 2025 [1, 14,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 y población de los mercados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PIB por habitante de 6.200 USD en 2025 con un crecimiento previsto del 8,6 % anual hasta 2030; población de 5.800 millones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 y control de cambios (naira, libra egipcia, rupia pakistaní)</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Diferencias de cambio de −310 M en 2025 y −390 M en el 1S26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Samsung, Xiaomi, Honor y OPPO compiten por precio en la gama de entrada; las cinco primeras de Latinoamérica perdieron 4 puntos de cuota en 2025 [1,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2.900 distribuidores, el primero con el 3,1 % de las ventas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fabricantes de memoria fijan el precio; en 4M26 los cinco primeros proveedores son el 50,2 % de las compras y la memoria el 48,4 % del coste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y la red local cuestan años, pero los chinos con escala global (Honor, Xiaomi) pueden entrar con financiación y operadores [1,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teléfono es la puerta de internet en mercados con poca banda ancha fija [1].</w:t>
            </w:r>
          </w:p>
        </w:tc>
      </w:tr>
    </w:tbl>
    <w:p>
      <w:pPr>
        <w:spacing w:after="160" w:before="0"/>
      </w:pPr>
    </w:p>
    <w:p>
      <w:pPr>
        <w:pStyle w:val="Heading2"/>
      </w:pPr>
      <w:r>
        <w:t xml:space="preserve">Ciclo</w:t>
      </w:r>
    </w:p>
    <w:p>
      <w:pPr>
        <w:spacing w:after="100"/>
      </w:pPr>
      <w:r>
        <w:t xml:space="preserve">Omdia espera que los envíos de smartphones en África caigan un 26 % en 2026, el primer descenso en tres años, porque la memoria hace inviable el teléfono de 75 USD: el segmento de menos de 100 USD cayó un 34 % en el 2T26 [13]. En valor, Frost &amp; Sullivan aún espera crecimiento (185.300 M USD en 2026) porque sube el precio medio [1]. Precedentes: en 2022 el sector cayó por el consumo débil y Transsion bajó un 5,7 % en ventas y un 36 % en beneficio, para recuperarse en 2023 (+34 %) cuando la memoria tocó fondo [1]. En 2020 el confinamiento frenó el primer semestre y el año cerró al alza.</w:t>
      </w:r>
    </w:p>
    <w:p>
      <w:pPr>
        <w:pStyle w:val="Heading2"/>
      </w:pPr>
      <w:r>
        <w:t xml:space="preserve">Regulación</w:t>
      </w:r>
    </w:p>
    <w:p>
      <w:pPr>
        <w:spacing w:after="100"/>
      </w:pPr>
      <w:r>
        <w:t xml:space="preserve">Riesgos regulatorios concretos: aranceles y normas de origen locales (Nigeria, Etiopía, Bangladesh, Pakistán exigen montaje local o gravan importaciones; por eso tiene fábricas allí), control de divisas que obliga a cobrar por terceros, y las normas de inversión de EE. UU. de octubre de 2024 sobre tecnología china; las ventas en EE. UU. son irrelevantes (7,3 M en 2025) [1]. Patentes esenciales 4G y 5G: licencia con Qualcomm renovada hasta 2031 y acuerdo con Ericsson; InterDigital, LG e IP Bridge siguen en juicio [1].</w:t>
      </w:r>
    </w:p>
    <w:p>
      <w:pPr>
        <w:pStyle w:val="Heading2"/>
      </w:pPr>
      <w:r>
        <w:t xml:space="preserve">Tendencias y disrupción</w:t>
      </w:r>
    </w:p>
    <w:p>
      <w:pPr>
        <w:spacing w:after="100"/>
      </w:pPr>
      <w:r>
        <w:t xml:space="preserve">Tres tendencias. La IA en el teléfono pide más memoria y encarece los equipos de entrada: es lo que más daña a quien vende barato [1, 13]. Los competidores chinos con escala (Honor, Xiaomi) usan financiación a plazos y operadores para subir de gama en Sudáfrica y Kenia, justo donde Transsion quiere ir con TECNO [13, 14]. Y la monetización del sistema operativo propio (HiOS/XOS, internet móvil con margen del 80 %) crece despacio: 942 M en 2025 [1]. Transsion gana con la primera solo si mantiene su escala de compra; pierde con la segunda.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en teléfonos de mercados emergentes por unidades (20,0 %, 169 millones) y 5.ª por ingresos (4,7 %); 1.ª en África por unidades (53,1 % de los teléfonos en 2025; 47 % de los smartphones en el 1T26) [1,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Electronics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005930.KS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1.669.480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en África (4,0 millones en el 1T26) con la serie Galaxy A de 150-299 USD [14, 16]; cifras del grupo, con semiconductores.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Xiaomi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1810.HK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457.287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Creció un 32 % en África en el 2T25 con precios de entrada y cayó un 28-30 % en 2026 al recortar la gama baja por la memoria [13, 14, 15]; cifras del grupo, con coches eléctricos.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AAPL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2.778.624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por ingresos en mercados emergentes (19,5 %) con muy pocas unidades; no compite en precio [1,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+161 % en África en el 2T25 y +101 % en el 1T26 (7 % de cuota) con gama de más de 300 USD y financiación en Sudáfrica [13, 14,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Lenovo (Motorola)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0992.HK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554.672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Motorola gana cuota en Latinoamérica; margen de grupo (PC incluido) [1,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TCL Electronics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1070.HK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97.488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Electrónica de consumo china para mercados emergentes; referencia de margen de ensamblador de marca [16].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sistema HiOS/XOS tiene usuarios activos pero ingresa solo 942 M; no ata al cliente al teléfono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marca de teléfono barato no cuesta nada; Honor ganó 4-5 puntos de cuota en África en un año [3,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 e itel son marcas líderes en África desde 2015; más de 3.000 patentes concedidas, pero paga licencias de patentes esenciales y litiga con tres titulares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 (169 millones de teléfonos) y fábricas locales en Etiopía y Bangladesh; margen EBIT del 8-10 % en 2023-2024 frente al 3-4 % de Lenovo y TCL [1,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de distribución y posventa en más de 100 países y 2.900 distribuidores, difícil de replicar rápido [1].</w:t>
            </w:r>
          </w:p>
        </w:tc>
      </w:tr>
    </w:tbl>
    <w:p>
      <w:pPr>
        <w:spacing w:after="160" w:before="0"/>
      </w:pPr>
    </w:p>
    <w:p>
      <w:pPr>
        <w:pStyle w:val="Heading2"/>
      </w:pPr>
      <w:r>
        <w:t xml:space="preserve">Amenazas</w:t>
      </w:r>
    </w:p>
    <w:p>
      <w:pPr>
        <w:spacing w:after="100"/>
      </w:pPr>
      <w:r>
        <w:t xml:space="preserve">La amenaza principal es la combinación de memoria cara y competidores con más margen. Con la memoria en el 48 % del coste, el teléfono de menos de 100 USD deja de ser rentable y el cliente sube a 150-300 USD, donde Samsung (Galaxy A) y Honor son más fuertes [13, 14]. Probabilidad alta de que Transsion pierda 3-5 puntos más de cuota en África en 2026-2027 (Omdia ya la mide en el 47 % de los smartphones frente al 51 % de 2025) [14, 15]. Segunda amenaza: que Xiaomi vuelva a la gama de entrada cuando la memoria baje, como hizo en 2024-2025. Tercera: demandas de patentes que bloqueen ventas en algún país.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spacing w:after="100"/>
      </w:pPr>
      <w:r>
        <w:t xml:space="preserve">Crecimiento anual compuesto 2021-2025: ingresos </w:t>
      </w:r>
      <w:r>
        <w:rPr>
          <w:b/>
          <w:bCs/>
        </w:rPr>
        <w:t xml:space="preserve">7,3 %</w:t>
      </w:r>
      <w:r>
        <w:t xml:space="preserve">, EBITDA </w:t>
      </w:r>
      <w:r>
        <w:rPr>
          <w:b/>
          <w:bCs/>
        </w:rPr>
        <w:t xml:space="preserve">-10,9 %</w:t>
      </w:r>
      <w:r>
        <w:t xml:space="preserve">, BPA </w:t>
      </w:r>
      <w:r>
        <w:rPr>
          <w:b/>
          <w:bCs/>
        </w:rPr>
        <w:t xml:space="preserve">-10,3 %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N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49.412 M CNY en 2021 a 68.715 M en 2024 y bajaron a 65.591 M en 2025 (−4,5 %), todo orgánico [1, 4]. La caída de 2025 tiene dos causas que la empresa separa: menos volumen (smartphones −9,1 %, de 106,5 a 96,8 millones; móviles básicos −23,9 %) porque frenó los envíos mientras subía la memoria sin poder repercutirla, y la pérdida de Europa central y oriental (−36,1 %) y Latinoamérica (−23,7 %) ante competidores internacionales [1]. El margen bruto cayó del 23,2 % (2023) al 20,9 % (2024) y al 18,7 % (2025): la memoria pasó del 20,9 % al 28,0 % del coste de las existencias vendidas [1]. A la vez subieron los gastos comerciales (6,9 % → 7,9 % de las ventas) y de I+D (3,6 % → 4,5 %): el margen EBIT limpio bajó del 10,2 % al 3,6 % [1]. </w:t>
      </w:r>
      <w:r>
        <w:rPr>
          <w:b/>
        </w:rPr>
        <w:t xml:space="preserve">2026 rompe la serie al alza</w:t>
      </w:r>
      <w:r>
        <w:t xml:space="preserve">: ventas del 1S26 de 35.431 M (+21,9 %) y beneficio atribuido de 1.773 M (+46,2 %) con menos teléfonos vendidos, porque subió el precio medio (smartphone a 705,5 CNY en 4M26 frente a 538,8) y el coste llegó con retraso por el inventario comprado antes [1, 5, 12]. En 4M26 la memoria ya era el 48,4 % del coste de las existencias vendidas [1].</w:t>
      </w:r>
    </w:p>
    <w:p>
      <w:pPr>
        <w:pStyle w:val="Heading2"/>
      </w:pPr>
      <w:r>
        <w:t xml:space="preserve">Ajustes y partidas no recurrentes</w:t>
      </w:r>
    </w:p>
    <w:p>
      <w:pPr>
        <w:spacing w:after="100"/>
      </w:pPr>
      <w:r>
        <w:t xml:space="preserve">Cifras publicadas. 2023-2025 y 1S26 en NIIF (informe de los contables del folleto de Hong Kong; 2025 coincide con las CAS en ventas y beneficio antes de impuestos: 65.591 M y 3.183 M) y 2021-2022 en normas chinas [1, 2, 4]. El EBIT es «limpio»: se quitan del resultado operativo las ganancias de los productos de tesorería (221 M en 2023, 553 M en 2024, 485 M en 2025, 316 M en el 1S26) y la plusvalía de 26 M por venta de filiales de 2024; pasan al resultado financiero [1]. Las diferencias de cambio (−310 M en 2025, −390 M en el 1S26) se dejan en el EBIT porque son un coste recurrente de vender en monedas de mercados emergentes [1]. Las subvenciones públicas (396 M en 2025, 662 M en 2024) se repiten todos los años y no se ajustan [1]. Pagos en acciones: 324 M en 2023 y 382 M en 2024; sin planes vivos en 2026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22"/>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Cifras trimestrales en normas chinas; el segundo trimestre de cada año y el cuarto salen por diferencia (semestre − primer trimestre; año − nueve meses) [2, 3, 5, 6, 7, 8, 9, 10]. El beneficio atribuido trimestral cayó de 1.645 M (4T24) a 433 M (4T25), el mínimo de la serie, y se recuperó a 700 M (1T26) y 1.073 M (2T26) [2, 3, 5, 7]. En el avance de julio y en el semestral, la dirección dio tres mensajes: subió los precios según el coste de la memoria («智能手机产品平均销售价格上涨较多»), vendió menos teléfonos y el margen mejoró porque «成本端受历史库存影响，成本上涨略有滞后», es decir, porque vendió con memoria comprada barata [5, 12]. El flujo operativo del 1S26 fue de −5.861 M por la compra anticipada de memoria [5]. La empresa no publica previsiones numéricas. No hay transcripciones públicas en inglés de las conferencias (las de la STAR Market son colectivas y en chino): lo que la dirección no aclaró es cuánto margen queda cuando se consuma ese inventario barato.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negocio funciona con circulante negativo: los proveedores (16.793 M en 2025) financian existencias y clientes (12.629 M); en 2023 el circulante comercial llegó a −6.734 M (−10,8 % de las ventas) [1]. En 2026 eso se dio la vuelta: las existencias pasaron de 8.903 M a 18.935 M en seis meses por la compra anticipada de memoria, y el circulante comercial quedó en +4.209 M a 30-jun [1]. La empresa pagó con su tesorería (los productos de tesorería bajaron de 10.754 M a 3.935 M) y con 2.000 M más de deuda bancaria; aun así la caja neta de deuda era de ≈ 11.600 M en jun-26 (≈ 14.100 M con la salida a bolsa y tras el dividendo) [1, 11]. La lectura: el balance aguanta una apuesta de inventario del tamaño de un trimestre de ventas, pero si los precios de la memoria bajan, ese inventario caro será el problema de 2027.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17.299</w:t>
      </w:r>
      <w:r>
        <w:t xml:space="preserve">, conversión </w:t>
      </w:r>
      <w:r>
        <w:rPr>
          <w:b/>
          <w:bCs/>
        </w:rPr>
        <w:t xml:space="preserve">86 %</w:t>
      </w:r>
      <w:r>
        <w:t xml:space="preserve"> del beneficio neto; adquisiciones 76, dividendos 12.777, recompras 0.</w:t>
      </w:r>
    </w:p>
    <w:p>
      <w:pPr>
        <w:spacing w:after="100"/>
      </w:pPr>
      <w:r>
        <w:t xml:space="preserve">La caja sigue al circulante más que al beneficio: 2023 dio 11.849 M de flujo operativo con 5.537 M de beneficio porque los proveedores crecieron 11.899 M; 2024 y 2025 devolvieron parte (2.795 M y 1.350 M) [1]. El 1S26 consumió 5.871 M por la memoria comprada por adelantado [1]. Acumulado 2021-2025, el flujo operativo (22.012 M) cubre de sobra el capex (4.026 M) y los dividendos (12.777 M) [1, 4]. El capex es bajo (1,0-1,8 % de las ventas): seis fábricas de montaje (Chongqing, Shenzhen, Nanchang, Wuxi, Bangladesh y Etiopía) con un uso del 82 % [1]. Estimación propia: casi todo el capex es de mantenimiento y ampliación modesta de capacidad; la inversión de crecimiento va por la cuenta (I+D 2.950 M y marketing 3.267 M en 2025), no por el balance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Pan-China CPA (天健会计师事务所) para las cuentas CAS; Confucius International CPA para el informe de los contables del folleto de Hong Kong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Tres cosas a vigilar. Primera, el EBIT publicado mezcla negocio y tesorería: «other gains» incluye 425 M de ventas de activos financieros en 2025; aquí se pasan al resultado financiero [1]. Segunda, el inventario: 18.935 M en jun-26 con deterioros de existencias de 374 M en el 1S26 (309 M en el 1S25) [1, 5]; si la memoria baja, habrá más. Tercera, los pagos de terceros por cuenta de clientes («Third-Party Payment Arrangements»), habituales en África por el control de divisas: la empresa los declara como riesgo y ha puesto controles [1]. A favor: el beneficio de 2025 en NIIF y en CAS es el mismo (2.581 M), la conversión en caja de cinco años es alta y no hay fondo de comercio ni capitalización de I+D relevante (intangibles de 55 M) [1, 2]. Los indicadores del motor (Altman, Piotroski y Beneish) se leen con 2021-2022 en CAS y 2023-2025 en NIIF: los cambios de partidas entre normas (inmovilizado en curso, derechos de uso de terrenos) mueven las rotaciones de activo.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duplicadas en seis meses (8.903 → 18.935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anticipada de memoria declarada; riesgo de deterioro si el precio de la memoria corrige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negativo del 1S26 (−5.871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Explicado por el inventario; se revierte solo si las existencias vuelven a su nivel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de terceros por cuenta de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Práctica de mercados con control de divisas; declarada como riesgo en el folleto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de patentes esenciales abiertos (InterDigital, LG, IP Bridge)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Provisionados sin cifra; Ericsson resuelto en julio de 2026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-24,2 % · </w:t>
      </w:r>
      <w:r>
        <w:rPr>
          <w:b/>
          <w:bCs/>
        </w:rPr>
        <w:t xml:space="preserve">WACC</w:t>
      </w:r>
      <w:r>
        <w:t xml:space="preserve">: 9,8 %.</w:t>
      </w:r>
    </w:p>
    <w:p>
      <w:pPr>
        <w:spacing w:after="100"/>
      </w:pPr>
      <w:r>
        <w:t xml:space="preserve">Transsion crea valor, aunque mucho menos que antes: el ROIC prudente fue del 16,1 % en 2025 frente a un WACC del 9,76 % (6,3 puntos), tras el 36-64 % de 2021-2024 [1]. Es prudente porque deja dentro del capital invertido los productos de tesorería. El ROIC tan alto de los años buenos viene del circulante negativo: los proveedores financian casi todo, y el capital invertido es de solo 11.847 M para 65.591 M de ventas. El problema no es el capital sino el margen: el NOPAT bajó de 5.296 M en 2023 a 1.908 M en 2025. Con el margen de nuestro 2028e (EBIT del 5,7 %) el ROIC volvería al 30 %. El ROE fue del 12,7 % en 2025 con caja neta.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-11.463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-13.073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Efectivo 11.641 M + productos de tesorería a valor razonable 3.935 M + caja restringida 1.131 M a 30-jun-2026, frente a una deuda bancaria de 4.013 M casi toda a corto plazo [1]. Después del balance entraron 2.968 M HKD netos de la salida a bolsa (≈ 2.531 M CNY) y salió el dividendo a cuenta de 921 M [5,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tiene bonos)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Pasivos que no son deuda pero pesan: los «otros pasivos corrientes» (1.681 M en jun-26; 3.184 M en 2023) recogen provisiones de garantía y de protección de precios a distribuidores; el gasto de garantía fue de 640 M en 2025 [1]. Las demandas de patentes esenciales (InterDigital, LG e IP Bridge siguen en juicio; con Ericsson hubo acuerdo el 8-jul-2026) están provisionadas sin cifra publicada [1]. Los efectos y pagarés a proveedores (parte de los 19.700 M de proveedores de jun-26) se garantizan con la caja restringida [1]. Sin pensiones de prestación definida relevantes ni pagos aplazados de compras. Las deudas son préstamos bancarios a corto plazo para financiar existencias: 3.960 M en jun-26 frente a 1.878 M en dic-25 [1].</w:t>
      </w:r>
    </w:p>
    <w:p>
      <w:pPr>
        <w:pStyle w:val="Heading1"/>
      </w:pPr>
      <w:r>
        <w:t xml:space="preserve">12. Asignación de capital</w:t>
      </w:r>
    </w:p>
    <w:p>
      <w:pPr>
        <w:pStyle w:val="Confianza"/>
        <w:spacing w:after="100"/>
      </w:pPr>
      <w:r>
        <w:t xml:space="preserve">Confianza: Alta</w:t>
      </w:r>
    </w:p>
    <w:p>
      <w:pPr>
        <w:spacing w:after="100"/>
      </w:pPr>
      <w:r>
        <w:t xml:space="preserve">Reparte en efectivo casi todo lo que gana: dividendos pagados de 3.867 M (2023), 4.130 M (2024) y 2.623 M (2025), por encima del 100 % del beneficio en 2025 [1]. En 2026, dividendo final de 2025 de 1.036 M (0,90 CNY por acción) y a cuenta del 1S26 de 921 M (0,80 CNY, el 51,9 % del beneficio del semestre); este último no lo cobran las acciones H nuevas [1, 5]. No hay recompras en 2023-2026. La salida a bolsa de Hong Kong aportó 2.968 M HKD netos para I+D de IA (40 %), marca (30 %), internet móvil e IoT (20 %) y circulante (10 %) [1,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No hace adquisiciones relevantes: las inversiones en participadas son pequeñas (871 M a valor contable en 2025) y se compran por puesta en equivalencia [1]. El capital se asigna en dividendos y en la cuenta (I+D, marketing). La salida a bolsa de Hong Kong dilutó un 7,5 % (86,6 millones de acciones nuevas a 35,30 HKD, por debajo de la A) para obtener 2.531 M CNY cuando la empresa tenía ≈ 15.600 M de tesorería: es una ampliación cara para el accionista de la A, que se hizo con un descuento del 38-44 % [1, 11].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Zhu Zhaojiang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general (fundador)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el negocio en 2006 tras trabajar en Bird; llevó a Transsion de cero a 169 millones de teléfonos al año y a la primera posición en África [1]. Controla el 43,44 % de los votos a través de Transsion Investment, de la que tiene el 20,68 % del capital y el 67 % de los votos (participación económica propia estimada ≈ 9 %, más el 10,21 % de Beijing Chuanjiali)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Xiao Yonghui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su creación en 2013 y director financiero desde enero de 2014; consejero de las filiales internacionales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 Qi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y director general adjunto (cadena de suministro)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compras y suministro, la función que decide el coste de la memoria; el directivo mejor pagado en 2025 (8,1 M CNY con 5,6 M en acciones)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 Meng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(almacenamiento de energía)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el negocio de energía, que pasó de 4 M de ventas en 2023 a 358 M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Yang Hong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ejecutiva y directora general adjunta (legal, valores y propiedad intelectual)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Lleva los litigios de patentes: acuerdos con Qualcomm y Ericsson en 2026 [1, 19].</w:t>
            </w:r>
          </w:p>
        </w:tc>
      </w:tr>
    </w:tbl>
    <w:p>
      <w:pPr>
        <w:spacing w:after="160" w:before="0"/>
      </w:pPr>
    </w:p>
    <w:p>
      <w:pPr>
        <w:spacing w:after="100"/>
      </w:pPr>
      <w:r>
        <w:t xml:space="preserve">Equipo fundador muy estable: los seis consejeros ejecutivos están desde 2013 y no hubo cambios de presidente ni de director general en 24 meses [1]. La empresa no publica previsiones anuales numéricas, así que no hay historial de guía que medir; el único compromiso público, la política de dividendos, se ha cumplido (reparto superior al 100 % del beneficio en 2025) [1]. La dependencia de Zhu es total: es presidente, director general y accionista de control, y no hay plan de sucesión público. La remuneración del presidente es baja (2,6 M CNY en 2025) y cayó con el beneficio (12,5 M en 2023) [1].</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Zhu Zhaojiang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general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Estrategia y ESG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 Qi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y ESG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 Meng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Ye Weiqiang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Chowdhury Mohammad Ariful Hasan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Yang Hong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Huang Yijian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Estrategia y ESG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Chen Linrong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 Huailei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Wong Yee 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(presidenta),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Transsion Investment (Zhu Zhaojiang controla el 67 % de los votos)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(plataforma de 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46,71 % al 43,44 % por la dilución de la H; vendió un 2,0 % por consulta en sep-2025 [1,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MediaTek (Digimoc Holdings)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(procesadores)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5,78 % en A más 1,9 millones de H como inversor ancla [1, 11]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Beijing Chuanjiali (empleados; Xiao Ming 33,35 %)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de 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Diluida del 5,39 %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Inversores ancla de la H (Longsys, BYD, GIC, E Fund y otros)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Inversores ancla (bloqueo de seis meses)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en oct-2026; libres a partir de abril de 2027 [11]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6"/>
        <w:gridCol w:w="3381"/>
        <w:gridCol w:w="1521"/>
        <w:gridCol w:w="1690"/>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sep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Transsion Investment (accionista de control)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22.807.011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presidente cobró 2,62 M CNY en 2025 (salario y bonus 2,57 M, sin acciones), frente a 7,84 M en 2024 y 12,53 M en 2023: la remuneración baja con el beneficio, sin un plan de largo plazo vivo (no hay acciones restringidas pendientes en 2026) [1]. Ratio frente al coste medio por empleado (4.847 M de gasto de personal entre 24.025 empleados ≈ 0,20 M): unas 13 veces [1, 2]. Los planes de acciones de 2021-2024 se medían por crecimiento de ventas y beneficio, no por rentabilidad sobre el capital [1]. No hay cláusulas públicas de recuperación. La junta china no vota la remuneración individual cada año.</w:t>
      </w:r>
    </w:p>
    <w:p>
      <w:pPr>
        <w:pStyle w:val="Heading2"/>
      </w:pPr>
      <w:r>
        <w:t xml:space="preserve">Operaciones vinculadas, estructura de control y defensas</w:t>
      </w:r>
    </w:p>
    <w:p>
      <w:pPr>
        <w:spacing w:after="100"/>
      </w:pPr>
      <w:r>
        <w:t xml:space="preserve">Zhu Zhaojiang controla la junta: Transsion Investment tiene el 43,44 % del capital tras la salida a bolsa y él ejerce el 67 % de sus votos con el 20,68 % de su capital; es presidente y director general a la vez [1]. Una acción, un voto, sin clases especiales; las H y las A votan juntas salvo en asuntos de clase [1]. El accionista de control vendió el 2 % en septiembre de 2025 «por necesidades propias de fondos» a no menos del 70 % de la media de 20 sesiones [18]. Los proveedores y socios industriales (MediaTek, Longsys, BYD) entraron como inversores ancla de la H: alinea intereses pero también es una relación de dependencia comercial [1, 11].</w:t>
      </w:r>
    </w:p>
    <w:p>
      <w:pPr>
        <w:pStyle w:val="Heading2"/>
      </w:pPr>
      <w:r>
        <w:t xml:space="preserve">Señales de alerta</w:t>
      </w:r>
    </w:p>
    <w:p>
      <w:pPr>
        <w:pStyle w:val="ListParagraph"/>
        <w:numPr>
          <w:ilvl w:val="0"/>
          <w:numId w:val="2"/>
        </w:numPr>
        <w:spacing w:after="60"/>
      </w:pPr>
      <w:r>
        <w:t xml:space="preserve">Venta del 2 % por el accionista de control en sep-2025 «por necesidades propias de fondos» [18].</w:t>
      </w:r>
    </w:p>
    <w:p>
      <w:pPr>
        <w:pStyle w:val="ListParagraph"/>
        <w:numPr>
          <w:ilvl w:val="0"/>
          <w:numId w:val="2"/>
        </w:numPr>
        <w:spacing w:after="60"/>
      </w:pPr>
      <w:r>
        <w:t xml:space="preserve">Salida a bolsa de Hong Kong con un descuento del 38-44 % frente a la A, que perjudica a los accionistas de la A [11].</w:t>
      </w:r>
    </w:p>
    <w:p>
      <w:pPr>
        <w:pStyle w:val="ListParagraph"/>
        <w:numPr>
          <w:ilvl w:val="0"/>
          <w:numId w:val="2"/>
        </w:numPr>
        <w:spacing w:after="60"/>
      </w:pPr>
      <w:r>
        <w:t xml:space="preserve">Litigios de patentes abiertos con InterDigital, LG e IP Bridge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Transsion no publica previsiones anuales. La única referencia de 2026 es el avance del 1S26 del 19-jul-2026 (ventas ≈ 35.657 M, +22,6 %; beneficio atribuido ≈ 1.756 M, +44,8 %), que el semestral confirmó con 35.431 M y 1.773 M [12]. En el folleto, la dirección advierte que el crecimiento del 4M26 puede no sostenerse y que el coste de la memoria sigue alto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 analistas)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84.532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99.953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47,00 – 60,00</w:t>
            </w:r>
          </w:p>
        </w:tc>
      </w:tr>
    </w:tbl>
    <w:p>
      <w:pPr>
        <w:spacing w:after="160" w:before="0"/>
      </w:pPr>
    </w:p>
    <w:p>
      <w:pPr>
        <w:pStyle w:val="Heading2"/>
      </w:pPr>
      <w:r>
        <w:t xml:space="preserve">Revisiones de estimaciones</w:t>
      </w:r>
    </w:p>
    <w:p>
      <w:pPr>
        <w:spacing w:after="100"/>
      </w:pPr>
      <w:r>
        <w:t xml:space="preserve">El consenso es pobre: 5 analistas en MarketScreener con recomendación media «Mantener» y objetivos de 47-60 CNY para la A (54,25 de media) [23]. Sus EBITDA y EBIT no casan entre sí (EBIT por encima del EBITDA en 2027 y 2028: incluyen ganancias financieras en el EBIT), así que se usan solo el BPA y las ventas [22]. El BPA de 2026 (2,87 CNY) supone un segundo semestre de 1,33 CNY, por encima del 1S26 (1,54) solo un 14 % menos, y el de 2028 (4,62) volver al beneficio de 2023-2024 con ventas un 45 % mayores [22]. Yahoo da 4 analistas y el mismo objetivo medio (54,25) para la A [16]. Ningún banco cubre aún la H con objetivo publicado. No hay historial gratuito de revisiones de 3 y 12 meses.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línea H solo tiene dos sesiones (estreno el 15-oct a 33,28 HKD, −5,7 % sobre los 35,30 de la oferta; 34,62 HKD el 16-oct), así que la historia es la de la A [11, 20]. La A rinde un -35.4 % en un año frente al -6 % del CSI 300 y el -0.2 % de la STAR 50, y un -16.7 % anual en cinco años, con una caída máxima del 70,5 % desde abril de 2024 [21]. El castigo viene del beneficio (−53,5 % en 2025) y de la memoria. Beta mensual de 5 años 1,13 frente al CSI 300 (semanal de 2 años 0,80) [21]. La H cotiza a 29,52 CNY (34,62 HKD × 0,8526) frente a 48,12 CNY de la A: un descuento del 38,7 %, en línea con el 38-44 % con que se fijó la oferta [26, 27]. Con ese descuento, la capitalización de todas las acciones al precio H es de 36.540 M CNY; al de la A, 59.560 M [16]. Índices chinos sin datos en Yahoo: se usan sus ETF.</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 / -25,3 % / -7,8 % / -50,6 %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-53,4 % / +4,4 %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3-dic tras dos días de +9,4 % y +8,5 % (rebote técnico desde mínimos); sin hecho de la empresa ese día. La caída anual del 50 % viene del 4T25 (beneficio de 433 M, −74 %) y de la memoria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un mes hasta el 10-jul: acuerdo de patentes con Ericsson (8-jul), rebote de la STAR 50 y, el 19-jul, avance del 1S26 con beneficio +44,8 % [1, 12,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20-jul al 4-ago (−8,2 % el 4-ago) devolvió la subida: el mercado entendió que el margen del 1S26 venía de inventario barato y que Omdia esperaba una caída del 26 % del mercado africano en 2026 [12, 13]. Sin hecho de la empresa el 4-ago.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8-oct, primera sesión tras la Semana Dorada, −14,31 % a 46,10 CNY: la oferta de la H se lanzó con un descuento del 38-44 % frente al cierre de la A del 30-sep (53,80)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estimados para el 28-oct-2026 (el 3T25 se publicó el 28-oct-2025 en CNINFO; la empresa no ha anunciado la fecha). Primer trimestre en que el coste de la memoria cara entra de lleno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 la H: 86,6 millones de acciones nuevas (7,0 % del capital) a 35,30 HKD, el mínimo del rango; 13,0 millones sobreasignadas que el estabilizador puede cubrir comprando en bolsa o con la opción de sobreasignación en los 30 días siguientes (dilución adicional máxima del 1,05 %)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bloqueo de seis meses de los inversores ancla de la H (MediaTek, Longsys, BYD y otros) [1, 11]; fuera del horizonte de la decisión y con socios industriales que no suelen vender.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2025-09-12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Transsion Investment, el accionista de control, vendió el 2,0 % (22,8 millones de acciones) por consulta a no menos del 70 % de la media de 20 sesiones, «por necesidades propias de fondos» [18]. Hace 13 meses; sin nuevas ventas anunciadas.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Qualcomm renueva y unifica las licencias de patentes 4G y 5G hasta 2031; en julio, acuerdo con Ericsson; siguen los juicios con InterDigital, LG e IP Bridge [1,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Omdia prevé que los envíos de smartphones en África caigan un 26 % en 2026; Transsion −14 % en el 2T26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 cae un 50,6 % en 12 meses y un 25,3 % en tres, por debajo de su media de 200 sesiones (P5). La causa es conocida y está en la tesis: el beneficio de 2025 se hundió por la memoria y la competencia, y la salida a bolsa de la H con un 38-44 % de descuento castigó a la A en octubre [21, 27]. No hay ningún hecho pendiente ajeno al análisis que pueda mover el precio más de un 5 % en contra: la colocación ya está hecha y la sobreasignación es pequeña (1 %), los anclas están bloqueados hasta abril de 2027 y no hay ventas anunciadas del accionista de control. Los resultados del 3T26 (≈ 28-oct) son el examen de la tesis, pero por la regla 11 no retrasan.</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H no tiene historia: el precio de cierre de cada año es el de la A (156,90, 79,52, 138,40, 95,00 y 66,16 CNY, ya ajustados por la ampliación liberada de 2024) multiplicado por 0.6134, el cociente H/A del 16-oct [20, 21]. Así la historia y el precio actual miden lo mismo y no se supone que el descuento de la H se cierre. En la A, el PER de cierre bajó de 45x (2021) a 19x (2024) y volvió a 29x en 2025 con el beneficio hundido; hoy la A cotiza a 17,6x el beneficio de los últimos 12 meses y la H a 10,8x. El cambio estructural es el descuento H/A (38,7 %), propio de valores tecnológicos de la STAR Market con poca liquidez en Hong Kong.</w:t>
      </w:r>
    </w:p>
    <w:p>
      <w:pPr>
        <w:pStyle w:val="Heading1"/>
      </w:pPr>
      <w:r>
        <w:t xml:space="preserve">18. Comparables cotizados</w:t>
      </w:r>
    </w:p>
    <w:p>
      <w:pPr>
        <w:pStyle w:val="Confianza"/>
        <w:spacing w:after="100"/>
      </w:pPr>
      <w:r>
        <w:t xml:space="preserve">Confianza: Media</w:t>
      </w:r>
    </w:p>
    <w:p>
      <w:pPr>
        <w:spacing w:after="100"/>
      </w:pPr>
      <w:r>
        <w:t xml:space="preserve">Fabricantes de teléfonos y electrónica de consumo cotizados: Xiaomi (rival directo en África y Asia), Samsung (segunda en África), Apple (referencia de valor), Lenovo (Motorola en Latinoamérica), Huaqin y Longcheer (fabricantes por encargo de teléfonos de gama baja) y TCL Electronics (marca china de electrónica para emergentes). Honor, vivo y OPPO no cotizan. Samsung se deja aunque su beneficio de 2026 lo infla el ciclo de la memoria (PER de 3x): es lo contrario de Transsion en el mismo ciclo. Datos de Yahoo a 18-oct-2026, en millones de CNY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Transsion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Xiaomi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583.959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33.467.572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Electronics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7.022.698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Lenovo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Huaqin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Longcheer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TCL Electronics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12,7x / 14,4x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 / 16,4x / 20,4x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71.945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 / 0,6x / 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133,23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El mapa es claro: los ensambladores de marca o por encargo con margen EBITDA del 3-6 % (Lenovo, TCL, Huaqin, Longcheer) cotizan a 0,3-0,6 veces ventas, y los que tienen ecosistema o semiconductores (Apple, Xiaomi, Samsung) a 1,3-11 veces. Transsion en la H, a 0,38 veces ventas y ≈ 6 veces el EBITDA de Yahoo, cotiza como ensamblador, por debajo de TCL en EV/EBITDA a pesar de tener más margen (5,1 % frente a 4,0 %) y caja neta. La mediana del PER adelantado de los comparables (16,4x sin Lenovo, cuyo dato de Yahoo no es útil, y con Huaqin sin dato) está muy por encima de los ≈ 10x de la H, pero la mediana la sube Apple; sin Apple ni Samsung queda en 16,4x (Xiaomi 20,4x, Longcheer 16,4x, TCL 10,7x). El múltiplo que tiene sentido para Transsion es el de TCL y Longcheer: 11-16x.</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7,3 % anual entre 2021 y 2025, con años muy distintos: −5,7 % en 2022, +33,7 % en 2023 y −4,5 % en 2025 [1, 4]. En el 1S26 subieron un 21,9 % (35.431 M), sobre todo por precio: el precio medio del smartphone subió un 30,9 % en los cuatro primeros meses al repercutir la memoria [1, 5]. Proyectamos un 10,4 % en 2026e (año fijo: 1S real y un 2S de unos 37.000 M, +1 % sobre el 2S25), un 5 % en 2027e y un 6 % en 2028e, bajando al 2,5 % en 2035e. El mercado de teléfonos de mercados emergentes crece un 5,3 % anual en dólares desde 2021 y Frost &amp; Sullivan prevé un 8,7 % hasta 2030 [1]; Omdia prevé que el de smartphones de África caiga un 26 % en unidades en 2026 [13].</w:t>
      </w:r>
    </w:p>
    <w:p>
      <w:pPr>
        <w:keepNext/>
        <w:spacing w:after="100"/>
      </w:pPr>
      <w:r>
        <w:rPr>
          <w:b/>
          <w:bCs/>
        </w:rPr>
        <w:t xml:space="preserve">Márgenes.</w:t>
      </w:r>
    </w:p>
    <w:p>
      <w:pPr>
        <w:spacing w:after="100"/>
      </w:pPr>
      <w:r>
        <w:t xml:space="preserve">Por qué cayó el margen. El EBITDA limpio pasó del 10,7 % de las ventas en 2023 y el 9,1 % en 2024 al 4,3 % en 2025 [1]. Tres causas. (1) La memoria: pasó del 25,0 % al 28,0 % del coste en 2025 y al 48,4 % del coste de las existencias vendidas en los cuatro primeros meses de 2026 (24,5 % un año antes), por la demanda de memoria de los centros de datos de IA [1]. Transsion vende teléfonos de menos de 150 USD, donde la memoria pesa más y subir el precio cuesta volumen. (2) La competencia: Xiaomi creció un 32 % en África en el 2T25 y Honor un 161 %, con precios de entrada y financiación [15]; Transsion bajó del 51 % al 47 % de los smartphones africanos y vendió 169 millones de teléfonos en 2025, un 16 % menos [1, 14]. (3) Los gastos operativos subieron del 9,9 % al 10,9 % de las ventas (marketing e I+D en un año de menos ventas) [1]. ¿Cíclico o estructural? Parte es cíclica: la memoria lleva tres ciclos de subidas y bajadas desde 2017, el 1S26 ya subió el margen bruto al 21,6 % (19,0 % en el 1S25) con inventario comprado antes, y en 2026 Xiaomi recortó la gama baja (−28-30 % en África) porque la memoria tampoco le cuadra [13, 14]. Parte es estructural: Honor y Xiaomi se quedan, el móvil básico cae un 12 % anual en valor [1] y la memoria cara por la IA castiga más a la gama baja. Por eso no suponemos que el margen vuelva al 9-10 % de 2023-2024: un 5,2 % en 2026e, un 5,9 % en 2027e, un 6,5 % en 2028e y un 6,8 % estable después, por debajo de la media de 2021-2025 (8,0 %).</w:t>
      </w:r>
    </w:p>
    <w:p>
      <w:pPr>
        <w:keepNext/>
        <w:spacing w:after="100"/>
      </w:pPr>
      <w:r>
        <w:rPr>
          <w:b/>
          <w:bCs/>
        </w:rPr>
        <w:t xml:space="preserve">Inversión y circulante.</w:t>
      </w:r>
    </w:p>
    <w:p>
      <w:pPr>
        <w:spacing w:after="100"/>
      </w:pPr>
      <w:r>
        <w:t xml:space="preserve">Capex del 1,3 % de las ventas (1,0-1,8 % en 2021-2025: seis fábricas de montaje en Chongqing, Shenzhen, Nanchang, Wuxi, Bangladés y Etiopía, al 82 % de uso) [1]. Amortización del 0,75 % (0,73 % en 2025). El circulante es negativo: proveedores y pagarés financian existencias y clientes (−7,5 % de las ventas de media en 2021-2025, −6,3 % en 2025) [1]. En 2026 la compra adelantada de memoria lo lleva al −1 % y en 2027-2028 vuelve al −3 % y −4 %.</w:t>
      </w:r>
    </w:p>
    <w:p>
      <w:pPr>
        <w:keepNext/>
        <w:spacing w:after="100"/>
      </w:pPr>
      <w:r>
        <w:rPr>
          <w:b/>
          <w:bCs/>
        </w:rPr>
        <w:t xml:space="preserve">Coste del capital.</w:t>
      </w:r>
    </w:p>
    <w:p>
      <w:pPr>
        <w:spacing w:after="100"/>
      </w:pPr>
      <w:r>
        <w:t xml:space="preserve">Todo en CNY: bono chino a 10 años del 1,648 % [24]. Beta de 1,0: la de la A frente al CSI 300 es 1,13 (mensual, 5 años) y 0,80 (semanal, 2 años) [21]. Prima de mercado del 5,5 % y prima adicional de 3,0 puntos: China, mercados emergentes (nairas, rupias, birr, con controles de cambio en Nigeria y Etiopía) y la poca liquidez de la H. Coste de la deuda del 3,0 % (préstamos bancarios a corto plazo) y un 5 % de deuda: WACC del 9,76 %.</w:t>
      </w:r>
    </w:p>
    <w:p>
      <w:pPr>
        <w:keepNext/>
        <w:spacing w:after="100"/>
      </w:pPr>
      <w:r>
        <w:rPr>
          <w:b/>
          <w:bCs/>
        </w:rPr>
        <w:t xml:space="preserve">Valor terminal.</w:t>
      </w:r>
    </w:p>
    <w:p>
      <w:pPr>
        <w:spacing w:after="100"/>
      </w:pPr>
      <w:r>
        <w:t xml:space="preserve">Crecimiento a perpetuidad del 1,2 %, algo por debajo del bono chino y muy por debajo del crecimiento de sus mercados en moneda local: suponemos que la depreciación de esas monedas frente al CNY se come buena parte del crecimiento. El valor terminal pesa el 48 %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0,2 %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0,7 %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1,2 %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1,7 %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2,2 %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4.914 M (11 %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(reinvierte el 27 %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 (histórico: -24,2 %)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frente al 4,8 %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 (hoy: 4,7 %)</w:t>
            </w:r>
          </w:p>
        </w:tc>
      </w:tr>
    </w:tbl>
    <w:p>
      <w:pPr>
        <w:spacing w:after="160" w:before="0"/>
      </w:pPr>
    </w:p>
    <w:p>
      <w:pPr>
        <w:spacing w:after="100"/>
      </w:pPr>
      <w:r>
        <w:t xml:space="preserve">La proyección apenas necesita inversión neta de la amortización (reinversión acumulada de 4.914 M, el 11 % del NOPAT, con un capex bruto medio del 1,3 % de las ventas). En un negocio de activos ligeros, el crecimiento medio del 4,8 % tiene que salir de subir precios y de ganar volumen sin capital nuevo, y la prueba es el poder de precios y la cuota (4,4 % del mercado en 2030e, frente al 4,7 %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−6 % (menos móviles básicos y África a la baja: Transsion −14 % en África en el 2T26 según Omdia [13]; Asia del Sur y Oriente Medio compensan en parte), precio del +15 % (memoria repercutida: +30,9 % en el precio medio del smartphone en 4M26, menos en el móvil básico [1]) y 1,4 puntos de internet móvil y accesorios (+29 % en 2025).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+1 % y precio del +3 %: la memoria deja de subir y la mezcla mejora hacia smartphones; un punto de internet móvil, IoT y energía.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+3 % (penetración del smartphone en África y Asia del Sur) y precio del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+3 % y precio del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+3 % y precio del +1,5 %. Ventas de 88.856 M CNY; los teléfonos (89 % de las ventas) serían el 4,4 % del mercado de mercados emergentes de Frost &amp; Sullivan (266.700 M USD) frente al 4,7 % de 2025 [1]: la cuota baja algo, como en los dos últimos años.</w:t>
            </w:r>
          </w:p>
        </w:tc>
      </w:tr>
    </w:tbl>
    <w:p>
      <w:pPr>
        <w:spacing w:after="160" w:before="0"/>
      </w:pPr>
    </w:p>
    <w:p>
      <w:pPr>
        <w:spacing w:after="100"/>
      </w:pPr>
      <w:r>
        <w:t xml:space="preserve">Sí, con matices. Las tres pruebas pasan: el crecimiento proyectado (4,8 % de media en 2026e-2035e) está por debajo del histórico (7,3 % en 2021-2025) y del que prevé su mercado (8,7 % hasta 2030 [1]); crecer apenas consume capital, porque el circulante es negativo y el capex es del 1,3 % de las ventas; y la cuota implícita en 2030 (4,4 %) es menor que la de hoy (4,7 %). El foso es estrecho: red de más de 2.900 distribuidores y presencia en África desde 2006, fábricas propias en sus mercados, coste bajo y adaptación local (cámaras para pieles oscuras, varias SIM, baterías grandes) [1]. Que pierda cuota con Honor y Xiaomi muestra que no es un foso ancho, y por eso el base no recupera el margen histórico. El ROIC prudente de 2025 (16,1 %) es el peor de cinco años y aún supera al WACC en 6,3 puntos; el ROIC incremental de 2021-2025 sale negativo porque el beneficio de 2025 cayó a la mitad, no porque el capital se invirtiera mal.</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(base: 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 (base: 6,8 %)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(WACC: 9,8 %)</w:t>
            </w:r>
          </w:p>
        </w:tc>
      </w:tr>
    </w:tbl>
    <w:p>
      <w:pPr>
        <w:spacing w:after="160" w:before="0"/>
      </w:pPr>
    </w:p>
    <w:p>
      <w:pPr>
        <w:spacing w:after="100"/>
      </w:pPr>
      <w:r>
        <w:t xml:space="preserve">El DCF da 51,70 CNY por acción (60,64 HKD), un 75 % por encima del precio, con el valor terminal en el 48 % del valor y ≈ 12 CNY por acción de caja neta y participaciones dentro. El precio de 29,52 CNY equivale a que las ventas caigan un 7,5 % al año desde 2027 o a un margen EBITDA del 3,6 % para siempre, por debajo del peor año de su historia (4,3 % en 2025). Con un punto más de WACC (10,8 %) el valor baja a 47,57 CNY; con dos puntos menos de margen en toda la proyección, a 37,68 CNY; restando solo el efectivo (sin los productos de tesorería), unos 3 CNY menos. Todo queda por encima del precio. Lo que descuenta el mercado no es el DCF sino tres cosas: que el margen de 2025 sea el nuevo normal, el descuento de la H frente a la A y la poca confianza en un fabricante de gama baja frente a Xiaomi y Honor.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memoria sigue cara hasta 2028, el mercado africano cae como prevé Omdia y Honor y Xiaomi siguen ganando cuota: 3 puntos menos de crecimiento desde 2027 y margen EBITDA 1,5 puntos más bajo, como en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al 5-6 % con precio y paso al smartphone; la memoria se normaliza a lo largo de 2027 y el margen EBITDA sube al 6,5-6,8 %, por debajo del 8-10 % de 2021-2024; reparto de más del 50 % del beneficio.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memoria baja en 2027, vuelve el volumen en África y Asia del Sur y crecen internet móvil y la energía (oraimo, Syinix): 2 puntos más de crecimiento y 1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CNY) · precio actual 29,5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50,99 CNY (+72,7 %).</w:t>
      </w:r>
    </w:p>
    <w:p>
      <w:pPr>
        <w:spacing w:after="100"/>
      </w:pPr>
      <w:r>
        <w:t xml:space="preserve">Los tres escenarios del DCF quedan por encima del precio: el bajista (34,79 CNY) gana un 17,9 % y el alcista (65,78 CNY) un 122,8 %. A 12 meses, con el PER propio, el bajista sí pierde (−20,4 %) y el alcista gana un 112,9 %. La diferencia entre horizontes es el múltiplo: hoy la H cotiza a 10,2 veces nuestro BPA de 2027e y el DCF justifica unas 18 veces. La tesis no necesita que el múltiplo suba: necesita que el BPA pase de 2,25 CNY (2025) a 3,38 CNY (2028e), un nivel que Transsion superó en 2021, 2023 y 2024.</w:t>
      </w:r>
    </w:p>
    <w:p>
      <w:pPr>
        <w:pStyle w:val="Heading1"/>
      </w:pPr>
      <w:r>
        <w:t xml:space="preserve">22. Suma de partes</w:t>
      </w:r>
    </w:p>
    <w:p>
      <w:pPr>
        <w:pStyle w:val="Confianza"/>
        <w:spacing w:after="100"/>
      </w:pPr>
      <w:r>
        <w:t xml:space="preserve">Confianza: Media</w:t>
      </w:r>
    </w:p>
    <w:p>
      <w:pPr>
        <w:spacing w:after="100"/>
      </w:pPr>
      <w:r>
        <w:t xml:space="preserve">No la hacemos: Transsion no publica el resultado por segmento y el internet móvil (publicidad y aplicaciones en sus sistemas HiOS y XOS) no tiene cuentas propias. Si se pudiera valorar aparte, sería un catalizador.</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CNY) · precio actual 29,5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51,73 CNY (+75,2 % sobre 29,52).</w:t>
      </w:r>
    </w:p>
    <w:p>
      <w:pPr>
        <w:spacing w:after="100"/>
      </w:pPr>
      <w:r>
        <w:t xml:space="preserve">Pesamos el DCF un 60 %, los escenarios un 30 % y los comparables un 10 % (PER de los próximos 12 meses). El DCF manda porque el negocio tiene flujos medibles y una caja neta grande (15.576 M de tesorería frente a 4.013 M de deuda a jun-26, más 2.531 M de la salida a bolsa) [1, 11]. Su debilidad es el margen de mitad de ciclo: con un punto menos de margen EBITDA en toda la proyección el valor baja a 44,69 CNY, y con dos a 37,68 CNY, todavía por encima del precio. Los comparables (Xiaomi, Apple, Samsung, Longcheer, TCL) dan 54,12 CNY por PER, pero mezclan negocios muy distintos y pesan poco. No hay transacciones comparables con múltiplo publicado. El rango va de 34,79 CNY (bajista del DCF) a 65,78 CNY (alcista), todo por encima del precio de 29,52 CNY; con la prima implícita del mercado sale 57,69 CNY.</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(10.2x) × 1.1 (tope: la mediana de 5 años, 17.5x,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+112,9 %</w:t>
            </w:r>
          </w:p>
        </w:tc>
      </w:tr>
    </w:tbl>
    <w:p>
      <w:pPr>
        <w:spacing w:after="160" w:before="0"/>
      </w:pPr>
    </w:p>
    <w:p>
      <w:pPr>
        <w:spacing w:after="100"/>
      </w:pPr>
      <w:r>
        <w:rPr>
          <w:b/>
          <w:bCs/>
        </w:rPr>
        <w:t xml:space="preserve">Objetivo a 12 meses (ponderado):</w:t>
      </w:r>
      <w:r>
        <w:t xml:space="preserve"> 39,67 CNY (46,53 HKD) · rentabilidad +40,1 % (base +34,0 %) · señal Comprar.</w:t>
      </w:r>
    </w:p>
    <w:p>
      <w:pPr>
        <w:spacing w:after="100"/>
      </w:pPr>
      <w:r>
        <w:t xml:space="preserve">Para comparar, con la regla v2 (historia al cierre, mismo precio): 8,6x / 10,2x / 13,2x, 27,3 % Comprar; con el tope anterior del base (×1,3, 14-oct mediodía): 63,1 %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(2,91 CNY) está un 15 % por debajo del consenso (3,41 CNY, 5 analistas [22]) y el de 2028e (3,38 CNY) un 27 % por debajo (4,62 CNY): los analistas suponen ventas de 99.953 M en 2028e (+15 % al año) y que el margen vuelve al de 2024; nosotros, +5-6 % al año y un margen de mitad de ciclo por debajo del histórico. Nuestro precio base a 12 meses (37,86 CNY, 44,40 HKD) queda un 13,8 % por encima del objetivo medio de los analistas pasado a base H (33,28 CNY = 54,25 CNY de la A × 0,6134 [23]): ellos valoran la A, que hoy cotiza a 16,6 veces nuestro BPA de 2027e; nosotros, la H a 10,2 veces.</w:t>
      </w:r>
    </w:p>
    <w:p>
      <w:pPr>
        <w:keepNext/>
        <w:spacing w:after="100"/>
      </w:pPr>
      <w:r>
        <w:rPr>
          <w:b/>
          <w:bCs/>
        </w:rPr>
        <w:t xml:space="preserve">Del valor intrínseco al objetivo a 12 meses.</w:t>
      </w:r>
    </w:p>
    <w:p>
      <w:pPr>
        <w:spacing w:after="100"/>
      </w:pPr>
      <w:r>
        <w:t xml:space="preserve">El objetivo a 12 meses (39,67 CNY, 46,53 HKD) da un 40,1 % con dividendo (34,0 % el base). El base es un PER de 11,2x (el actual, 10,2x, con el tope de ×1,1; la mediana adelantada de 17,5x queda muy lejos) sobre un BPA de 2028e que crece un 14 % al año desde 2026e, más un 5,8 % de dividendo. La rentabilidad sale casi toda de que el beneficio se recupere desde el suelo de 2025, no de que suba el múltiplo. El bajista (8,9x sobre 2,45) pierde un 20,4 %; el alcista (15,1x sobre 4,05) gana un 112,9 %. La rentabilidad es muy sensible al BPA: con un 10 % menos, la ponderada baja al 26,7 % y el base al 21,2 %, y sigue siendo compra. Si el descuento de la H frente a la A (38,7 %) se cerrase a la mitad, habría otro 30 % que no contamos.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meses (3T26) en CNINFO [8]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del 2S con la memoria cara: si el margen bruto aguanta por encima del 20 % y las ventas crecen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periodo de estabilización de la H y ejercicio o no de la sobreasignación (hasta 12.997.200 acciones H) [11]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 estabilizador la H puede moverse más; hasta un 1 % más de acciones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la H en el Stock Connect (compras desde China continental)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estrechar el descuento de la H frente a la A (38,7 %)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final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más del 50 % del beneficio (1,70 CNY por acción en 2025, 5,8 %)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la memoria (DRAM y NAND) para móviles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entre el base y el bajista: el 48 % del coste en 4M26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Juicios de patentes con InterDigital, LG e IP Bridge (acuerdos con Qualcomm y Ericsson ya firmados) [1, 19]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acuerdo quita riesgo; una condena en India o Europa costaría regalías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memoria sigue cara y el margen de 2025 es el nuevo normal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−20,4 % a 12 meses en el bajista (8,9x × 2,45); DCF de 37,68 CNY con dos puntos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subido precios un 30 % sin hundir las ventas (+21,9 % en el 1S26) y compró memoria por adelantado [1,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19 %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Honor, Xiaomi y Samsung le quitan cuota en África y Asia del Sur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−8 % del BPA de 2028e por cada 2 puntos menos de crecimiento anual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en África con el 47 % de los smartphones y más del 53 % de todos los teléfonos; fábricas y red de distribución locales [1,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en África por debajo del 40 % (Omdia, Canalys, IDC)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Monedas y controles de cambio en África y Asia del Sur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Pérdidas por cambio dentro del EBIT; cada devaluación fuerte (naira 2023-2024) cuesta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a distribuidores con crédito corto y cobra en moneda local o en dólares; ajusta precios rápido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Devaluaciones en Nigeria, Pakistán, Bangladés o Etiopía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Patentes esenciales (InterDigital, LG, IP Bridge)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Regalías de algunos dólares por teléfono: ≈ −5 a −10 % del BPA si se suman a las ya pagadas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con Qualcomm hasta 2031 y acuerdo con Ericsson del 8-jul-2026 [1,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Condena o medida cautelar en India o Alemania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control del fundador y descuento de la H</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descuento H/A del 38,7 % puede ampliarse; el accionista de control vendió el 2 % en 2025 [18]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más del 50 % del beneficio y caja neta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ventas del accionista de control o recortes del dividendo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medio, por el coste de la memoria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Indirecto: es la causa de la memoria cara; recogido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no sustituye al teléfono; las funciones de IA en el teléfono ayudan a subir el precio medio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Que los fabricantes de memoria sigan dando prioridad a los centros de datos en 2027</w:t>
            </w:r>
          </w:p>
        </w:tc>
      </w:tr>
    </w:tbl>
    <w:p>
      <w:pPr>
        <w:spacing w:after="160" w:before="0"/>
      </w:pPr>
    </w:p>
    <w:p>
      <w:pPr>
        <w:pStyle w:val="Heading2"/>
      </w:pPr>
      <w:r>
        <w:t xml:space="preserve">Pre-mortem</w:t>
      </w:r>
    </w:p>
    <w:p>
      <w:pPr>
        <w:spacing w:after="100"/>
      </w:pPr>
      <w:r>
        <w:t xml:space="preserve">Octubre de 2027: la acción H ha perdido un 30 %. La memoria no bajó en 2027 porque Samsung, SK Hynix y Micron siguieron dando prioridad a los centros de datos; Transsion subió precios otra vez y perdió volumen, y Honor y Xiaomi, con más margen en la gama media, ganaron cuota en Nigeria, Kenia y Pakistán. El margen EBITDA se quedó en el 4-5 % y el BPA de 2027 no pasó de 2,2 CNY. El mercado de Hong Kong siguió pagando 9-10 veces y la H mantuvo el descuento de casi el 40 % frente a la A. Las señales: un 3T26 con el margen bruto por debajo del 19 % y la cuota en África por debajo del 45 %.</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Amenaza · </w:t>
      </w:r>
      <w:r>
        <w:rPr>
          <w:b/>
          <w:bCs/>
        </w:rPr>
        <w:t xml:space="preserve">Efecto en valor (3-5 años):</w:t>
      </w:r>
      <w:r>
        <w:t xml:space="preserve"> Indirecto y negativo a 12-24 meses: la memoria pasó del 24,5 % al 48,4 % del coste de lo vendido en un año [1]</w:t>
      </w:r>
    </w:p>
    <w:p>
      <w:pPr>
        <w:spacing w:after="100"/>
      </w:pPr>
      <w:r>
        <w:t xml:space="preserve">La IA no sustituye a un teléfono, pero los centros de datos de IA se llevan la producción de memoria y la encarecen. Eso castiga sobre todo a la gama de menos de 150 USD, que es casi todo lo que vende Transsion. Como oportunidad, las funciones de IA en el teléfono ayudan a subir el precio medio, pero no compensan el coste.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social y de gobierno más que ambiental. Social: los teléfonos baratos son la puerta a internet de cientos de millones de personas en África y Asia del Sur, y la financiación a plazos de equipos (que la empresa lidera en África) traslada riesgo de impago a clientes vulnerables [1, 13]. Gobierno: pagos de terceros por cuenta de clientes en mercados con control de divisas, declarados como riesgo [1]. Ambiental: emisiones de montaje bajas; la exposición está en los residuos electrónicos y en la cadena de suministro de componentes [1].</w:t>
      </w:r>
    </w:p>
    <w:p>
      <w:pPr>
        <w:pStyle w:val="Heading2"/>
      </w:pPr>
      <w:r>
        <w:t xml:space="preserve">Controversias</w:t>
      </w:r>
    </w:p>
    <w:p>
      <w:pPr>
        <w:spacing w:after="100"/>
      </w:pPr>
      <w:r>
        <w:t xml:space="preserve">Demandas de patentes esenciales: Qualcomm (2024, resuelta con licencia renovada hasta 2031), Ericsson (resuelta el 8-jul-2026), InterDigital, LG e IP Bridge (en curso) [1]. En 2020 hubo informes de prensa sobre aplicaciones con software malicioso preinstalado en equipos de gama baja en África; no se encontró sanción de un regulador. No se encontraron multas de reguladores en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Memoria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 y para cuántos meses tiene contratada la memoria, y qué peso tendrá en el coste del 2S26 y del 1S27?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más mueve el margen y separa el base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¿Dónde pierde cuota frente a Honor y Xiaomi (país y gama de precio) y qué hace para recuperarla?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caída de margen es cíclica o estructural.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volumen ha perdido por cada punto de subida del precio medio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 la base del foso.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Internet móvil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 el negocio de publicidad y aplicaciones de HiOS y XOS y cuántos usuarios activos tiene?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que más crece y podría cambiar el múltiplo.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pagaría en regalías si pierde con InterDigital, LG e IP Bridge, y qué hay provisionado?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legal sin cifra publicada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Línea H</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¿Piensa recomprar acciones H mientras coticen con un descuento del 38,7 % frente a la 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Sería la mejor asignación de capital posible con 15.576 M de tesorería.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Eastmoney Guba (688036), estreno de la H</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Indignación por el descuento de la H («la A está acabada») y la caída del 8-oct, mezclada con mensajes que ven la doble cotización como «靴子落地» (fin de la incertidumbre) y recuerdan el dividendo del 52 % y el margen bruto del 1S26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Eastmoney Guba (688036), finales de septiembre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Cansancio: «连跌13个月» (trece meses de caídas), sospechas de que el precio se controla para la salida a Hong Kong y comentarios de que los fondos extranjeros venden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Eastmoney Guba (688036), principios de septiembre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atrapados, quejas de poca liquidez y de que «la acción baja cuando todo sube»; algunos esperan a que la H fije precio para volver a entrar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Eastmoney Guba (688036), agosto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semestral, unos ven «业绩不错，机构重仓» y otros que «el mercado se lo han llevado Samsung y Honor» y que la memoria cara puede hundirla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Descuento de la H frente a la 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descuento es real (38,7 % el 16-oct) y la A lo descontó con un −14,3 % el 8-oct; para quien compra la H es la oportunidad, no el problema [28].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Memoria cara y margen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que el margen del 1S26 se apoya en inventario barato; el informe lo recoge en el caso base con un segundo semestre de margen más bajo [31].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Samsung y Honor en África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Confirmado por Omdia: Transsion del 51 % al 47 % de los smartphones de África en un año [31].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y valoración baja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reparto es real (51,9 % del 1S26), pero el dividendo a cuenta no lo cobran las H nuevas [28].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 entrada («a 30» o «a 26» en la 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Niveles de foro sin base; la H ya cotiza a 29,5 CNY [28].</w:t>
            </w:r>
          </w:p>
        </w:tc>
      </w:tr>
    </w:tbl>
    <w:p>
      <w:pPr>
        <w:spacing w:after="160" w:before="0"/>
      </w:pPr>
    </w:p>
    <w:p>
      <w:pPr>
        <w:spacing w:after="100"/>
      </w:pPr>
      <w:r>
        <w:t xml:space="preserve">El foro de la A está en tono de capitulación: trece meses de caídas, insultos a la empresa y la sensación de haber sido estafados con la H. Es el sentimiento típico de un suelo de particulares, pero no dice nada nuevo sobre el negocio: los temas (memoria, competencia en África, descuento H/A) ya están en el informe. Va en la misma dirección que el consenso de analistas («Mantener»). No hay foros activos sobre la H todavía. No aporta un riesgo nuevo; si acaso, confirma que el vendedor marginal de la A es el particular cansado, no un hecho del negocio.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3 explicados. Fuentes: 31 (15 primarias); citas distintas en el texto: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El crecimiento implícito sí sale (−7,5 % al año); la rentabilidad implícita no, porque el precio queda por debajo del valor del DCF incluso con un WACC del 20 %, el tope del cálculo: la caja neta y las participaciones son ≈ 12 CNY por acción, el 41 % del precio. El precio equivale a un margen EBITDA del 3,6 % para siempre, por debajo del peor año (4,3 % en 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4,4 % en 2030e frente al 4,7 %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-1,0 % frente a -6,3 % real: genera una variación de circulante de 3.440 M en el primer año. Converge de forma gradual. Explicación: Es a propósito: en el 1S26 Transsion compró memoria por adelantado y las existencias subieron a 18.935 M (8.903 M en dic-25), con un flujo operativo de −5.871 M en el semestre [1, 5]. Suponemos que en 2026 el circulante pasa del −6,3 % al −1 % de las ventas (consume 3.440 M) y vuelve al −3 % y −4 % en 2027-2028 al venderse ese inventario, aún por encima del −7,5 % de media de 2021-2025.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(2026e)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-18,8 % frente al consenso: justifica la diferencia en el DCF. Explicación: Nuestro EBITDA de 2026e (3.765 M) es un 18,8 % menor que el de MarketScreener (4.638 M), pero ese consenso mete ganancias financieras en el EBITDA y el EBIT (su EBIT de 2027e supera a su EBITDA) [22]. En BPA estamos cerca en 2026e (2,59 frente a 2,87, −9,7 %) y por debajo en 2027e (−15 %) y 2028e (−27 %): no suponemos que el margen vuelva al de 2023-2024.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 y comparación con el consenso previo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CAS (no publican amortizaciones trimestrales); 2) folleto de Hong Kong (solo 4M y 1S); 3) consenso trimestral previo en MarketScreener (sin datos gratuitos)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de Hong Kong (no las cita); 2) informe ESG de la empresa (en chino, sin calificación externa); 3) páginas públicas de MSCI y Sustainalytics (sin ficha abierta para 688036)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la junta sobre la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Actas de la junta de 2025 (CNINFO, 7-may-2026: votan el informe del consejo, no la remuneración individual); 2) folleto de Hong Kong; 3) juntas extraordinarias de nov y dic-2025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cumplimiento de la guía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2021-2025 (sin guía numérica); 2) presentaciones de resultados de la STAR Market; 3) folleto de Hong Kong (sin previsión de beneficio)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de Hong Kong (sin operaciones del sector); 2) búsqueda de compras de fabricantes de teléfonos con múltiplo publicado (solo Lenovo/Motorola 2014, Google/Motorola 2012 y HP/Palm 2010, fuera de los 5-7 años); 3) Honor (escisión de Huawei en 2020, sin múltiplo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 oficial de la 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Estadística de ventas en corto de HKEX (la H solo tiene dos sesiones); 2) registro de posiciones cortas de la SFC (publicación semanal con retraso); 3) margen de la A en Shanghái (financiación de compras 886 M, no es posición corta)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Offering (folleto de la salida a bolsa H): Apéndice I, informe de los contables con las cuentas NIIF de 2023, 2024, 2025 y 4M26 (cuenta, balance, flujos, notas 6-12 y 29); Apéndice IA, información intermedia NIIF del 1S26; resumen, información financiera y sector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Shenzhen Transsion Holdings Co., Ltd.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https://www1.hkexnews.hk/listedco/listconews/sehk/2026/1007/2026100700007.pdf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2025年年度报告 (informe anual 2025, normas chinas): datos trimestrales de 2025, auditor y plantilla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Shenzhen Transsion Holdings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http://static.cninfo.com.cn/finalpage/2026-03-28/1225047544.PDF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2024年年度报告摘要 (resumen del informe anual 2024): datos trimestrales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Transsion Holdings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http://static.cninfo.com.cn/finalpage/2025-04-24/1223237084.PDF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2022年年度报告 (informe anual 2022, normas chinas): estados consolidados de 2022 y 2021, anexo de flujos (amortizaciones) y ventas por producto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Transsion Holdings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http://static.cninfo.com.cn/finalpage/2023-04-26/1216592777.PDF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2026年半年度报告 (informe semestral 2026, normas chinas): cuenta, balance y flujos del 1S26, dividendo a cuenta y explicación de márgenes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Transsion Holdings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http://static.cninfo.com.cn/finalpage/2026-08-18/1225476410.PDF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2025年半年度报告 (informe semestral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Transsion Holdings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http://static.cninfo.com.cn/finalpage/2025-08-28/1224593529.PDF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2026年第一季度报告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Transsion Holdings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http://static.cninfo.com.cn/finalpage/2026-04-28/1225199578.PDF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2025年第三季度报告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Transsion Holdings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http://static.cninfo.com.cn/finalpage/2025-10-29/1224750731.PDF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2024年第三季度报告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Transsion Holdings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http://static.cninfo.com.cn/finalpage/2024-10-29/1221538361.PDF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2025年第一季度报告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Transsion Holdings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http://static.cninfo.com.cn/finalpage/2025-04-29/1223357331.PDF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of Final Offer Price and Allotment Results (precio de oferta, acciones emitidas, sobreasignación, ingresos netos)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Transsion Holdings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https://www1.hkexnews.hk/listedco/listconews/sehk/2026/1014/2026101401159.pdf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2026年半年度业绩预增的自愿性披露公告 (avance de resultados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Transsion Holdings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http://static.cninfo.com.cn/finalpage/2026-07-20/1225431511.PDF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Africa smartphone market expected to decline 26 % in 2026 following first contraction in three years (2Q26)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https://omdia.tech.informa.com/pr/2026/aug/africa-smartphone-market-expected-to-decline-26percent-in-2026-following-first-contraction-in-three-years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Transsion still dominates Africa’s smartphone market, but Honor can’t be ignored (datos de Omdia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Techish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https://tech-ish.com/2026/05/28/transsion-still-dominates-africas-smartphone-market-but-honor-cant-be-ignored/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Smartphone shipments in Africa rise in Q2 (datos de Canalys del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Developing Telecoms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https://www.developingtelecoms.com/telecom-technology/telecom-devices-platforms/18968-smartphone-shipments-in-africa-rise-in-q2.html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de Xiaomi, Apple, Samsung, Lenovo, Huaqin, Longcheer y TCL Electronics (series de Yahoo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 of Directors and their Roles and Functions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Transsion Holdings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https://www1.hkexnews.hk/listedco/listconews/sehk/2026/1014/2026101400031.pdf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传音控股股东询价转让计划书 (plan de transmisión por consulta del accionista de control, anuncio 2025-022)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Shanghai Securities News (cnstock)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https://paper.cnstock.com/html/2025-09/12/content_2120285.htm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Qualcomm announces long-term patent cross-license agreement with Transsion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Qualcomm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https://www.qualcomm.com/news/releases/2026/10/qualcomm-announces-long-term-patent-cross-license-agreement-with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2636.HK (línea H) y del Tracker Fund 2800.HK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https://finance.yahoo.com/quote/2636.HK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688036.SS (línea A), del ETF del CSI 300 (510300.SS) y del ETF de la STAR 50 (588000.SS); cierres de cada ejercicio, betas y volatilidad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https://finance.yahoo.com/quote/688036.SS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Transsion Holdings: estimaciones anuales 2026-2028 (ventas, EBITDA, EBIT, beneficio, BPA,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https://www.marketscreener.com/quote/stock/SHENZHEN-TRANSSION-HOLDIN-66660731/finances/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Shenzhen Transsion Holdings: consenso (5 analistas, objetivo medio 54,25 CNY, mínimo 47, máximo 60)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https://www.marketscreener.com/quote/stock/SHENZHEN-TRANSSION-HOLDIN-66660731/consensus/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la deuda pública china (中债国债收益率曲线), 16-oct-2026: 10 años 1,648 %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ChinaBond (中央国债登记结算)</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https://yield.chinabond.com.cn/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prima implícita del S&amp;P 500,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HKD/CNY (HKDCNY=X), cierre del 16-oct-2026: 0,8526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https://finance.yahoo.com/quote/HKDCNY=X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传音控股A股节后首日重挫14.31%，H股发行价较A股折让 (caída del 8-oct y descuento de la 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Phoenix Finance (ifeng)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https://finance.ifeng.com/c/8x68bTKivzB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传音控股吧 (foro de Eastmoney de 688036), páginas 1-4: mensajes del 8 al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https://guba.eastmoney.com/list,688036.html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传音控股吧, página 8: mensajes de finales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https://guba.eastmoney.com/list,688036_8.html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传音控股吧, página 15: mensajes de principios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https://guba.eastmoney.com/list,688036_15.html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传音控股吧, página 25: mensajes de mediados de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https://guba.eastmoney.com/list,688036_25.html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83,9 %</w:t>
      </w:r>
      <w:r>
        <w:t xml:space="preserve"> · Secciones con menos del 60 % de campos cubiertos: </w:t>
      </w:r>
      <w:r>
        <w:rPr>
          <w:b/>
          <w:bCs/>
        </w:rPr>
        <w:t xml:space="preserve">capital, directivos, transacciones</w:t>
      </w:r>
      <w:r>
        <w:t xml:space="preserve"> · Generado el 18 oct 2026.</w:t>
      </w:r>
    </w:p>
    <w:p>
      <w:pPr>
        <w:pStyle w:val="Nota"/>
        <w:spacing w:after="100"/>
      </w:pPr>
      <w:r>
        <w:t xml:space="preserve">Cuentas en millones de CNY. 2023-2025 y los semestres de 2025 y 2026 en NIIF, del informe de los contables del folleto de la salida a bolsa en Hong Kong [1]; 2021-2022 en normas chinas (CAS) del informe anual 2022 [4], que en estas partidas apenas se diferencian. China no tiene XBRL en herramientas/cuentas.mjs. Los trimestres salen de los informes CAS de CNINFO y solo dan ventas y beneficio [2, 3, 5, 6, 7, 8, 9, 10]. El EBIT es «limpio»: al resultado operativo publicado se le quitan las ganancias de los productos de tesorería y la plusvalía por la venta de filiales de 2024, que pasan al resultado financiero; las diferencias de cambio se quedan en el EBIT porque vienen de vender en monedas emergentes. Para el ROIC la caja es solo el efectivo; los productos de tesorería (3.935 M a jun-26) quedan dentro del capital invertido, así que el ROIC es prudente. En el puente sí se restan. BPA y dividendos de 2021-2023 divididos entre 1,4 por la ampliación liberada de 4 × 10 de 2024, como los precios de Yahoo. Precio: cierre de la línea H del 16-oct-2026 (34,62 HKD), pasado a CNY con 0,8526 (29,52 CNY) [20, 26]. La H solo tiene dos sesiones: la historia de la cotización, la beta y la del PER son de la A (688036.SS, 48,12 CNY), pasadas a base H con el cociente H/A de hoy (0,6134; descuento del 38,7 %) [21, 27]. Índices chinos sin datos en Yahoo: se usan sus ETF (510300.SS para el CSI 300 y 588000.SS para la STAR 50).</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Shenzhen Transsion Holdings Co., Ltd. (2636.HK)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29,52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(27,90 – 29,81)</c:v>
                </c:pt>
                <c:pt idx="1">
                  <c:v>Precio objetivo de los analistas (47,00 – 60,00)</c:v>
                </c:pt>
                <c:pt idx="2">
                  <c:v>Comparables: PER NTM (35,31 – 67,32)</c:v>
                </c:pt>
                <c:pt idx="3">
                  <c:v>DCF (WACC y g ± 0,5) (48,53 – 55,66)</c:v>
                </c:pt>
                <c:pt idx="4">
                  <c:v>Escenarios (bajista – alcista) (34,79 – 65,78)</c:v>
                </c:pt>
                <c:pt idx="5">
                  <c:v>DCF con la prima implícita del mercado (4,2 %)</c:v>
                </c:pt>
                <c:pt idx="6">
                  <c:v>Precio actual (29,52)</c:v>
                </c:pt>
              </c:strCache>
            </c:strRef>
          </c:cat>
          <c:val>
            <c:numRef>
              <c:f>Hoja1!$B$2:$B$8</c:f>
              <c:numCache>
                <c:formatCode>#,##0.0</c:formatCode>
                <c:ptCount val="7"/>
                <c:pt idx="0">
                  <c:v>27.9</c:v>
                </c:pt>
                <c:pt idx="1">
                  <c:v>47</c:v>
                </c:pt>
                <c:pt idx="2">
                  <c:v>35.31</c:v>
                </c:pt>
                <c:pt idx="3">
                  <c:v>48.53</c:v>
                </c:pt>
                <c:pt idx="4">
                  <c:v>34.79</c:v>
                </c:pt>
                <c:pt idx="5">
                  <c:v>55.41</c:v>
                </c:pt>
                <c:pt idx="6">
                  <c:v>29.37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(27,90 – 29,81)</c:v>
                </c:pt>
                <c:pt idx="1">
                  <c:v>Precio objetivo de los analistas (47,00 – 60,00)</c:v>
                </c:pt>
                <c:pt idx="2">
                  <c:v>Comparables: PER NTM (35,31 – 67,32)</c:v>
                </c:pt>
                <c:pt idx="3">
                  <c:v>DCF (WACC y g ± 0,5) (48,53 – 55,66)</c:v>
                </c:pt>
                <c:pt idx="4">
                  <c:v>Escenarios (bajista – alcista) (34,79 – 65,78)</c:v>
                </c:pt>
                <c:pt idx="5">
                  <c:v>DCF con la prima implícita del mercado (4,2 %)</c:v>
                </c:pt>
                <c:pt idx="6">
                  <c:v>Precio actual (29,52)</c:v>
                </c:pt>
              </c:strCache>
            </c:strRef>
          </c:cat>
          <c:val>
            <c:numRef>
              <c:f>Hoja1!$C$2:$C$8</c:f>
              <c:numCache>
                <c:formatCode>#,##0.0</c:formatCode>
                <c:ptCount val="7"/>
                <c:pt idx="0">
                  <c:v>1.9100000000000001</c:v>
                </c:pt>
                <c:pt idx="1">
                  <c:v>13</c:v>
                </c:pt>
                <c:pt idx="2">
                  <c:v>32.00999999999999</c:v>
                </c:pt>
                <c:pt idx="3">
                  <c:v>7.1299999999999955</c:v>
                </c:pt>
                <c:pt idx="4">
                  <c:v>30.990000000000002</c:v>
                </c:pt>
                <c:pt idx="5">
                  <c:v>6.3600000000000065</c:v>
                </c:pt>
                <c:pt idx="6">
                  <c:v>0.3000000000000007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(CNY, millones)</a:t>
            </a:r>
          </a:p>
        </c:rich>
      </c:tx>
      <c:overlay val="0"/>
    </c:title>
    <c:autoTitleDeleted val="0"/>
    <c:plotArea>
      <c:layout/>
      <c:barChart>
        <c:barDir val="col"/>
        <c:grouping val="stacked"/>
        <c:varyColors val="0"/>
        <c:ser>
          <c:idx val="0"/>
          <c:order val="0"/>
          <c:tx>
            <c:strRef>
              <c:f>Hoja1!$B$1</c:f>
              <c:strCache>
                <c:ptCount val="1"/>
                <c:pt idx="0">
                  <c:v>Teléfonos móviles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46195.6</c:v>
                </c:pt>
                <c:pt idx="1">
                  <c:v>42518.4</c:v>
                </c:pt>
                <c:pt idx="2">
                  <c:v>57348.1</c:v>
                </c:pt>
                <c:pt idx="3">
                  <c:v>63196.6</c:v>
                </c:pt>
                <c:pt idx="4">
                  <c:v>58447.5</c:v>
                </c:pt>
              </c:numCache>
            </c:numRef>
          </c:val>
        </c:ser>
        <c:ser>
          <c:idx val="1"/>
          <c:order val="1"/>
          <c:tx>
            <c:strRef>
              <c:f>Hoja1!$C$1</c:f>
              <c:strCache>
                <c:ptCount val="1"/>
                <c:pt idx="0">
                  <c:v>Internet móvil, IoT y otros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3216.3</c:v>
                </c:pt>
                <c:pt idx="1">
                  <c:v>4077.5</c:v>
                </c:pt>
                <c:pt idx="2">
                  <c:v>4946.8</c:v>
                </c:pt>
                <c:pt idx="3">
                  <c:v>5518.7</c:v>
                </c:pt>
                <c:pt idx="4">
                  <c:v>7143.7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Teléfonos móviles</c:v>
                </c:pt>
                <c:pt idx="1">
                  <c:v>Internet móvil, IoT y otros</c:v>
                </c:pt>
              </c:strCache>
            </c:strRef>
          </c:cat>
          <c:val>
            <c:numRef>
              <c:f>Hoja1!$B$2:$B$3</c:f>
              <c:numCache>
                <c:formatCode>General</c:formatCode>
                <c:ptCount val="2"/>
                <c:pt idx="0">
                  <c:v>89.1</c:v>
                </c:pt>
                <c:pt idx="1">
                  <c:v>10.9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África</c:v>
                </c:pt>
                <c:pt idx="1">
                  <c:v>Asia-Pacífico emergente</c:v>
                </c:pt>
                <c:pt idx="2">
                  <c:v>Oriente Medio</c:v>
                </c:pt>
                <c:pt idx="3">
                  <c:v>Latinoamérica</c:v>
                </c:pt>
                <c:pt idx="4">
                  <c:v>Europa central y oriental</c:v>
                </c:pt>
                <c:pt idx="5">
                  <c:v>Otros</c:v>
                </c:pt>
              </c:strCache>
            </c:strRef>
          </c:cat>
          <c:val>
            <c:numRef>
              <c:f>Hoja1!$B$2:$B$7</c:f>
              <c:numCache>
                <c:formatCode>0"%"</c:formatCode>
                <c:ptCount val="6"/>
                <c:pt idx="0">
                  <c:v>37.7</c:v>
                </c:pt>
                <c:pt idx="1">
                  <c:v>36.4</c:v>
                </c:pt>
                <c:pt idx="2">
                  <c:v>9.4</c:v>
                </c:pt>
                <c:pt idx="3">
                  <c:v>8</c:v>
                </c:pt>
                <c:pt idx="4">
                  <c:v>5.4</c:v>
                </c:pt>
                <c:pt idx="5">
                  <c:v>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(ingresos de teléfonos en mercados emergentes))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2021</c:v>
                </c:pt>
                <c:pt idx="1">
                  <c:v>2022</c:v>
                </c:pt>
                <c:pt idx="2">
                  <c:v>2023</c:v>
                </c:pt>
                <c:pt idx="3">
                  <c:v>2024</c:v>
                </c:pt>
                <c:pt idx="4">
                  <c:v>2025</c:v>
                </c:pt>
                <c:pt idx="5">
                  <c:v>2026e</c:v>
                </c:pt>
                <c:pt idx="6">
                  <c:v>2027e</c:v>
                </c:pt>
                <c:pt idx="7">
                  <c:v>2028e</c:v>
                </c:pt>
                <c:pt idx="8">
                  <c:v>2030e</c:v>
                </c:pt>
              </c:strCache>
            </c:strRef>
          </c:cat>
          <c:val>
            <c:numRef>
              <c:f>Hoja1!$B$2:$B$10</c:f>
              <c:numCache>
                <c:formatCode>#,##0</c:formatCode>
                <c:ptCount val="9"/>
                <c:pt idx="0">
                  <c:v>142.9</c:v>
                </c:pt>
                <c:pt idx="1">
                  <c:v>151.9</c:v>
                </c:pt>
                <c:pt idx="2">
                  <c:v>161.2</c:v>
                </c:pt>
                <c:pt idx="3">
                  <c:v>171.1</c:v>
                </c:pt>
                <c:pt idx="4">
                  <c:v>175.5</c:v>
                </c:pt>
                <c:pt idx="5">
                  <c:v>185.3</c:v>
                </c:pt>
                <c:pt idx="6">
                  <c:v>197.2</c:v>
                </c:pt>
                <c:pt idx="7">
                  <c:v>215.7</c:v>
                </c:pt>
                <c:pt idx="8">
                  <c:v>266.7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2</c:v>
                </c:pt>
                <c:pt idx="2">
                  <c:v>5</c:v>
                </c:pt>
                <c:pt idx="3">
                  <c:v>3</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Transsion</c:v>
                </c:pt>
                <c:pt idx="1">
                  <c:v>Samsung Electronics</c:v>
                </c:pt>
                <c:pt idx="2">
                  <c:v>Xiaomi</c:v>
                </c:pt>
                <c:pt idx="3">
                  <c:v>Apple</c:v>
                </c:pt>
                <c:pt idx="4">
                  <c:v>Honor</c:v>
                </c:pt>
                <c:pt idx="5">
                  <c:v>Lenovo (Motorola)</c:v>
                </c:pt>
                <c:pt idx="6">
                  <c:v>TCL Electronics</c:v>
                </c:pt>
              </c:strCache>
            </c:strRef>
          </c:cat>
          <c:val>
            <c:numRef>
              <c:f>Hoja1!$B$2:$B$8</c:f>
              <c:numCache>
                <c:formatCode>0.0"%"</c:formatCode>
                <c:ptCount val="7"/>
                <c:pt idx="0">
                  <c:v>3.6</c:v>
                </c:pt>
                <c:pt idx="1">
                  <c:v>15</c:v>
                </c:pt>
                <c:pt idx="2">
                  <c:v>11.7</c:v>
                </c:pt>
                <c:pt idx="3">
                  <c:v>32</c:v>
                </c:pt>
                <c:pt idx="5">
                  <c:v>4</c:v>
                </c:pt>
                <c:pt idx="6">
                  <c:v>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(CNY,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49411.9</c:v>
                </c:pt>
                <c:pt idx="1">
                  <c:v>46595.9</c:v>
                </c:pt>
                <c:pt idx="2">
                  <c:v>62294.9</c:v>
                </c:pt>
                <c:pt idx="3">
                  <c:v>68715.3</c:v>
                </c:pt>
                <c:pt idx="4">
                  <c:v>65591.2</c:v>
                </c:pt>
                <c:pt idx="5">
                  <c:v>72413</c:v>
                </c:pt>
                <c:pt idx="6">
                  <c:v>76033</c:v>
                </c:pt>
                <c:pt idx="7">
                  <c:v>80595</c:v>
                </c:pt>
                <c:pt idx="8">
                  <c:v>84625</c:v>
                </c:pt>
                <c:pt idx="9">
                  <c:v>88856</c:v>
                </c:pt>
                <c:pt idx="10">
                  <c:v>92411</c:v>
                </c:pt>
                <c:pt idx="11">
                  <c:v>96107</c:v>
                </c:pt>
                <c:pt idx="12">
                  <c:v>98990</c:v>
                </c:pt>
                <c:pt idx="13">
                  <c:v>101960</c:v>
                </c:pt>
                <c:pt idx="14">
                  <c:v>104509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4455.3</c:v>
                </c:pt>
                <c:pt idx="1">
                  <c:v>3324.1</c:v>
                </c:pt>
                <c:pt idx="2">
                  <c:v>6679.4</c:v>
                </c:pt>
                <c:pt idx="3">
                  <c:v>6223</c:v>
                </c:pt>
                <c:pt idx="4">
                  <c:v>2807.2</c:v>
                </c:pt>
                <c:pt idx="5">
                  <c:v>3765</c:v>
                </c:pt>
                <c:pt idx="6">
                  <c:v>4486</c:v>
                </c:pt>
                <c:pt idx="7">
                  <c:v>5239</c:v>
                </c:pt>
                <c:pt idx="8">
                  <c:v>5755</c:v>
                </c:pt>
                <c:pt idx="9">
                  <c:v>6042</c:v>
                </c:pt>
                <c:pt idx="10">
                  <c:v>6284</c:v>
                </c:pt>
                <c:pt idx="11">
                  <c:v>6535</c:v>
                </c:pt>
                <c:pt idx="12">
                  <c:v>6731</c:v>
                </c:pt>
                <c:pt idx="13">
                  <c:v>6933</c:v>
                </c:pt>
                <c:pt idx="14">
                  <c:v>7107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21.3</c:v>
                </c:pt>
                <c:pt idx="1">
                  <c:v>21.3</c:v>
                </c:pt>
                <c:pt idx="2">
                  <c:v>23.2</c:v>
                </c:pt>
                <c:pt idx="3">
                  <c:v>20.9</c:v>
                </c:pt>
                <c:pt idx="4">
                  <c:v>18.7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c:v>
                </c:pt>
                <c:pt idx="1">
                  <c:v>7.1</c:v>
                </c:pt>
                <c:pt idx="2">
                  <c:v>10.7</c:v>
                </c:pt>
                <c:pt idx="3">
                  <c:v>9.1</c:v>
                </c:pt>
                <c:pt idx="4">
                  <c:v>4.3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8.6</c:v>
                </c:pt>
                <c:pt idx="1">
                  <c:v>6.6</c:v>
                </c:pt>
                <c:pt idx="2">
                  <c:v>10.2</c:v>
                </c:pt>
                <c:pt idx="3">
                  <c:v>8.4</c:v>
                </c:pt>
                <c:pt idx="4">
                  <c:v>3.6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7.9</c:v>
                </c:pt>
                <c:pt idx="1">
                  <c:v>5.3</c:v>
                </c:pt>
                <c:pt idx="2">
                  <c:v>8.9</c:v>
                </c:pt>
                <c:pt idx="3">
                  <c:v>8.1</c:v>
                </c:pt>
                <c:pt idx="4">
                  <c:v>3.9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-7.2</c:v>
                </c:pt>
                <c:pt idx="1">
                  <c:v>-9.4</c:v>
                </c:pt>
                <c:pt idx="2">
                  <c:v>-25.5</c:v>
                </c:pt>
                <c:pt idx="3">
                  <c:v>-6.1</c:v>
                </c:pt>
                <c:pt idx="4">
                  <c:v>22.6</c:v>
                </c:pt>
                <c:pt idx="5">
                  <c:v>-8.1</c:v>
                </c:pt>
                <c:pt idx="6">
                  <c:v>24.6</c:v>
                </c:pt>
                <c:pt idx="7">
                  <c:v>19.6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9</c:v>
                </c:pt>
                <c:pt idx="1">
                  <c:v>10</c:v>
                </c:pt>
                <c:pt idx="2">
                  <c:v>12</c:v>
                </c:pt>
                <c:pt idx="3">
                  <c:v>18</c:v>
                </c:pt>
                <c:pt idx="4">
                  <c:v>21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71</c:v>
                </c:pt>
                <c:pt idx="1">
                  <c:v>61</c:v>
                </c:pt>
                <c:pt idx="2">
                  <c:v>80</c:v>
                </c:pt>
                <c:pt idx="3">
                  <c:v>58</c:v>
                </c:pt>
                <c:pt idx="4">
                  <c:v>61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106</c:v>
                </c:pt>
                <c:pt idx="1">
                  <c:v>80</c:v>
                </c:pt>
                <c:pt idx="2">
                  <c:v>146</c:v>
                </c:pt>
                <c:pt idx="3">
                  <c:v>116</c:v>
                </c:pt>
                <c:pt idx="4">
                  <c:v>115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(CNY,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3192.9999999999995</c:v>
                </c:pt>
                <c:pt idx="1">
                  <c:v>1010.8000000000001</c:v>
                </c:pt>
                <c:pt idx="2">
                  <c:v>10882.3</c:v>
                </c:pt>
                <c:pt idx="3">
                  <c:v>1991.8</c:v>
                </c:pt>
                <c:pt idx="4">
                  <c:v>221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3909.2</c:v>
                </c:pt>
                <c:pt idx="1">
                  <c:v>2483.8</c:v>
                </c:pt>
                <c:pt idx="2">
                  <c:v>5537</c:v>
                </c:pt>
                <c:pt idx="3">
                  <c:v>5549</c:v>
                </c:pt>
                <c:pt idx="4">
                  <c:v>2580.6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63.9</c:v>
                </c:pt>
                <c:pt idx="1">
                  <c:v>36.6</c:v>
                </c:pt>
                <c:pt idx="2">
                  <c:v>59.7</c:v>
                </c:pt>
                <c:pt idx="3">
                  <c:v>45.7</c:v>
                </c:pt>
                <c:pt idx="4">
                  <c:v>16.1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9.8</c:v>
                </c:pt>
                <c:pt idx="1">
                  <c:v>9.8</c:v>
                </c:pt>
                <c:pt idx="2">
                  <c:v>9.8</c:v>
                </c:pt>
                <c:pt idx="3">
                  <c:v>9.8</c:v>
                </c:pt>
                <c:pt idx="4">
                  <c:v>9.8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27.9</c:v>
                </c:pt>
                <c:pt idx="1">
                  <c:v>16.6</c:v>
                </c:pt>
                <c:pt idx="2">
                  <c:v>32.7</c:v>
                </c:pt>
                <c:pt idx="3">
                  <c:v>29</c:v>
                </c:pt>
                <c:pt idx="4">
                  <c:v>12.7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-1.94</c:v>
                </c:pt>
                <c:pt idx="1">
                  <c:v>-2.26</c:v>
                </c:pt>
                <c:pt idx="2">
                  <c:v>-1.31</c:v>
                </c:pt>
                <c:pt idx="3">
                  <c:v>-1.36</c:v>
                </c:pt>
                <c:pt idx="4">
                  <c:v>-3.15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(CNY,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2027+</c:v>
                </c:pt>
              </c:strCache>
            </c:strRef>
          </c:cat>
          <c:val>
            <c:numRef>
              <c:f>Hoja1!$B$2:$B$3</c:f>
              <c:numCache>
                <c:formatCode>#,##0</c:formatCode>
                <c:ptCount val="2"/>
                <c:pt idx="0">
                  <c:v>3959.5</c:v>
                </c:pt>
                <c:pt idx="1">
                  <c:v>53.5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(CNY,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34.6</c:v>
                </c:pt>
                <c:pt idx="3">
                  <c:v>0</c:v>
                </c:pt>
                <c:pt idx="4">
                  <c:v>41.8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870</c:v>
                </c:pt>
                <c:pt idx="1">
                  <c:v>1210.1</c:v>
                </c:pt>
                <c:pt idx="2">
                  <c:v>3879.8</c:v>
                </c:pt>
                <c:pt idx="3">
                  <c:v>4163.3</c:v>
                </c:pt>
                <c:pt idx="4">
                  <c:v>2653.5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6</c:v>
                </c:pt>
                <c:pt idx="1">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Transsion Investment (Zhu Zhaojiang controla el 67 % de los votos)</c:v>
                </c:pt>
                <c:pt idx="1">
                  <c:v>MediaTek (Digimoc Holdings)</c:v>
                </c:pt>
                <c:pt idx="2">
                  <c:v>Beijing Chuanjiali (empleados; Xiao Ming 33,35 %)</c:v>
                </c:pt>
                <c:pt idx="3">
                  <c:v>Inversores ancla de la H (Longsys, BYD, GIC, E Fund y otros)</c:v>
                </c:pt>
              </c:strCache>
            </c:strRef>
          </c:cat>
          <c:val>
            <c:numRef>
              <c:f>Hoja1!$B$2:$B$5</c:f>
              <c:numCache>
                <c:formatCode>0.0"%"</c:formatCode>
                <c:ptCount val="4"/>
                <c:pt idx="0">
                  <c:v>43.44</c:v>
                </c:pt>
                <c:pt idx="1">
                  <c:v>5.93</c:v>
                </c:pt>
                <c:pt idx="2">
                  <c:v>5.01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3.6</c:v>
                </c:pt>
                <c:pt idx="1">
                  <c:v>-48.7</c:v>
                </c:pt>
                <c:pt idx="2">
                  <c:v>79.1</c:v>
                </c:pt>
                <c:pt idx="3">
                  <c:v>-28.5</c:v>
                </c:pt>
                <c:pt idx="4">
                  <c:v>-28.3</c:v>
                </c:pt>
              </c:numCache>
            </c:numRef>
          </c:val>
        </c:ser>
        <c:ser>
          <c:idx val="1"/>
          <c:order val="1"/>
          <c:tx>
            <c:strRef>
              <c:f>Hoja1!$C$1</c:f>
              <c:strCache>
                <c:ptCount val="1"/>
                <c:pt idx="0">
                  <c:v>Índice</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c:v>
                </c:pt>
                <c:pt idx="1">
                  <c:v>-20.1</c:v>
                </c:pt>
                <c:pt idx="2">
                  <c:v>-9.8</c:v>
                </c:pt>
                <c:pt idx="3">
                  <c:v>17.4</c:v>
                </c:pt>
                <c:pt idx="4">
                  <c:v>20.8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22.4</c:v>
                </c:pt>
                <c:pt idx="1">
                  <c:v>14.3</c:v>
                </c:pt>
                <c:pt idx="2">
                  <c:v>13.2</c:v>
                </c:pt>
                <c:pt idx="3">
                  <c:v>9.4</c:v>
                </c:pt>
                <c:pt idx="4">
                  <c:v>13.5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13.5</c:v>
                </c:pt>
                <c:pt idx="1">
                  <c:v>13.5</c:v>
                </c:pt>
                <c:pt idx="2">
                  <c:v>13.5</c:v>
                </c:pt>
                <c:pt idx="3">
                  <c:v>13.5</c:v>
                </c:pt>
                <c:pt idx="4">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Transsion</c:v>
                </c:pt>
                <c:pt idx="1">
                  <c:v>Xiaomi</c:v>
                </c:pt>
                <c:pt idx="2">
                  <c:v>Apple</c:v>
                </c:pt>
                <c:pt idx="3">
                  <c:v>Samsung Electronics</c:v>
                </c:pt>
                <c:pt idx="4">
                  <c:v>Lenovo Group</c:v>
                </c:pt>
                <c:pt idx="5">
                  <c:v>Huaqin Technology</c:v>
                </c:pt>
                <c:pt idx="6">
                  <c:v>Longcheer Technology</c:v>
                </c:pt>
                <c:pt idx="7">
                  <c:v>TCL Electronics</c:v>
                </c:pt>
              </c:strCache>
            </c:strRef>
          </c:cat>
          <c:val>
            <c:numRef>
              <c:f>Hoja1!$B$2:$B$9</c:f>
              <c:numCache>
                <c:formatCode>0.0"x"</c:formatCode>
                <c:ptCount val="8"/>
                <c:pt idx="0">
                  <c:v>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(CNY,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-1196</c:v>
                </c:pt>
                <c:pt idx="1">
                  <c:v>4350</c:v>
                </c:pt>
                <c:pt idx="2">
                  <c:v>4300</c:v>
                </c:pt>
                <c:pt idx="3">
                  <c:v>3894</c:v>
                </c:pt>
                <c:pt idx="4">
                  <c:v>4089</c:v>
                </c:pt>
                <c:pt idx="5">
                  <c:v>4218</c:v>
                </c:pt>
                <c:pt idx="6">
                  <c:v>4387</c:v>
                </c:pt>
                <c:pt idx="7">
                  <c:v>4482</c:v>
                </c:pt>
                <c:pt idx="8">
                  <c:v>4616</c:v>
                </c:pt>
                <c:pt idx="9">
                  <c:v>4712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(CNY,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25460</c:v>
                </c:pt>
                <c:pt idx="1">
                  <c:v>23628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(CNY) · precio actual 29,52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34.79</c:v>
                </c:pt>
                <c:pt idx="1">
                  <c:v>51.7</c:v>
                </c:pt>
                <c:pt idx="2">
                  <c:v>65.78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29,52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(27,90 – 29,81)</c:v>
                </c:pt>
                <c:pt idx="1">
                  <c:v>Precio objetivo de los analistas (47,00 – 60,00)</c:v>
                </c:pt>
                <c:pt idx="2">
                  <c:v>Comparables: PER NTM (35,31 – 67,32)</c:v>
                </c:pt>
                <c:pt idx="3">
                  <c:v>DCF (WACC y g ± 0,5) (48,53 – 55,66)</c:v>
                </c:pt>
                <c:pt idx="4">
                  <c:v>Escenarios (bajista – alcista) (34,79 – 65,78)</c:v>
                </c:pt>
                <c:pt idx="5">
                  <c:v>DCF con la prima implícita del mercado (4,2 %)</c:v>
                </c:pt>
                <c:pt idx="6">
                  <c:v>Precio actual (29,52)</c:v>
                </c:pt>
              </c:strCache>
            </c:strRef>
          </c:cat>
          <c:val>
            <c:numRef>
              <c:f>Hoja1!$B$2:$B$8</c:f>
              <c:numCache>
                <c:formatCode>#,##0.0</c:formatCode>
                <c:ptCount val="7"/>
                <c:pt idx="0">
                  <c:v>27.9</c:v>
                </c:pt>
                <c:pt idx="1">
                  <c:v>47</c:v>
                </c:pt>
                <c:pt idx="2">
                  <c:v>35.31</c:v>
                </c:pt>
                <c:pt idx="3">
                  <c:v>48.53</c:v>
                </c:pt>
                <c:pt idx="4">
                  <c:v>34.79</c:v>
                </c:pt>
                <c:pt idx="5">
                  <c:v>55.41</c:v>
                </c:pt>
                <c:pt idx="6">
                  <c:v>29.37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(27,90 – 29,81)</c:v>
                </c:pt>
                <c:pt idx="1">
                  <c:v>Precio objetivo de los analistas (47,00 – 60,00)</c:v>
                </c:pt>
                <c:pt idx="2">
                  <c:v>Comparables: PER NTM (35,31 – 67,32)</c:v>
                </c:pt>
                <c:pt idx="3">
                  <c:v>DCF (WACC y g ± 0,5) (48,53 – 55,66)</c:v>
                </c:pt>
                <c:pt idx="4">
                  <c:v>Escenarios (bajista – alcista) (34,79 – 65,78)</c:v>
                </c:pt>
                <c:pt idx="5">
                  <c:v>DCF con la prima implícita del mercado (4,2 %)</c:v>
                </c:pt>
                <c:pt idx="6">
                  <c:v>Precio actual (29,52)</c:v>
                </c:pt>
              </c:strCache>
            </c:strRef>
          </c:cat>
          <c:val>
            <c:numRef>
              <c:f>Hoja1!$C$2:$C$8</c:f>
              <c:numCache>
                <c:formatCode>#,##0.0</c:formatCode>
                <c:ptCount val="7"/>
                <c:pt idx="0">
                  <c:v>1.9100000000000001</c:v>
                </c:pt>
                <c:pt idx="1">
                  <c:v>13</c:v>
                </c:pt>
                <c:pt idx="2">
                  <c:v>32.00999999999999</c:v>
                </c:pt>
                <c:pt idx="3">
                  <c:v>7.1299999999999955</c:v>
                </c:pt>
                <c:pt idx="4">
                  <c:v>30.990000000000002</c:v>
                </c:pt>
                <c:pt idx="5">
                  <c:v>6.3600000000000065</c:v>
                </c:pt>
                <c:pt idx="6">
                  <c:v>0.3000000000000007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