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UnitedHealth Group Incorporated</w:t>
      </w:r>
    </w:p>
    <w:p>
      <w:pPr>
        <w:spacing w:after="60"/>
        <w:rPr>
          <w:color w:val="52514E"/>
          <w:sz w:val="22"/>
          <w:szCs w:val="22"/>
        </w:rPr>
      </w:pPr>
      <w:r>
        <w:rPr>
          <w:color w:val="52514E"/>
          <w:sz w:val="22"/>
          <w:szCs w:val="22"/>
        </w:rPr>
        <w:t xml:space="preserve">UNH · New York Stock Exchange · ISIN US91324P1021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401,43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436,07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+10,9 % (base +16,9 %)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391,52 USD · mercado 458,76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362.090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UnitedHealth Group Incorporated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UNH / US91324P1021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Health Care Providers &amp; Services (Managed Health Care)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Eden Prairie (Minnesota) · 1977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www.unitedhealthgroup.com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401,43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255,97 – 461,62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362.090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438.803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1.996 M USD/día (5,07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436,07 USD</w:t>
      </w:r>
      <w:r>
        <w:t xml:space="preserve"> frente a 401,43 · Rentabilidad a 12 meses </w:t>
      </w:r>
      <w:r>
        <w:rPr>
          <w:b/>
          <w:bCs/>
        </w:rPr>
        <w:t xml:space="preserve">+10,9 % (base +16,9 %)</w:t>
      </w:r>
      <w:r>
        <w:t xml:space="preserve"> · Valor intrínseco 391,52 USD · con la prima implícita del mercado: 458,76 (+14,3 %) · Alcista / bajista +35,2 % / -35,4 %</w:t>
      </w:r>
    </w:p>
    <w:p>
      <w:pPr>
        <w:spacing w:after="100"/>
      </w:pPr>
      <w:r>
        <w:rPr>
          <w:b/>
        </w:rPr>
        <w:t xml:space="preserve">La recomendación y por qué.</w:t>
      </w:r>
      <w:r>
        <w:t xml:space="preserve"> Mantener, con convicción baja. El objetivo a 12 meses es de 436,07 USD frente a un precio de 401,43 (cierre del 16-oct-2026): una rentabilidad ponderada del +10,9 % con dividendo y del +16,9 % en el caso base, por debajo del 15 % que pide la compra. El valor intrínseco (391,52 USD) queda un 2,5 % por debajo del precio y el objetivo medio de los analistas (477,04) por encima de nuestro base. La razón: el 3T26 confirma la recuperación, pero el precio ya la paga. La convicción es baja porque las reglas discrepan (con la prima del mercado el valor sube a 458,76 USD y la rentabilidad al 16,5 %); la subiría una guía de 2027 por encima de 23,2 USD ajustado con el ratio de siniestralidad por debajo del 88 % sin reservas, o un precio por debajo de 387,07 USD.</w:t>
      </w:r>
    </w:p>
    <w:p>
      <w:pPr>
        <w:spacing w:after="100"/>
      </w:pPr>
      <w:r>
        <w:rPr>
          <w:b/>
        </w:rPr>
        <w:t xml:space="preserve">Qué ha cambiado desde el 12-oct.</w:t>
      </w:r>
      <w:r>
        <w:t xml:space="preserve"> El 3T26 batió (BPA ajustado 4,69 USD frente a 4,12) y la guía de 2026 subió a al menos 20,50 USD ajustado (19,50 GAAP); para 2027 la dirección apunta a la parte baja del 13-16 % de crecimiento [113, 114]. Subimos el margen de 2026e al 6,85 % y el BPA de 2028e de 23,45 a 24,10 USD; el DCF pasa de 415,08 a 434,34 USD y el valor intrínseco de 371,62 a 391,52. El precio sube un 5,8 %. El objetivo a 12 meses baja de 469,09 a 436,07 USD porque la historia del PER excluye ahora 2023 y 2024, años con BPA atípico (mediana de 23,7x a 19,4x); con ellos dentro la ponderada rondaría el 25 %, pero la señal no cambiaría.</w:t>
      </w:r>
    </w:p>
    <w:p>
      <w:pPr>
        <w:spacing w:after="100"/>
      </w:pPr>
      <w:r>
        <w:rPr>
          <w:b/>
        </w:rPr>
        <w:t xml:space="preserve">El negocio.</w:t>
      </w:r>
      <w:r>
        <w:t xml:space="preserve"> Es la mayor aseguradora de salud de EE. UU. y, con Optum, el mayor grupo de servicios sanitarios [18, 29]. Ganó un ROIC del 18-21 % en 2017-2023; en 2025 cayó al 12,5 %, solo 3,7 puntos sobre el WACC (8,80 %), por debajo de los 5 que exigimos. La calidad sostiene el crecimiento proyectado solo en parte: no necesita capital y el 3T26 demuestra poder de precios (ratio de siniestralidad −150 puntos básicos con ingresos planos), pero pierde cuota: −840.000 afiliados de Medicare Advantage en nueve meses [113].</w:t>
      </w:r>
    </w:p>
    <w:p>
      <w:pPr>
        <w:spacing w:after="100"/>
      </w:pPr>
      <w:r>
        <w:rPr>
          <w:b/>
        </w:rPr>
        <w:t xml:space="preserve">Equipo y gobierno.</w:t>
      </w:r>
      <w:r>
        <w:t xml:space="preserve"> Resta. Rotación casi total de la cúpula, presidente y CEO de 73 años con una opción de 60 M USD y un voto de remuneración del 60,0 % en 2025 [32, 40]. A favor, cuatro subidas de guía en 2026 tras incumplir la de 2025 [10, 113].</w:t>
      </w:r>
    </w:p>
    <w:p>
      <w:pPr>
        <w:spacing w:after="100"/>
      </w:pPr>
      <w:r>
        <w:rPr>
          <w:b/>
        </w:rPr>
        <w:t xml:space="preserve">Valoración.</w:t>
      </w:r>
      <w:r>
        <w:t xml:space="preserve"> El DCF da 434,34 USD; los escenarios ponderados, 417,63; el PER de los comparables, 296,18, y la suma de partes, 314,90. El DCF inverso dice que el precio descuenta un crecimiento del 3,5 % anual (frente a nuestro 4,6 %) o un margen EBITDA final del 7,6 % (frente a nuestro 8,0 %): rinde un 9,2 % anual, 0,4 puntos más que nuestro coste de capital. La distancia es de tasa de descuento, no de cifras: nuestro BPA de 2028e queda un 4,7 % por debajo del consenso.</w:t>
      </w:r>
    </w:p>
    <w:p>
      <w:pPr>
        <w:spacing w:after="100"/>
      </w:pPr>
      <w:r>
        <w:rPr>
          <w:b/>
        </w:rPr>
        <w:t xml:space="preserve">Riesgos y catalizadores.</w:t>
      </w:r>
      <w:r>
        <w:t xml:space="preserve"> El ratio de siniestralidad es la palanca: cada punto de margen EBITDA vale unos 75 USD, y el bajista (margen del 6,5 %) lleva a 259,22 USD. El 3T26 lleva 610 M de reservas favorables y la tendencia comercial supera el 11 % [113, 114]. Las investigaciones del DOJ siguen abiertas y sin fecha [30]. Catalizadores: legislativas del 3-nov, guía de 2027 antes de fin de año, resultados hacia el 20-ene y aviso de tarifas de 2028 a finales de enero.</w:t>
      </w:r>
    </w:p>
    <w:p>
      <w:pPr>
        <w:spacing w:after="100"/>
      </w:pPr>
      <w:r>
        <w:rPr>
          <w:b/>
        </w:rPr>
        <w:t xml:space="preserve">Qué cambiaría la decisión.</w:t>
      </w:r>
      <w:r>
        <w:t xml:space="preserve"> Compraríamos por debajo de 387,07 USD solo si además la sostenibilidad pasara a «Sí» y el ROIC recuperara 5 puntos sobre el WACC; venderíamos por encima de 494,59. Pasaríamos a Vender si el ratio de siniestralidad supera el 89 % sin reservas o el DOJ presenta cargos.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436,07 USD</w:t>
      </w:r>
      <w:r>
        <w:t xml:space="preserve"> (rentabilidad +10,9 % (base +16,9 %)) · Valor intrínseco: 391,52 USD (-2,5 % sobre 401,43) · con la prima implícita del mercado: 458,76 (+14,3 %)</w:t>
      </w:r>
    </w:p>
    <w:p>
      <w:pPr>
        <w:spacing w:after="100"/>
      </w:pPr>
      <w:r>
        <w:t xml:space="preserve">UnitedHealth es la mayor empresa sanitaria de EE. UU.: 447.567 M USD de ingresos en 2025 y, con Optum, el mayor gestor de consultas médicas, de tecnología sanitaria y uno de los tres grandes gestores de farmacia [1, 18]. Su valor está en la integración: cobra primas antes de pagar, apenas invierte (capex del 0,7 % de las ventas en 2026) y durante años convirtió eso en un ROIC del 18-21 %. En 2025 la subida del coste médico llevó el ratio de siniestralidad al 89,1 %; en nueve meses de 2026 ha bajado al 86,3 % y el resultado operativo ha subido un 27 % [1, 113].</w:t>
      </w:r>
    </w:p>
    <w:p>
      <w:pPr>
        <w:spacing w:after="100"/>
      </w:pPr>
      <w:r>
        <w:t xml:space="preserve">A 401,43 USD el precio descuenta una recuperación parcial: un margen EBITDA final del 7,6 %, frente al 6,85 % de 2026e y el 9,1-9,8 % de 2019-2024, o un crecimiento del 3,5 % anual. Cotiza a 18,9 veces el beneficio de los próximos doce meses, con una prima del 35 % sobre la mediana de sus comparables (14,0x).</w:t>
      </w:r>
    </w:p>
    <w:p>
      <w:pPr>
        <w:spacing w:after="100"/>
      </w:pPr>
      <w:r>
        <w:t xml:space="preserve">El mercado acierta en lo esencial. Nuestras cifras de 2026-2028 están cerca del consenso y el valor que sale de ellas (434,34 USD en el DCF, 391,52 en la síntesis) rodea el precio. Para invertir hay que creer que el ratio de siniestralidad se queda por debajo del 88 % sin reservas con una tendencia comercial superior al 11 %, que las tarifas de Medicare Advantage de 2028 no castigan y que el DOJ cierra sin cambiar la codificación. Es posible, pero ya está en el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17,05 = 260,87 · 19,1x × 24,10 = 460,31 · 19,4x × 29,01 = 562,79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 16,9 %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477,04 (nuestro base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391,52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 / -35,4 %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 frente a 8,8 %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458,76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 frente a 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387,07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387,07 y 494,59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494,59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cae por debajo de 387,07 USD con la sostenibilidad en «Sí» y el ROIC 5 puntos por encima del WACC, pasaríamos a Comprar.</w:t>
      </w:r>
    </w:p>
    <w:p>
      <w:pPr>
        <w:pStyle w:val="ListParagraph"/>
        <w:numPr>
          <w:ilvl w:val="0"/>
          <w:numId w:val="2"/>
        </w:numPr>
        <w:spacing w:after="60"/>
      </w:pPr>
      <w:r>
        <w:t xml:space="preserve">Si la guía de 2027 da un BPA ajustado por encima de 24 USD con el ratio de siniestralidad por debajo del 87,5 %, revisaríamos el objetivo al alza.</w:t>
      </w:r>
    </w:p>
    <w:p>
      <w:pPr>
        <w:pStyle w:val="ListParagraph"/>
        <w:numPr>
          <w:ilvl w:val="0"/>
          <w:numId w:val="2"/>
        </w:numPr>
        <w:spacing w:after="60"/>
      </w:pPr>
      <w:r>
        <w:t xml:space="preserve">Si el ratio de siniestralidad del 4T26 o del 1T27 supera el 89 % sin reservas, o hay desarrollo desfavorable, pasaríamos a Vender.</w:t>
      </w:r>
    </w:p>
    <w:p>
      <w:pPr>
        <w:pStyle w:val="ListParagraph"/>
        <w:numPr>
          <w:ilvl w:val="0"/>
          <w:numId w:val="2"/>
        </w:numPr>
        <w:spacing w:after="60"/>
      </w:pPr>
      <w:r>
        <w:t xml:space="preserve">Si el DOJ presenta cargos penales o impone cambios en la codificación de riesgo de Medicare Advantage, pasaríamos a Vender.</w:t>
      </w:r>
    </w:p>
    <w:p>
      <w:pPr>
        <w:pStyle w:val="ListParagraph"/>
        <w:numPr>
          <w:ilvl w:val="0"/>
          <w:numId w:val="2"/>
        </w:numPr>
        <w:spacing w:after="60"/>
      </w:pPr>
      <w:r>
        <w:t xml:space="preserve">Si el precio supera 494,59 USD, venderíamos.</w:t>
      </w:r>
    </w:p>
    <w:p>
      <w:pPr>
        <w:pStyle w:val="Heading2"/>
      </w:pPr>
      <w:r>
        <w:t xml:space="preserve">Dónde discrepamos del mercado</w:t>
      </w:r>
    </w:p>
    <w:p>
      <w:pPr>
        <w:keepNext/>
        <w:spacing w:after="100"/>
      </w:pPr>
      <w:r>
        <w:rPr>
          <w:b/>
          <w:bCs/>
        </w:rPr>
        <w:t xml:space="preserve">Lo que descuenta el precio.</w:t>
      </w:r>
    </w:p>
    <w:p>
      <w:pPr>
        <w:spacing w:after="100"/>
      </w:pPr>
      <w:r>
        <w:t xml:space="preserve">Un margen EBITDA final del 7,6 % y un crecimiento del 3,5 % anual en 2027-2032: la guía de 2026, el 13 % de crecimiento de 2027 y algo más, pero no la vuelta a los márgenes previos a 2025. Los analistas van más allá: 22 de 26 recomiendan comprar con un objetivo medio de 477,04 USD [67].</w:t>
      </w:r>
    </w:p>
    <w:p>
      <w:pPr>
        <w:keepNext/>
        <w:spacing w:after="100"/>
      </w:pPr>
      <w:r>
        <w:rPr>
          <w:b/>
          <w:bCs/>
        </w:rPr>
        <w:t xml:space="preserve">Lo que creemos nosotros.</w:t>
      </w:r>
    </w:p>
    <w:p>
      <w:pPr>
        <w:spacing w:after="100"/>
      </w:pPr>
      <w:r>
        <w:t xml:space="preserve">Coincidimos con la recuperación (margen del 8,0 % en 2030) pero no con el objetivo de los analistas: con un coste de capital del 8,80 %, la recuperación esperada ya vale lo que cuesta. Nuestro objetivo a 12 meses (436,07 USD) aplica un PER parecido al de hoy a un BPA de 2028e un 4,7 % menor que el del consenso.</w:t>
      </w:r>
    </w:p>
    <w:p>
      <w:pPr>
        <w:keepNext/>
        <w:spacing w:after="100"/>
      </w:pPr>
      <w:r>
        <w:rPr>
          <w:b/>
          <w:bCs/>
        </w:rPr>
        <w:t xml:space="preserve">Por qué podemos tener razón.</w:t>
      </w:r>
    </w:p>
    <w:p>
      <w:pPr>
        <w:spacing w:after="100"/>
      </w:pPr>
      <w:r>
        <w:t xml:space="preserve">La beta de la acción (0,53) y la prima implícita del mercado (4,20 %) dan una tasa de descuento del 7,9 % que no recoge el riesgo regulatorio y legal específico de Medicare Advantage. Y el 3T26 tiene una parte no repetible: 610 M de reservas favorables, cerca de 0,7 USD por acción de resultado antes de impuestos.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01,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Cuarta subida de la guía</w:t>
      </w:r>
      <w:r>
        <w:t xml:space="preserve">: BPA ajustado de 2026 de al menos 20,50 USD, desde más de 17,75 en enero [113].</w:t>
      </w:r>
    </w:p>
    <w:p>
      <w:pPr>
        <w:pStyle w:val="ListParagraph"/>
        <w:numPr>
          <w:ilvl w:val="0"/>
          <w:numId w:val="2"/>
        </w:numPr>
        <w:spacing w:after="60"/>
      </w:pPr>
      <w:r>
        <w:rPr>
          <w:b/>
        </w:rPr>
        <w:t xml:space="preserve">2027 cuantificado</w:t>
      </w:r>
      <w:r>
        <w:t xml:space="preserve">: la dirección apunta a crecer en la parte baja del 13-16 % (≈ 23,2 USD) [114].</w:t>
      </w:r>
    </w:p>
    <w:p>
      <w:pPr>
        <w:pStyle w:val="ListParagraph"/>
        <w:numPr>
          <w:ilvl w:val="0"/>
          <w:numId w:val="2"/>
        </w:numPr>
        <w:spacing w:after="60"/>
      </w:pPr>
      <w:r>
        <w:rPr>
          <w:b/>
        </w:rPr>
        <w:t xml:space="preserve">Optum se recupera</w:t>
      </w:r>
      <w:r>
        <w:t xml:space="preserve">: Optum Health pasa de 41 M a 735 M de resultado trimestral y apunta a un 6-8 % de margen en 2028 [113, 114].</w:t>
      </w:r>
    </w:p>
    <w:p>
      <w:pPr>
        <w:pStyle w:val="ListParagraph"/>
        <w:numPr>
          <w:ilvl w:val="0"/>
          <w:numId w:val="2"/>
        </w:numPr>
        <w:spacing w:after="60"/>
      </w:pPr>
      <w:r>
        <w:rPr>
          <w:b/>
        </w:rPr>
        <w:t xml:space="preserve">Caja fuerte</w:t>
      </w:r>
      <w:r>
        <w:t xml:space="preserve">: flujo operativo de 25.087 M en nueve meses, 1,2 veces el beneficio [113].</w:t>
      </w:r>
    </w:p>
    <w:p>
      <w:pPr>
        <w:pStyle w:val="ListParagraph"/>
        <w:numPr>
          <w:ilvl w:val="0"/>
          <w:numId w:val="2"/>
        </w:numPr>
        <w:spacing w:after="60"/>
      </w:pPr>
      <w:r>
        <w:rPr>
          <w:b/>
        </w:rPr>
        <w:t xml:space="preserve">Con la prima del mercado</w:t>
      </w:r>
      <w:r>
        <w:t xml:space="preserve"> el valor sube a 458,76 USD y la rentabilidad al 16,5 %.</w:t>
      </w:r>
    </w:p>
    <w:p>
      <w:pPr>
        <w:pStyle w:val="Heading2"/>
      </w:pPr>
      <w:r>
        <w:t xml:space="preserve">En contra</w:t>
      </w:r>
    </w:p>
    <w:p>
      <w:pPr>
        <w:pStyle w:val="ListParagraph"/>
        <w:numPr>
          <w:ilvl w:val="0"/>
          <w:numId w:val="2"/>
        </w:numPr>
        <w:spacing w:after="60"/>
      </w:pPr>
      <w:r>
        <w:rPr>
          <w:b/>
        </w:rPr>
        <w:t xml:space="preserve">El precio ya paga la recuperación</w:t>
      </w:r>
      <w:r>
        <w:t xml:space="preserve">: valor intrínseco de 391,52 USD, un 2,5 % por debajo del precio.</w:t>
      </w:r>
    </w:p>
    <w:p>
      <w:pPr>
        <w:pStyle w:val="ListParagraph"/>
        <w:numPr>
          <w:ilvl w:val="0"/>
          <w:numId w:val="2"/>
        </w:numPr>
        <w:spacing w:after="60"/>
      </w:pPr>
      <w:r>
        <w:rPr>
          <w:b/>
        </w:rPr>
        <w:t xml:space="preserve">ROIC solo 3,7 puntos sobre el WACC</w:t>
      </w:r>
      <w:r>
        <w:t xml:space="preserve">: 12,5 % frente a 8,80 %.</w:t>
      </w:r>
    </w:p>
    <w:p>
      <w:pPr>
        <w:pStyle w:val="ListParagraph"/>
        <w:numPr>
          <w:ilvl w:val="0"/>
          <w:numId w:val="2"/>
        </w:numPr>
        <w:spacing w:after="60"/>
      </w:pPr>
      <w:r>
        <w:rPr>
          <w:b/>
        </w:rPr>
        <w:t xml:space="preserve">Riesgo legal abierto</w:t>
      </w:r>
      <w:r>
        <w:t xml:space="preserve">: investigaciones penal y civil del DOJ, sin cuantificar [30].</w:t>
      </w:r>
    </w:p>
    <w:p>
      <w:pPr>
        <w:pStyle w:val="ListParagraph"/>
        <w:numPr>
          <w:ilvl w:val="0"/>
          <w:numId w:val="2"/>
        </w:numPr>
        <w:spacing w:after="60"/>
      </w:pPr>
      <w:r>
        <w:rPr>
          <w:b/>
        </w:rPr>
        <w:t xml:space="preserve">Pierde cuota</w:t>
      </w:r>
      <w:r>
        <w:t xml:space="preserve">: −840.000 afiliados de Medicare Advantage en nueve meses [113].</w:t>
      </w:r>
    </w:p>
    <w:p>
      <w:pPr>
        <w:pStyle w:val="ListParagraph"/>
        <w:numPr>
          <w:ilvl w:val="0"/>
          <w:numId w:val="2"/>
        </w:numPr>
        <w:spacing w:after="60"/>
      </w:pPr>
      <w:r>
        <w:rPr>
          <w:b/>
        </w:rPr>
        <w:t xml:space="preserve">Resultados con ayuda de reservas</w:t>
      </w:r>
      <w:r>
        <w:t xml:space="preserve">: 610 M favorables en el 3T26 [113].</w:t>
      </w:r>
    </w:p>
    <w:p>
      <w:pPr>
        <w:pStyle w:val="ListParagraph"/>
        <w:numPr>
          <w:ilvl w:val="0"/>
          <w:numId w:val="2"/>
        </w:numPr>
        <w:spacing w:after="60"/>
      </w:pPr>
      <w:r>
        <w:rPr>
          <w:b/>
        </w:rPr>
        <w:t xml:space="preserve">Bajista profundo</w:t>
      </w:r>
      <w:r>
        <w:t xml:space="preserve">: −35,4 % si el margen se queda en el 6,5 %.</w:t>
      </w:r>
    </w:p>
    <w:p>
      <w:pPr>
        <w:pStyle w:val="Heading2"/>
      </w:pPr>
      <w:r>
        <w:t xml:space="preserve">Qué tiene que pasar para que la tesis funcione</w:t>
      </w:r>
    </w:p>
    <w:p>
      <w:pPr>
        <w:spacing w:after="100"/>
      </w:pPr>
      <w:r>
        <w:t xml:space="preserve">La tesis depende de que el ratio de siniestralidad se quede por debajo del 88 % por precios y prestaciones, no por reservas, con una tendencia comercial que ya supera el 11 %. La señal de que no se cumple: un ratio trimestral por encima del 89 % sin desarrollo favorable, o una guía de 2027 por debajo de 22,50 USD ajustado. La segunda condición es regulatoria: el aviso de tarifas de Medicare Advantage de 2028 (finales de enero de 2027) por encima del +2 %.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siniestralidad (MCR)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 (3T26); 86,3 % en nueve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89 % trimestral sin reservas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vale ≈ 75 USD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de reservas de periodos anteriores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M favorables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Desfavorable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mejora real de la contable.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Afiliados de Medicare Advantage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M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BPA ajustado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23,2 USD (parte baja del 13-16 %)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22,50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base del BPA de 2028e del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Aviso de tarifas de Medicare Advantage 2028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 en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paga el 44 % de los ingresos del grupo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 / 13,3x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22,9x / 18,9x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UnitedHealth nace de Charter Med, fundada en Minnesota por Richard Taylor Burke; en 1977 se crea United HealthCare Corporation para comprarla, sale a bolsa en 1984 y adopta el nombre de UnitedHealth Group en 1998 [33]. Crece por adquisiciones en seguro (PacifiCare, 2005) y, desde 2011, construye Optum: servicios de salud, datos y farmacia. Las grandes compras de la última década son Catamaran (2015, 14.300 M USD en efectivo con su deuda), DaVita Medical Group (2019, 4.300 M), Change Healthcare (octubre de 2022) y Amedisys (cerrada el 14-ago-2025) [2, 11, 33, 36]. En 2024 vende Brasil y sufre el ciberataque de Change Healthcare; en 2025 el beneficio operativo cae un 41 % por el coste médico y los recortes de Medicare Advantage, Andrew Witty deja la empresa y Stephen Hemsley vuelve como consejero delegado en mayo de 2025 [1, 31,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crea United HealthCare Corporation para comprar Charter Med, fundada por Richard Taylor Burke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UnitedHealth Group y reorganización en negocios independientes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PacifiCare Health Systems, que refuerza Medicare en el oeste de EE. UU.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marca Optum, que agrupa servicios de salud, tecnología y farmacia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Optum Rx compra Catamaran (23-jul-2015) por 14.300 M USD en efectivo, incluida la amortización de su deuda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Optum compra DaVita Medical Group por 4.300 M USD, base de la atención primaria de Optum Health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Change Healthcare (octubre), cámara de compensación de reclamaciones que pasa a Optum Insight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Ciberataque a Change Healthcare (21-feb): unos 190 M de personas afectadas y 2.200 M USD de costes directos en el año; venta de Brasil (Amil) con pérdida contable de 8.310 M por ventas de filiales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Andrew Witty y vuelta de Stephen Hemsley como consejero delegado (mayo); el DOJ abre investigaciones penal y civil sobre Medicare Advantage (julio); cierre de Amedisys (agosto); MCR del 89,1 % y beneficio operativo de 18.964 M (−41 %) [1, 11, 30, 31,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fija la subida de tarifas de Medicare Advantage para 2027 en el 2,48 % tras proponer un 0,09 % en enero; UnitedHealth recorta 785.000 afiliados de Medicare Advantage en un año para recuperar margen [5, 25, 26].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UnitedHealth es el mayor grupo de salud de EE. UU. por ingresos (447.567 M USD en 2025) y tiene dos negocios [1]. </w:t>
      </w:r>
      <w:r>
        <w:rPr>
          <w:b/>
        </w:rPr>
        <w:t xml:space="preserve">UnitedHealthcare</w:t>
      </w:r>
      <w:r>
        <w:t xml:space="preserve"> asegura a 49,8 M de personas (dic-2025): seguro de empresa e individual (29,7 M, de ellos 21,5 M en contratos de solo administración), Medicare Advantage (8,4 M), Medicaid gestionado (7,4 M) y Medicare Supplement (4,3 M), además de 2,8 M en planes de farmacia Part D independientes [1]. </w:t>
      </w:r>
      <w:r>
        <w:rPr>
          <w:b/>
        </w:rPr>
        <w:t xml:space="preserve">Optum</w:t>
      </w:r>
      <w:r>
        <w:t xml:space="preserve"> tiene tres segmentos: Optum Health (médicos propios y atención basada en valor, cirugía, atención domiciliaria; 101.957 M de ingresos), Optum Insight (datos, software, gestión de ciclo de ingresos y la cámara de compensación de Change Healthcare; 19.417 M y una cartera de pedidos de 31.100 M) y Optum Rx (gestor de beneficios de farmacia con unas 64.000 farmacias en red y 188.000 M de gasto en fármacos gestionado; 154.726 M) [1]. Tiene más de 390.000 empleados, unos 165.000 de ellos clínicos [1].</w:t>
      </w:r>
    </w:p>
    <w:p>
      <w:pPr>
        <w:pStyle w:val="Heading2"/>
      </w:pPr>
      <w:r>
        <w:t xml:space="preserve">Cómo gana dinero</w:t>
      </w:r>
    </w:p>
    <w:p>
      <w:pPr>
        <w:spacing w:after="100"/>
      </w:pPr>
      <w:r>
        <w:t xml:space="preserve">Casi el 80 % de los ingresos son primas de productos con riesgo: la empresa cobra una cuota mensual fija por afiliado, normalmente por un año, y paga los siniestros [1]. El margen depende del ratio de siniestralidad (MCR: 89,1 % en 2025 frente al 85,5 % de 2024) y del ratio de costes operativos (13,3 %) [1]. Un punto de MCR sobre 352.229 M de primas son unos 3.500 M de beneficio operativo (estimación propia). Las primas se fijan con un año de antelación (Medicare Advantage con las tarifas de CMS de abril y las pujas de junio), así que un repunte imprevisto de la utilización no se recupera hasta el ejercicio siguiente [1, 5]. Optum cobra comisiones y precios de servicio, en buena parte a UnitedHealthcare: las eliminaciones entre segmentos fueron 173.436 M en 2025 [1]. Optum Rx gana con márgenes estrechos (4,6 %) sobre un volumen muy alto; Optum Insight es el negocio de más margen (13,5 %) [1]. Los ingresos por inversiones de las reservas sumaron 3.920 M en 2025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344.903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Health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Insight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Rx</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-173.436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344.903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Health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Insight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Rx</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-111.107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primer cliente es el Estado federal: las primas de CMS (Medicare) fueron el 44 % de los ingresos consolidados en 2025, frente al 40 % en 2024 y 2023 [1]. Los contratos con riesgo se renuevan cada año, y en Medicare Advantage el precio lo marca la tarifa de CMS: la empresa ajusta prestaciones y condados en cada puja [5]. En 2026 ha elegido margen frente a volumen: los afiliados de Medicare Advantage bajaron de 8,35 M a 7,57 M (−9 %) entre junio de 2025 y junio de 2026, los de comercial con riesgo un 9 % y los de Medicaid un 9 % (salida de un estado) [5]. En comercial crece el negocio sin riesgo (21,5 M de afiliados en contratos de administración frente a 8,2 M con riesgo) [1]. Además, se ha comprometido a devolver a los clientes el beneficio de 2026 del seguro individual del ACA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Personas atendidas por UnitedHealthcare (médico,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49.760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48.300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 en nueve meses; −1.825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sobre todo lo asegurado con riesgo: Medicare Advantage, Medicaid y comercial con riesgo [113].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Medicare Advantage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7.605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en nueve meses; −830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cuenta −935.000 mayores desde diciembre incluyendo los programas de Medicaid para pacientes complejos [113].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Medicaid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7.380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6.695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elegibilidad de los estados [113].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 con riesgo / autofinanciado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8.165 / 21.485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7.575 / 22.180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 +695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hacia servicios sin riesgo; −165.000 en el 3T por bajas de empresas [113].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siniestralidad (MCR)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89,9 % (3T25); 88,1 %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 (3T26); 86,3 %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pb en el trimestre; −180 pb en nueve meses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3T26 incluye 610 M de desarrollo favorable de reservas de 2026 [113].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Personas atendidas por Optum Health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3T26 −10 % por menos pacientes en asistencia basada en valor [113].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Recetas ajustadas de Optum Rx por trimestre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afiliados en UnitedHealthcare y en otros clientes [113].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Días de siniestros pendientes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en el 2T26: las reservas no se han adelgazado para mejorar el resultado [113].</w:t>
            </w:r>
          </w:p>
        </w:tc>
      </w:tr>
    </w:tbl>
    <w:p>
      <w:pPr>
        <w:spacing w:after="160" w:before="0"/>
      </w:pPr>
    </w:p>
    <w:p>
      <w:pPr>
        <w:pStyle w:val="Heading1"/>
      </w:pPr>
      <w:r>
        <w:t xml:space="preserve">3. Sector y mercado</w:t>
      </w:r>
    </w:p>
    <w:p>
      <w:pPr>
        <w:pStyle w:val="Confianza"/>
        <w:spacing w:after="100"/>
      </w:pPr>
      <w:r>
        <w:t xml:space="preserve">Confianza: Alta</w:t>
      </w:r>
    </w:p>
    <w:p>
      <w:pPr>
        <w:spacing w:after="100"/>
      </w:pPr>
      <w:r>
        <w:t xml:space="preserve">El mercado relevante es el gasto sanitario de EE. UU., donde UnitedHealth cobra primas y servicios: las cuentas nacionales de salud de CMS (National Health Expenditures) lo miden en 5,28 billones de USD en 2024 [15]. Dentro de él, los subsectores de UnitedHealth son el seguro privado (1,64 billones en 2024), Medicare (1,12 billones, del que Medicare Advantage cubre al 55 % de los beneficiarios elegibles en 2026) y Medicaid (0,93 billones), además de los fármacos de receta (467.000 M) que intermedian los gestores de farmacia [15, 18]. Se usa la serie oficial de la Oficina del Actuario de CMS [17]; la segunda fuente, la propia UnitedHealth, sitúa el gasto sanitario en el 19 % del PIB en 2025 [1], frente al 18,0 % de 2024 de CMS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5,28 billones de USD en 2024 (18,0 % del PIB) y 5,66 billones estimados en 2025; CMS proyecta 9,0 billones en 2034 [15, 16,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paso a Medicare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población de 65 años o más crece un 2,8 % en 2025 y un 2,7 % en 2026; CMS prevé que el gasto de Medicare crezca un 7,7 % anual en 2025-34, frente al 5,0 % del seguro privado [16,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Medicare Advantage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55 % de los beneficiarios elegibles (35,2 M) está en Medicare Advantage en 2026, frente al 19 % en 2007; la CBO prevé el 63 % en 2034, aunque el crecimiento se frena (+3 % en 2026)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 y coste médico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subió el ratio de siniestralidad de todo el sector: UnitedHealth del 85,5 % al 89,1 %, Elevance del 88,5 % al 90,0 %, Centene del 88,3 % al 91,9 % y Molina del 89,1 % al 91,7 % [1, 19, 23, 24]. CMS prevé que el gasto se modere del 7,3 % en 2025 al 6,3 % en 2026 por menor utilización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Medicare Advantage y ajuste por riesgo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pagos del 5,06 % en 2026 y del 2,48 % en 2027 (4,98 % con la tendencia de puntuaciones de riesgo); la revisión del modelo de riesgo resta un 1,12 % en 2027 y la exclusión de diagnósticos de revisiones de historias no vinculadas, un 1,53 % [25,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Medicaid y fin de los subsidios reforzados del ACA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CMS prevé 3,7 M menos de asegurados en compra directa en 2026 por el fin de los subsidios reforzados y 2,6 M menos en Medicaid en 2027-28 por los requisitos de la ley OBBBA; el seguro de la población baja del 91,8 % en 2024 al 90,4 % en 2028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Fármacos de especialidad y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en fármacos de receta crece un 11,1 % en 2025 (518.700 M) por diabetes y obesidad [16]; más volumen para los gestores de farmacia y más coste para las aseguradoras. Optum Rx gestionó 87.000 M en especialidad en 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afiliados cambian de aseguradora cada año: en Medicare Advantage Humana ganó 1,3 M de afiliados en 2026 y UnitedHealth perdió 647.000 [18]. Los márgenes operativos de 2025 fueron bajos: del −3,9 % de Centene al 4,2 % de UnitedHealth [1, 19, 20, 21, 22, 23,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fija el precio en Medicare y Medicaid: CMS propuso una subida de solo el 0,09 % para 2027 y es el 44 % de los ingresos de UnitedHealth [1, 26]. Las grandes empresas se autoaseguran: 21,5 M de los 29,7 M de afiliados comerciales de UnitedHealth están en contratos de solo administración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hospitalario creció un 8,9 % en 2024 [15]. UnitedHealth atribuye el coste comercial elevado a precios de los proveedores, servicios agrupados por visita y al arbitraje de la ley No Surprises [5]. Los laboratorios fijan el precio de los fármacos de especialidad.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capital regulado, redes de proveedores y escala: los cinco mayores tienen el 57 % del seguro comercial y en el 97 % de las áreas metropolitanas el mercado está muy concentrado [29]. Hay entrantes en Medicare Advantage: Devoted Health ganó 258.000 afiliados en 2026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de Medicare Advantage es Medicare tradicional (el 45 % de los elegibles sigue en él) [18]; el del seguro con riesgo, el autoaseguramiento de la empresa, que UnitedHealth también administra [1].</w:t>
            </w:r>
          </w:p>
        </w:tc>
      </w:tr>
    </w:tbl>
    <w:p>
      <w:pPr>
        <w:spacing w:after="160" w:before="0"/>
      </w:pPr>
    </w:p>
    <w:p>
      <w:pPr>
        <w:pStyle w:val="Heading2"/>
      </w:pPr>
      <w:r>
        <w:t xml:space="preserve">Ciclo</w:t>
      </w:r>
    </w:p>
    <w:p>
      <w:pPr>
        <w:spacing w:after="100"/>
      </w:pPr>
      <w:r>
        <w:t xml:space="preserve">El sector viene de un ciclo de siniestralidad alta: en 2025 el ratio de siniestralidad subió entre 1,5 y 3,6 puntos en las grandes aseguradoras y Centene registró un deterioro de 6.700 M [1, 19, 23, 24]. En 2026 las primas se han subido y se han recortado prestaciones y afiliados: el MCR de UnitedHealth bajó al 86,7 % en el 2T26 con 860 M de desarrollo favorable de ejercicios anteriores [5, 8]. En 2020 la utilización se hundió (el gasto del seguro privado creció solo un 0,4 %) y repuntó en 2023 (+11,2 %) [17]. La serie de CMS no cubre 2008-09.</w:t>
      </w:r>
    </w:p>
    <w:p>
      <w:pPr>
        <w:pStyle w:val="Heading2"/>
      </w:pPr>
      <w:r>
        <w:t xml:space="preserve">Regulación</w:t>
      </w:r>
    </w:p>
    <w:p>
      <w:pPr>
        <w:spacing w:after="100"/>
      </w:pPr>
      <w:r>
        <w:t xml:space="preserve">Medicare Advantage: CMS subió los pagos un 5,06 % para 2026 (más de 25.000 M) y, tras proponer un 0,09 % el 26-ene-2026, fijó un 2,48 % para 2027 el 6-abr-2026 (más de 13.000 M; 4,98 % con la tendencia de riesgo); renunció al nuevo modelo de riesgo de 2027 y mantiene el de 2024 (V28), pero excluye diagnósticos de revisiones de historias no vinculadas [25, 26, 27]. Farmacia: la ley de presupuestos firmada a principios de febrero de 2026 desvincula la remuneración de los gestores de farmacia del precio de los fármacos en Part D y obliga a trasladar los descuentos [34]. ACA: expiraron los subsidios reforzados (−3,7 M asegurados en 2026) [16]. Medicaid: la ley OBBBA limita impuestos a proveedores y pagos dirigidos y exige requisitos de trabajo [16].</w:t>
      </w:r>
    </w:p>
    <w:p>
      <w:pPr>
        <w:pStyle w:val="Heading2"/>
      </w:pPr>
      <w:r>
        <w:t xml:space="preserve">Tendencias y disrupción</w:t>
      </w:r>
    </w:p>
    <w:p>
      <w:pPr>
        <w:spacing w:after="100"/>
      </w:pPr>
      <w:r>
        <w:t xml:space="preserve">Tres tendencias pesan en las cifras. Primera, la integración vertical: aseguradora, gestor de farmacia y médicos propios en un mismo grupo (UnitedHealth con Optum, CVS con Aetna y Caremark, Cigna con Express Scripts); es la base del modelo de UnitedHealth, pero atrae la regulación de los gestores de farmacia [34]. Segunda, el paso de pago por acto a atención basada en valor, que en 2025 dio pérdidas a Optum Health (−278 M) por la reducción de las tarifas de Medicare [1]. Tercera, la caída de la cuota de los grandes en Medicare Advantage frente a Humana, Kaiser y aseguradoras nuevas (Devoted, SCAN) [18]. La inteligencia artificial y la regulación de datos aparecen como riesgo y oportunidad en el 10-K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Medicare Advantage en EE. UU. (26 % de los afiliados en 2026, 9,3 M; 29 % en 2025) [18]. También 1.º en seguro comercial (16 % nacional en 2024) [29] y 3.º gestor de farmacia con Optum Rx (≈23 % de las recetas equivalentes de 2025; estimación propia: 1.659 M de recetas sobre un mercado de ≈7.220 M, deducido de que los tres mayores procesan el 80 %) [28]. Sus ingresos de 2025 equivalen al 7,9 % del gasto sanitario nacional estimado (estimación propia) [1,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CVS Health (Aetna, CVS Caremark)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integrado como UnitedHealth: aseguradora (26,6 M de afiliados médicos, MBR del 91,2 %), Caremark (1.900,7 M de recetas) y farmacias. Beneficio operativo de 4.660 M en 2025. Cuota en Medicare Advantage [18,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Cigna Group (Express Scripts, Evernorth)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gestión de farmacia: Express Scripts procesó 2.220 M de recetas en 2025 (≈31 % del mercado, estimación propia) [28]. Vendió Medicare Advantage a HCSC; 18,1 M de clientes médicos y MCR del 84,4 % en Cigna Healthcare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Elevance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en seguro comercial (12 %), con marcas Blue Cross Blue Shield; 45,2 M de afiliados médicos y ratio de prestaciones del 90,0 % en 2025. Margen calculado como beneficio antes de impuestos más intereses (8.112 M) [19,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Centene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Medicaid gestionado y en el seguro individual del ACA; 27,6 M de afiliados y HBR del 91,9 %. Pérdida operativa de 7.623 M en 2025 por un deterioro de fondo de comercio de 6.700 M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en Medicare Advantage y el que más crece (+1,3 M de afiliados en 2026) [18]. Ratio de prestaciones del 90,2 % y 15,0 M de afiliados médicos en 2025; CenterWell (atención primaria y domiciliaria) compite con Optum Health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Molina Healthcare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Medicaid, Medicare y ACA; 5,5 M de afiliados y MCR del 91,7 % en 2025 (89,1 % en 2024); compite con Community &amp; State en concursos estatales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Change Healthcare conecta a pagadores y proveedores en la tramitación de reclamaciones, y la red de Optum Rx tiene unas 64.000 farmacias [1]; pero el afiliado no gana valor porque haya más afiliados.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contratos de Optum Insight duran varios años (cartera de 31.100 M) [1]; en cambio, los contratos de seguro se renuevan cada año y UnitedHealth perdió 647.000 afiliados de Medicare Advantage en 2026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aseguradora en todos los estados y contratos con CMS; la marca ha sufrido con el ciberataque, la investigación del DOJ y la polémica por las denegaciones [1,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8,1-8,7 % en 2023-24 y del 4,2 % en 2025, el más alto de las seis comparables en 2025 [1, 7-12]; su ratio de costes operativos (13,3 %) no es menor que el de Humana (12,0 %) ni el de Elevance (10,6 %) porque incluye los servicios de Optum [1, 7,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1.º en Medicare Advantage (26 %) y en seguro comercial (16 %), 49,8 M de afiliados médicos y 188.000 M de gasto en fármacos gestionado: escala para negociar con hospitales y laboratorios y repartir el coste de los datos [1, 6, 17].</w:t>
            </w:r>
          </w:p>
        </w:tc>
      </w:tr>
    </w:tbl>
    <w:p>
      <w:pPr>
        <w:spacing w:after="160" w:before="0"/>
      </w:pPr>
    </w:p>
    <w:p>
      <w:pPr>
        <w:pStyle w:val="Heading2"/>
      </w:pPr>
      <w:r>
        <w:t xml:space="preserve">Amenazas</w:t>
      </w:r>
    </w:p>
    <w:p>
      <w:pPr>
        <w:spacing w:after="100"/>
      </w:pPr>
      <w:r>
        <w:t xml:space="preserve">La amenaza más cercana es regulatoria: la revisión del ajuste por riesgo de Medicare Advantage (−1,12 % por el modelo y −1,53 % por las fuentes de diagnósticos en 2027) recorta justo los ingresos donde UnitedHealth es líder [25], y las investigaciones penal y civil del DOJ sobre su participación en Medicare siguen abiertas [30]. La ley de presupuestos de 2026 desvincula la remuneración de los gestores de farmacia del precio de los fármacos en Part D [34], y la integración de aseguradora y médicos propios (Optum Health) está en el punto de mira. En el mercado, Humana y aseguradoras nuevas ganan cuota en Medicare Advantage mientras UnitedHealth la cede al subir precios (del 29 % al 26 %) [18].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371.622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400.278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447.567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spacing w:after="100"/>
      </w:pPr>
      <w:r>
        <w:t xml:space="preserve">Crecimiento anual compuesto 2016-2025: ingresos </w:t>
      </w:r>
      <w:r>
        <w:rPr>
          <w:b/>
          <w:bCs/>
        </w:rPr>
        <w:t xml:space="preserve">10,3 %</w:t>
      </w:r>
      <w:r>
        <w:t xml:space="preserve">, EBITDA </w:t>
      </w:r>
      <w:r>
        <w:rPr>
          <w:b/>
          <w:bCs/>
        </w:rPr>
        <w:t xml:space="preserve">6,3 %</w:t>
      </w:r>
      <w:r>
        <w:t xml:space="preserve">, BPA </w:t>
      </w:r>
      <w:r>
        <w:rPr>
          <w:b/>
          <w:bCs/>
        </w:rPr>
        <w:t xml:space="preserve">6,9 %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184.840 M en 2016 a 447.567 M en 2025 (TCAC del 10,3 %), con compras cada año (de 1.760 M en 2016 a 21.458 M en 2022) [1, 2, 3, 4, 12]. El beneficio operativo creció hasta 32.358 M en 2023 (margen del 8,7 %) y cayó a 18.964 M en 2025 (4,2 %): el ratio de siniestralidad (MCR) subió de 83,2 % en 2023 a 85,5 % en 2024 y 89,1 % en 2025 por los recortes de financiación de Medicare Advantage, el efecto de la IRA en la Parte D, una tendencia de costes médicos elevada y menos desarrollo favorable de reservas (140 M en 2025 frente a 700 M en 2024) [1]. El ratio de costes operativos bajó de 15,4 % (2016) a 13,3 % (2025), en parte por la mezcla (Optum Rx y primas crecen más que los servicios) [1, 4]. Años no comparables: 2024 (pérdida por la venta de Brasil de 8.310 M por debajo del resultado operativo y efectos del ciberataque a Change Healthcare) y 2025 (cargo del 4T de 2.878 M antes de impuestos) [1, 10]. En el LTM a junio de 2026 el beneficio operativo vuelve a 21.676 M con un MCR del 85,3 % en el semestre [5].</w:t>
      </w:r>
    </w:p>
    <w:p>
      <w:pPr>
        <w:pStyle w:val="Heading2"/>
      </w:pPr>
      <w:r>
        <w:t xml:space="preserve">Ajustes y partidas no recurrentes</w:t>
      </w:r>
    </w:p>
    <w:p>
      <w:pPr>
        <w:spacing w:after="100"/>
      </w:pPr>
      <w:r>
        <w:t xml:space="preserve">Las cifras son las publicadas. El BPA ajustado de UNH excluye siempre la amortización de intangibles (1.700 M en 2025; unos 1.345 M previstos para 2026), que es recurrente, y además partidas puntuales [1, 8]. En 2025 el BPA ajustado fue 16,35 USD frente a 13,23 publicado; el cargo del 4T25 restó 2.878 M antes de impuestos (ciberataque 799 M, reestructuración y otros 2.521 M, desinversiones netas +442 M) y 1,78 USD por acción [10]. Dentro del resultado operativo quedaron 2.752 M (799 + 2.521 − 568 de ganancias de cartera en costes operativos), que se marcan como no recurrentes en 2025; el resultado operativo ajustado de la empresa fue 21.700 M [10]. En el LTM se netean además 153 M de reestructuración y −191 M de desinversiones del primer semestre de 2026 (2.714 M) [8]. En 2024 no se ajusta: los costes del ciberataque (unos 2.100 M de diferencia entre el resultado operativo ajustado de 34.400 M y el publicado de 32.287 M) quedan compensados por 3.300 M de ganancias por refinamiento de cartera registradas en costes operativos [1, 10]. Las pérdidas por ventas de filiales (8.310 M en 2024, 265 M en 2025) están por debajo del resultado operativo y van en el resultado financiero.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3T26 (13-oct-2026), Stephen Hemsley (presidente y consejero delegado) y Wayne DeVeydt (director financiero) presentaron un trimestre que batió con holgura: BPA ajustado de 4,69 USD frente a 4,12 esperados, ratio de siniestralidad del 88,4 % (89,9 % un año antes) y guía de 2026 subida por cuarta vez, a un BPA ajustado de al menos 20,50 USD [113, 114]. El mensaje nuevo es 2027: DeVeydt dijo que la guía de 2026 es «una base sólida sobre la que crecer» y que la parte baja del objetivo de crecimiento del 13-16 % es un punto de partida razonable para 2027, con una guía completa antes de fin de año [114]. Tim Noel (UnitedHealthcare) dijo que la tendencia de coste comercial supera el 11 % previsto y se estabiliza en niveles altos, y que los precios de 2027 suponen que sigue así; el margen de Medicare Advantage de 2026 quedará cerca del 4 % (techo del rango del 2-4 %) y el de Medicaid «algo mejor que el −1 %», con 2026 como suelo [114]. Optum Health apunta a un margen del 6-8 % en 2028 [114]. Frente al 2T26, el discurso pasa de defender la base de 2026 a cuantificar 2027. Los analistas preguntaron por Medicaid, el crecimiento de Medicare Advantage en 2027, el margen comercial y si la tendencia de coste se acelera; la dirección no dio afiliados de 2027, ni cuándo vuelve el margen comercial, ni cifras de la inversión del 4T en Optum Health, y no se habló del DOJ [114].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309.581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130.973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Change Healthcare y otras compras: 21.458 M pagados en efectivo en el año (frente a 4.821 M en 2021); el fondo de comercio pasa de 75.795 M a 93.352 M.; 2024: Venta de las operaciones de Brasil (6-feb-2024): pérdida de 7.100 M, 4.100 M de ella por diferencias de conversión acumuladas; sale del perímetro casi todo UnitedHealthcare Global.; 2025: Desconsolidación de un negocio de Optum Rx por cambio en los derechos de gobierno (ganancia de 1.700 M en costes operativos) y salidas y ventas de negocios de Optum Health clasificados como mantenidos para la venta.).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(papel comercial + bonos, valor contable) pasó de 32.970 M en 2016 a 78.389 M en 2025, con los saltos de 2022 (Change Healthcare) y 2024 (préstamos sin interés a proveedores tras el ciberataque y compras) [1, 2, 3, 4]. A 30-jun-2026 baja a 73.328 M (3.827 M a corto y 69.501 M a largo) tras amortizar 2.500 M de bonos y 2.313 M de papel comercial, y la ratio deuda/capital cae al 41,2 % desde el 43,9 % de cierre de 2025, con objetivo del ~40 % a final de 2026 [5, 8]. La nota de deuda da un total de 77.681 M en 2025 (76.180 M en 2024), algo menos que la suma del balance. El circulante es estructuralmente negativo (114.897 M de pasivo corriente frente a 90.582 M de activo): el flotante de reservas médicas y primas cobradas por anticipado financia el activo. Fondo de comercio e intangibles suman 130.973 M, el 42 % del activo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175.583</w:t>
      </w:r>
      <w:r>
        <w:t xml:space="preserve">, conversión </w:t>
      </w:r>
      <w:r>
        <w:rPr>
          <w:b/>
          <w:bCs/>
        </w:rPr>
        <w:t xml:space="preserve">121 %</w:t>
      </w:r>
      <w:r>
        <w:t xml:space="preserve"> del beneficio neto; adquisiciones 79.702, dividendos 50.351, recompras 51.575.</w:t>
      </w:r>
    </w:p>
    <w:p>
      <w:pPr>
        <w:spacing w:after="100"/>
      </w:pPr>
      <w:r>
        <w:t xml:space="preserve">El flujo operativo ha superado al beneficio neto todos los años (19.697 M frente a 12.056 M en 2025, 1,5 veces), porque el negocio asegurador cobra primas por anticipado y paga los siniestros con decalaje, y la amortización (4.361 M) supera al capex (3.622 M) [1, 10]. Años anómalos: 2024 (24.204 M) por las ayudas a proveedores tras el ciberataque a Change Healthcare (9.033 M de préstamos sin interés, de los que se devolvieron 4.514 M en 2024, 1.680 M en 2025 y 197 M en el 1S26), y 2025, apoyado en la venta de cuentas a cobrar y en cobros adelantados que la empresa esperaba para 2026 [1, 5, 10]. En el 1S26 el flujo operativo fue de 19.964 M por el calendario de un pago público importante; la guía de 2026 es de ~24.000 M [5, 8]. La empresa no separa el capex de mantenimiento y el de crecimiento; casi todo es software capitalizado y equipos (Optum Insight 1.170 M y Optum Health 1.237 M en 2025) [1]. Los intereses pagados (4.030 M en 2025) están en el flujo operativo [12].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 (Minneapolis)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audita a la compañía desde 2002 y su informe sobre 2025 (2-mar-2026) es favorable; la única cuestión clave de auditoría es la estimación de los siniestros incurridos y no comunicados (IBNR), que depende de factores de completitud y de tendencia de coste por miembro y mes [1]. El juicio contable más sensible es por tanto la reserva: el desarrollo favorable de ejercicios anteriores cayó de 1.720 M en 2021 y 840 M en 2023 a 140 M en 2025 (con un 4T25 implícitamente desfavorable), y vuelve a 1.250 M en el 1S26 [1, 3, 5]. Las ganancias y pérdidas por ventas y desconsolidaciones de negocios se registran dentro de los costes operativos (3.300 M de ganancias en 2024; 1.700 M por una desconsolidación en 2025), lo que mueve el margen operativo sin ser explotación [1, 2]. El BPA ajustado excluye la amortización de intangibles (~1.700 M al año) [1, 8]. La remuneración en acciones fue de 971 M en 2025 (8 % del beneficio neto) [12]. El tipo fiscal bajó al 12,9 % en 2025 por el menor beneficio y las desinversiones [1]. Sin deterioros de fondo de comercio en diez años [12].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desarrollo favorable de reservas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700 M (2024) a 140 M (2025), con −260 M implícitos en el 4T25; en 2026 el desarrollo favorable vuelve a ser alto (1.250 M en el semestre) y ayuda al MCR [1, 5,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de cartera dentro de los costes operativos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3.300 M de ganancias en 2024 y 568 M netos en 2025 (con 1.700 M por desconsolidación en Optum Rx) dentro del resultado operativo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GAAP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excluye cada año la amortización de intangibles (1,50 USD por acción previstos en 2026) y cargos que se repiten (ciberataque 2024-2025, reestructuración 2025) [8,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apoyado en venta de cuentas a cobrar y adelantos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cita la venta de cuentas a cobrar y cobros adelantados de 2026 en el flujo de 2025, y el calendario de un pago público en el 1S26 [1, 5,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sobre préstamos del ciberataque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799 M de provisión en el 4T25 por la cobrabilidad de préstamos a proveedores y otros saldos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de reservas del 2T26 con dos cifras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prensa: 860 M en el trimestre; cuadro de reservas del 10-Q: 1.250 M en el semestre frente a 1.050 M del 1T26 [5, 6,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Investigaciones sobre Medicare Advantage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del DOJ por ajuste de riesgo (False Claims Act) pendiente desde 2017, sin estimación posible; las investigaciones abiertas en 2025 se tratan en riesgos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73.341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83.526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96.400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107.317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123.944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151.174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110.499 M en 2025 (el 72 % del capital invertido medio); ha subido más de un 5 % en 7 de 9 años: comprador en serie. ROIC publicado 12,5 %; sin fondo de comercio, 44,5 %.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12,2 % · </w:t>
      </w:r>
      <w:r>
        <w:rPr>
          <w:b/>
          <w:bCs/>
        </w:rPr>
        <w:t xml:space="preserve">WACC</w:t>
      </w:r>
      <w:r>
        <w:t xml:space="preserve">: 8,8 %.</w:t>
      </w:r>
    </w:p>
    <w:p>
      <w:pPr>
        <w:spacing w:after="100"/>
      </w:pPr>
      <w:r>
        <w:t xml:space="preserve">UnitedHealth creó valor con holgura hasta 2023: ROIC del 18-21 % entre 2017 y 2023, más del doble de su coste de capital (8,80 %). En 2025 bajó al 12,5 %, 3,7 puntos por encima del WACC y por debajo de los 5 puntos que pedimos para comprar; la causa es el margen, no la rotación: el margen neto pasó del 6,0 % (2023) al 2,7 % (2025) mientras la rotación del capital se mantenía en 1,4-1,5 veces. En 2026 se recupera: el beneficio neto de los últimos doce meses a septiembre es de 15.884 M frente a 12.056 M en 2025 [113], lo que con el mismo capital llevaría el ROIC hacia el 15 % (estimación propia). El ROIC incremental de 2016-2025 es del 12,2 %, por debajo del medio: las compras de 2022-2024 (Change Healthcare, LHC, Amedisys, consultas de Optum Health) rinden menos que el negocio original, y el fondo de comercio e intangibles llegaron a 130.973 M en 2025 [1]. El NOPAT incluye el rendimiento de las inversiones reguladas y el capital invertido no descuenta las inversiones a largo; con toda la cartera regulada dentro, el ROIC sería unos dos puntos más bajo (estimación propia). Frente a los comparables (mediana 8,7 %), sigue siendo de los mejores.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73.231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30-sep-2026: caja e inversiones a corto de 28.549 M (25.845 M de caja y equivalentes) e inversiones a largo de 58.064 M; la caja de libre uso de la matriz no se publica en la nota de prensa y la última cifra es de unos 1.100 M a 30-jun-2026 (el resto está en filiales reguladas) [5, 113]. Deuda de 74.331 M y deuda sobre capital del 41,7 %, con el objetivo de acercarse al 40 % a final de año [113]. Tres líneas de crédito bancarias de 7.000 M cada una (vencen en nov-2030, nov-2028 y nov-2026), sin disponer, que respaldan el programa de papel comercial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A2 (perspectiva negativa); S&amp;P A+ (negativa); Fitch A (negativa); A.M. Best A- (estable), a 31-dic-2025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que no son deuda financiera pero pesan: medical costs payable de 39.337 M a cierre de 2025 (38.930 M a 30-jun-2026), con 26.700 M de IBNR, casi todo del año corriente; unos 90 % de los siniestros se conocen y liquidan en 90 días [1, 5]. Otros pasivos corrientes de 28.046 M incluyen 13.900 M de depósitos HSA y 1.600 M de certificados de depósito de Optum Bank, reembolsos de primas y saldos de clientes [1]. Minoritarios: redimibles 1.608 M (fuera del patrimonio; bajaron desde 4.323 M por una desconsolidación) y no redimibles 5.980 M [1]. Opciones de compra y venta de transacciones de cartera valoradas en 630 M en otros pasivos (2024) [2]. Arrendamientos operativos 4.615 M, fuera de la deuda (US GAAP) [1, 12]. Compromisos de compra de 8.100 M (2.500 M en 12 meses) [1]. Pleitos: demanda del DOJ de 2017 por ajuste de riesgo de Medicare Advantage (False Claims Act), sin estimación posible [1]. Cumplimiento de covenants de las líneas bancarias a 31-dic-2025 [1].</w:t>
      </w:r>
    </w:p>
    <w:p>
      <w:pPr>
        <w:pStyle w:val="Heading1"/>
      </w:pPr>
      <w:r>
        <w:t xml:space="preserve">12. Asignación de capital</w:t>
      </w:r>
    </w:p>
    <w:p>
      <w:pPr>
        <w:pStyle w:val="Confianza"/>
        <w:spacing w:after="100"/>
      </w:pPr>
      <w:r>
        <w:t xml:space="preserve">Confianza: Media</w:t>
      </w:r>
    </w:p>
    <w:p>
      <w:pPr>
        <w:spacing w:after="100"/>
      </w:pPr>
      <w:r>
        <w:t xml:space="preserve">Dividendo trimestral de 2,21 USD desde junio de 2025 y de 2,32 USD desde junio de 2026; 6.170 M pagados en nueve meses y más de 8.000 M previstos en el año [1, 113, 114]. Recompras: 5.545 M en 2025 y 5.031 M en nueve meses de 2026, con lo que el compromiso de al menos 5.000 M ya está cumplido [1, 113]. Prioridad declarada: bajar la deuda sobre capital al ~40 % a final de 2026 (41,7 % en septiembre) [113]. La caja de la matriz depende de los dividendos de las filiales reguladas (9.200 M en 2024; aportación neta de 535 M en 2025) y del flujo de los negocios no regulados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DaVita Medical Group (Optum Health)</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dic-2017 por unos 4.300 M; 8.343 M pagados en compras en 2019. Optum Health pasó de 2.963 M de resultado en 2019 a 7.770 M en 2024 y a −278 M en 2025 [3, 4,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Change Healthcare y otras (Optum Insight)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nueva deuda (la deuda a largo pasó de 42.383 M a 54.513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previsto de unos 12.000 M sin deuda asumida; 21.458 M pagados en compras en 2022. Ciberataque de feb-2024: 9.033 M de préstamos a proveedores y 799 M de provisión en 2025; el resultado de Optum Insight cayó de 4.268 M (2023) a 2.624 M (2025) [1, 2, 3,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2023 (sobre todo Optum Health)</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en efectivo neto de caja adquirida; el fondo de comercio sube de 93.352 M a 103.732 M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2024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(la deuda sube 14.367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en efectivo neto de caja adquirida; en 2025 parte de Optum Health se vende o se cierra con pérdidas de 821 M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Varias combinaciones de negocios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total de 4.800 M (4.509 M en efectivo neto)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Alegeus Technologies (Optum Insight)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2-jul-2026; neutral para el beneficio de 2026 según la empresa [8, 9].</w:t>
            </w:r>
          </w:p>
        </w:tc>
      </w:tr>
    </w:tbl>
    <w:p>
      <w:pPr>
        <w:spacing w:after="160" w:before="0"/>
      </w:pPr>
    </w:p>
    <w:p>
      <w:pPr>
        <w:spacing w:after="100"/>
      </w:pPr>
      <w:r>
        <w:t xml:space="preserve">Entre 2016 y 2025 la empresa generó 201.259 M de flujo operativo, invirtió 25.676 M en capex y 79.702 M en compras, pagó 50.351 M en dividendos y 51.575 M en recompras, y recibió 11.066 M por emisión de acciones de empleados [12]. Las acciones diluidas bajaron de 968 a 911 millones [12]. Desinversiones con pérdidas: Brasil en 2024 (7.100 M, 4.100 M por conversión de divisas) y el resto de Sudamérica (1.200 M en 2024; venta prevista para el segundo semestre de 2026) [1, 2]. En 2026 vendió Optum UK y dedica sus 400 M netos a la United Health Foundation [9].</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J. Hemsley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 (Chair and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1997 y consejero desde 2000; consejero delegado de 2006 a 2017, presidente ejecutivo de 2017 a 2019 y presidente no ejecutivo de 2019 a mayo de 2025, cuando vuelve como consejero delegado tras la salida de Andrew Witty, que dejó también el consejo el 20-may-2025 y renunció a sus acciones por resultados de 2025 [1, 31, 37, 40]. Bajo su segundo mandato la guía de 2025 se rehízo desde cero (al menos 16,00 USD de BPA ajustado, real 16,35) y la de 2026 se ha elevado dos veces, de más de 17,75 a 19,50-20,00 USD [8, 10, 57]. Posee 1.335.742 acciones (0,15 %), con 280.500 en fundaciones y 692.255 en fideicomisos; compró 86.700 acciones por 25,0 M USD el 16-may-2025 [32,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Wayne S. DeVeydt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and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Fichado de fuera el 2-sep-2025: director gerente de Bain Capital (2022-2025), consejero delegado (2018-2020) y presidente ejecutivo (2020-2025) de Surgery Partners, y director financiero de Elevance Health (Anthem) de 2007 a 2016 [1, 38]. Sustituye a John Rex, director financiero desde 2016, que pasó a asesor estratégico del consejero delegado [38]. Remuneración 2025 de 14,58 M USD, con una prima de fichaje de 1,2 M sujeta a recuperación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Conway, M.D.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Optum</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Optum desde el 6-may-2025, tras dirigir Optum Rx; en el grupo desde 2020. Antes, director médico y administrador en funciones de los CMS y director del CMS Innovation Center [1, 45]. Es el único alto directivo con ventas en mercado en los últimos 12 meses (2.469 acciones, 0,95 M USD en 2026)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Noel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UnitedHealthcare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UnitedHealthcare desde enero de 2025; antes dirigía Medicare &amp; Retirement, negocio del que fue director financiero; en el grupo desde 2007 [1]. Le tocó gestionar el repunte del coste médico de Medicare Advantage de 2025 que obligó a retirar la guía [56].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Christopher Zaetta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y secretario del consejo (EVP, Chief Legal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desde mayo de 2024; antes director jurídico de Optum (2020-2024) y responsable de litigios del grupo (2011-2019) [1]. Coordina la respuesta a las investigaciones penal y civil del DOJ sobre Medicare Advantage [30].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24,40-24,90 USD (nov-2022)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25,12 USD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27,50-28,00 USD (nov-2023)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27,66 USD, en la parte baja pese al ciberataque de Change Healthcare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29,50-30,00 USD (dic-2024, reafirmada en ene-2025) [54]; rebajada a 26,00-26,50 el 17-abr [55], retirada el 13-may [56], repuesta en al menos 16,00 el 29-jul [57] y elevada a al menos 16,25 el 28-oct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16,35 USD (GAAP 13,23), un 45 % por debajo de la guía inicial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 más de 17,75 USD (27-ene-2026); más de 18,25 (21-abr), 19,50-20,00 (16-jul) y al menos 20,50 (13-oct) [8, 10, 32, 58]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BPA ajustado de 18,30 USD en nueve meses (GAAP 17,50) [113]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se renovó casi entera en 2025: nuevo consejero delegado (Hemsley, mayo), nuevo jefe de Optum (Conway, mayo), de UnitedHealthcare (Noel, enero), nuevo director financiero externo (DeVeydt, septiembre) y nuevo responsable contable (Stankiewicz, marzo de 2026) [1, 37, 38, 44, 45]. El historial de guía era fiable hasta 2024 y se rompió en 2025: la guía inicial de 29,50-30,00 USD acabó en 16,35, con una retirada a mitad de año [10, 54, 56]. La de 2026 se ha elevado dos veces [8, 58]. La sucesión es la debilidad: Hemsley tiene 73 años, su opción de 60 M USD se consolida de golpe en mayo de 2028 y no hay sucesor designado públicamente [32, 37].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J. Hemsley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 William McNabb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 (Lead Independent Director desde ago-2025)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Recursos Humanos; Gobierno (desde jun-2026); miembro nato sin voto de todas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Flynn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(presidente); Gobierno; Responsabilidad Pública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Baker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(presidente); Auditoría y Finanzas; Responsabilidad Pública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Garcia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Recursos Humanos (presidente); Responsabilidad Pública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Kristen Gil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Gottlieb,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Pública (presidente desde jun-2026); Políticas Sanitarias y Clínicas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Valerie Montgomery Rice,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Políticas Sanitarias y Clínicas (presidenta); Remuneración y Recursos Humanos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Noseworthy,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y Recursos Humanos; Políticas Sanitarias y Clínicas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31,60 / ventas 0,95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72,6 M de acciones según su 13G/A de febrero de 2024, el último que cita el proxy de 2026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13G el 30-abr-2026 (68,1 M de acciones) tras el realineamiento interno de Vanguard, que repartió la posición de The Vanguard Group (91,8 M, 10,08 % en mayo de 2025) entre sus filiales [47, 48,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13G de agosto de 2026 por 45,7 M de acciones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Berkshire Hathaway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5,04 M de acciones (cerca del 0,6 %) en el 2T25, las mantuvo a 31-dic-2025 y las vendió todas en el 1T26 [59, 60, 61]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1,71 M de acciones a 2-abr-2026, de ellas 1,34 M de Hemsley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autocartera: las acciones emitidas y en circulación coinciden (897,6 M a 31-jul-2026); el primer semestre de 2026 recompró 10,5 M de acciones a 344,08 USD de media y quedan autorizadas 10,6 M [5]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Patrick Conway (CEO de Optum)</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Patrick Conway (CEO de Optum)</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Patrick Conway (CEO de Optum)</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Hemsley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Rex (entonces presidente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Kristen Gil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Timothy Flynn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Noseworthy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cobra 1 M USD de fijo, sin bonus anual, y una única concesión de opciones de 60 M USD (mayo de 2025) que se consolida de golpe a los tres años, sin nuevas concesiones en ese plazo [37]. En febrero de 2026 se añadió la obligación de mantener las acciones netas hasta mayo de 2030 [42]. La remuneración total de 2025 fue de 60,94 M USD, 748 veces la del empleado mediano (81.474 USD) [32]. Para el resto de la cúpula, el bonus anual se mide por ingresos, resultado operativo, flujo de caja, NPS y clima laboral (tope de 2 veces el objetivo), y las acciones por resultados (50 % del incentivo a largo plazo) se reparten a partes iguales entre el BPA ajustado acumulado a tres años y el ROE medio [32]. Hay recuperación (clawback) por reformulación, fraude o conducta dañina [32]. Indemnización: dos años de salario más bonus [37, 38]. El voto consultivo cayó del 95,9 % a favor en 2024 [39] al 60,0 % en 2025 (39,8 % en contra) por la concesión de Hemsley [40]. La empresa respondió renunciando a concesiones anticipadas salvo casos extraordinarios y subiendo la exigencia de tenencia del CEO de 8 a 10 veces el salario; en 2026 obtuvo un 82,5 % (con las abstenciones como voto en contra) [32, 41].</w:t>
      </w:r>
    </w:p>
    <w:p>
      <w:pPr>
        <w:pStyle w:val="Heading2"/>
      </w:pPr>
      <w:r>
        <w:t xml:space="preserve">Operaciones vinculadas, estructura de control y defensas</w:t>
      </w:r>
    </w:p>
    <w:p>
      <w:pPr>
        <w:spacing w:after="100"/>
      </w:pPr>
      <w:r>
        <w:t xml:space="preserve">No hay accionista de control: los mayores son gestoras indexadas (BlackRock 7,99 %, Vanguard Capital Management 7,50 %, State Street 5,0 %) y el consejo y la dirección suman el 0,19 % [32, 49, 50]. Hay una sola clase de acciones, un voto por acción, elección anual de todos los consejeros por mayoría, y todas las comisiones son íntegramente independientes [32]. Desde mayo de 2025 se juntan los cargos de presidente y consejero delegado en Hemsley, tras casi 20 años separados; el contrapeso es un consejero coordinador con funciones reforzadas, McNabb, expresidente y exconsejero delegado de Vanguard, elegido en agosto de 2025 [32]. El consejo se ha renovado: cuatro independientes nuevos desde 2021 y una antigüedad media de 5,6 años; el último, el exdirector de la FDA Scott Gottlieb, en noviembre de 2025 [32, 43]. Las operaciones vinculadas son menores: familiares de Flynn, McSweeney y Zaetta empleados sin cargo directivo, y servicios cruzados con BlackRock (7,8 M USD de comisiones de gestión pagadas por UNH) [32].</w:t>
      </w:r>
    </w:p>
    <w:p>
      <w:pPr>
        <w:pStyle w:val="Heading2"/>
      </w:pPr>
      <w:r>
        <w:t xml:space="preserve">Señales de alerta</w:t>
      </w:r>
    </w:p>
    <w:p>
      <w:pPr>
        <w:pStyle w:val="ListParagraph"/>
        <w:numPr>
          <w:ilvl w:val="0"/>
          <w:numId w:val="2"/>
        </w:numPr>
        <w:spacing w:after="60"/>
      </w:pPr>
      <w:r>
        <w:t xml:space="preserve">Investigaciones penal y civil del DOJ sobre las prácticas de Medicare Advantage, confirmadas por la empresa en julio de 2025; la nota de prensa del 3T26 (13-oct-2026) las mantiene entre los riesgos sin novedades ni cuantificación, y no se trataron en la conferencia [30, 113, 114].</w:t>
      </w:r>
    </w:p>
    <w:p>
      <w:pPr>
        <w:pStyle w:val="ListParagraph"/>
        <w:numPr>
          <w:ilvl w:val="0"/>
          <w:numId w:val="2"/>
        </w:numPr>
        <w:spacing w:after="60"/>
      </w:pPr>
      <w:r>
        <w:t xml:space="preserve">Demanda por fraude bajo la False Claims Act sobre ajuste de riesgo en Medicare (denuncia de 2011, el DOJ se personó en 2017): el Special Master recomendó en marzo de 2025 fallar a favor de la empresa y el DOJ lo recurrió en abril; sin estimación de pérdidas [5].</w:t>
      </w:r>
    </w:p>
    <w:p>
      <w:pPr>
        <w:pStyle w:val="ListParagraph"/>
        <w:numPr>
          <w:ilvl w:val="0"/>
          <w:numId w:val="2"/>
        </w:numPr>
        <w:spacing w:after="60"/>
      </w:pPr>
      <w:r>
        <w:t xml:space="preserve">Demanda colectiva de accionistas encabezada por CalPERS: el 30-sep-2026 el juez desestimó 43 de las 48 declaraciones impugnadas y las acusaciones de uso de información privilegiada contra Witty y Hemsley, pero deja seguir la parte sobre las ventas de negocios que aportaron 3.300 M USD al beneficio de 2024 [63].</w:t>
      </w:r>
    </w:p>
    <w:p>
      <w:pPr>
        <w:pStyle w:val="ListParagraph"/>
        <w:numPr>
          <w:ilvl w:val="0"/>
          <w:numId w:val="2"/>
        </w:numPr>
        <w:spacing w:after="60"/>
      </w:pPr>
      <w:r>
        <w:t xml:space="preserve">Hacienda de EE. UU. (IRS) propuso en marzo de 2026 ajustes significativos por precios de transferencia con una filial extranjera en 2017-2020 y podría extenderlos a años posteriores; la empresa lo recurrirá [5].</w:t>
      </w:r>
    </w:p>
    <w:p>
      <w:pPr>
        <w:pStyle w:val="ListParagraph"/>
        <w:numPr>
          <w:ilvl w:val="0"/>
          <w:numId w:val="2"/>
        </w:numPr>
        <w:spacing w:after="60"/>
      </w:pPr>
      <w:r>
        <w:t xml:space="preserve">Compra de Amedisys (3.300 M USD) cerrada tras un acuerdo con el DOJ que obliga a vender al menos 164 centros de atención domiciliaria y paliativos (unos 528 M USD de ingresos) bajo un supervisor; sentencia firme en diciembre de 2025 [62].</w:t>
      </w:r>
    </w:p>
    <w:p>
      <w:pPr>
        <w:pStyle w:val="ListParagraph"/>
        <w:numPr>
          <w:ilvl w:val="0"/>
          <w:numId w:val="2"/>
        </w:numPr>
        <w:spacing w:after="60"/>
      </w:pPr>
      <w:r>
        <w:t xml:space="preserve">Ciberataque a Change Healthcare (feb-2024): unos 190 millones de afectados, 2.200 M USD de costes directos y 867 M de pérdida de negocio en 2024 [2]; en el 4T25 se provisionaron otros 799 M USD por préstamos a proveedores de difícil cobro [1].</w:t>
      </w:r>
    </w:p>
    <w:p>
      <w:pPr>
        <w:pStyle w:val="ListParagraph"/>
        <w:numPr>
          <w:ilvl w:val="0"/>
          <w:numId w:val="2"/>
        </w:numPr>
        <w:spacing w:after="60"/>
      </w:pPr>
      <w:r>
        <w:t xml:space="preserve">Rotación casi total de la cúpula en 2025-2026: nuevo CEO, nuevo CFO de fuera, nuevos jefes de Optum y UnitedHealthcare y nuevo responsable contable en marzo de 2026 [37, 38, 44, 45].</w:t>
      </w:r>
    </w:p>
    <w:p>
      <w:pPr>
        <w:pStyle w:val="ListParagraph"/>
        <w:numPr>
          <w:ilvl w:val="0"/>
          <w:numId w:val="2"/>
        </w:numPr>
        <w:spacing w:after="60"/>
      </w:pPr>
      <w:r>
        <w:t xml:space="preserve">Voto consultivo de remuneración de solo el 60,0 % a favor en 2025, y caída del apoyo a Timothy Flynn (presidente de Auditoría) al 86,8 % ese año [40].</w:t>
      </w:r>
    </w:p>
    <w:p>
      <w:pPr>
        <w:pStyle w:val="ListParagraph"/>
        <w:numPr>
          <w:ilvl w:val="0"/>
          <w:numId w:val="2"/>
        </w:numPr>
        <w:spacing w:after="60"/>
      </w:pPr>
      <w:r>
        <w:t xml:space="preserve">El 8-K de la junta de 2026 da un 82,74 % a favor del voto de remuneración, pero con sus propias cifras sale un 82,47 % [41].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13-oct-2026, con el 3T26, UnitedHealth subió por cuarta vez la guía de 2026: BPA GAAP de al menos 19,50 USD (antes 18,45-18,95) y ajustado de al menos 20,50 (antes 19,50-20,00), con un beneficio neto atribuido de más de 17.650 M, ≈ 1.405 M de amortización de intangibles y ≈ 205 M de plusvalías netas por desinversiones que se excluyen del ajustado [1, D4]. El ratio de siniestralidad de nueve meses es del 86,3 % frente a la guía anual del 88,1 % ± 25 pb dada en julio [1, D4]. Para 2027 no hay guía formal: el director financiero dijo que la parte baja del objetivo de crecimiento del BPA del 13-16 % es un punto de partida razonable (≈ 23,2 USD ajustado sobre 20,50, cálculo propio) y que dará una guía más completa antes de fin de año [114]. Objetivo de endeudamiento: deuda sobre capital del 40 % a final de año (41,7 % a 30-sep) [113]. Próximos resultados (4T26): fecha no anunciada; en 2025 y 2026 se publicaron el 16 y el 27 de enero [121].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448.671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26 analistas, 18-oct-2026 [65]; S&amp;P Global vía StockAnalysis: ingresos 448.670 M y BPA ajustado 20,51 [67]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[65]; S&amp;P Global vía StockAnalysis: ingresos 463.780 M y BPA ajustado 23,23 [67]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490.043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448.671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489.214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490.043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37.633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477,04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380,00 – 529,00</w:t>
            </w:r>
          </w:p>
        </w:tc>
      </w:tr>
    </w:tbl>
    <w:p>
      <w:pPr>
        <w:spacing w:after="160" w:before="0"/>
      </w:pPr>
    </w:p>
    <w:p>
      <w:pPr>
        <w:pStyle w:val="Heading2"/>
      </w:pPr>
      <w:r>
        <w:t xml:space="preserve">Revisiones de estimaciones</w:t>
      </w:r>
    </w:p>
    <w:p>
      <w:pPr>
        <w:spacing w:after="100"/>
      </w:pPr>
      <w:r>
        <w:t xml:space="preserve">Tras el 3T26, las estimaciones de BPA suben y los precios objetivo bajan un poco. El BPA GAAP de consenso de 2026 pasa de 18,44 a 19,23 USD (+4,3 %), el de 2027 de 21,24 a 21,74 (+2,4 %) y el de 2028 de 24,45 a 25,30 (+3,5 %); el ajustado de 2026 de S&amp;P Global, de 19,87 a 20,51, y el de 2027 de 22,61 a 23,23 [8, 65, 67]. El precio objetivo medio baja de 480,60 a 477,04 USD: Baird (453 → 427), Jefferies (490 → 453), Raymond James (475 → 450) y Bernstein (512 → 500) recortan, y Goldman Sachs (490 → 506), Piper Sandler (502 → 504) y JPMorgan (516 → 524) suben [67, 115]. Las recomendaciones no cambian: 22 de comprar y 4 de mantener [67]. Los recortes citan la valoración tras el rebote, las elecciones legislativas de noviembre y posibles cambios en el ajuste de riesgo y las estrellas de Medicare [115].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UnitedHealth sube un 24,0 % en 2026 (frente al 12,8 % del S&amp;P 500 y el 15,6 % del sector) pero pierde un 7,3 % anual en tres años, mientras el índice gana un 22,5 % anual [64]. 2025 fue su peor año reciente (−33,1 %), con la retirada de la guía, la salida de Andrew Witty y las investigaciones del DOJ [30, 37]. En 2026 la acción cayó un 19,6 % el 27-ene con la guía y el aviso de tarifas de Medicare Advantage de 2027, tocó el mínimo de 255,97 USD el 27-mar y rebotó hasta 461,62 el 16-jul con la tarifa definitiva (+2,48 %) y dos subidas de guía [25, 64]. Tras devolver un 18 % hasta septiembre, los resultados del 3T26 la han llevado a 401,43 USD (+6,3 % en la semana) [64, 113]. La beta mensual de cinco años (0,53) no refleja el riesgo actual: la volatilidad de un año es del 35,9 % y la caída máxima en cinco años, del −61,4 %.</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 -4,8 % / +23,7 % / +11,2 %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 +55,0 %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día con la guía de 2026 (primeros ingresos a la baja en décadas) y el aviso de CMS de tarifas de Medicare Advantage de 2027 del +0,09 % [26, 64]. Riesgo recogido en el informe (tarifas y regulación).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28-mar a 29-abr-2026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desde el mínimo de 255,97 USD: tarifa definitiva de Medicare Advantage de 2027 del +2,48 % (6-abr) y resultados del 1T26 por encima de lo esperado con subida de la guía (21-abr, +7,0 % ese día) [3, 9,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20-jul a 19-ago-2026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Recogida de beneficios gradual tras el máximo de 461,62 USD del 16-jul (resultados del 2T26), sin ninguna sesión de más del −3 %; la dirección avisó entonces de que el margen comercial tardaría más en recuperarse [3, 13]. No hemos encontrado un hecho concreto que la explique.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13-16-oct-2026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plana el día 13 (−0,2 %), +4,7 % el 14 con las aseguradoras al alza y +2,8 % el 15 con rotación del mercado hacia la sanidad; −1,3 % el 16 tras el recorte de objetivo de Raymond James [64, 113, 115, 122]. No llega al 10 %: se explica por completitud.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por encima de lo esperado (BPA ajustado 4,69 frente a 4,12) y guía de 2026 a al menos 20,50 USD ajustado; 2027 en la parte baja del 13-16 % de crecimiento [113, 114].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Ajustes de precio objetivo tras los resultados: Baird 427, Jefferies 453, Raymond James 450 y Bernstein 500 recortan; Goldman Sachs 506, Piper Sandler 504 y JPMorgan 524 suben; TD Cowen mantiene 402 con «mantener». Media 477,04 USD [67, 115].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Investigaciones penal y civil del DOJ sobre Medicare Advantage (y, según la prensa, Optum Rx y la remuneración de médicos): siguen abiertas, sin cuantificar y sin novedades en la nota del 3T26, que mantiene «las acciones legales del DOJ» entre los riesgos; en la conferencia no se habló de ello [1, 2, C4]. Sin fecha de resolución.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de CalPERS: el juez desestima 43 de 48 declaraciones, sigue la parte sobre las ventas de negocios de 2024 [63].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Estrellas de Medicare Advantage de 2027 (cobros de 2028): al menos el 69 % de los afiliados en planes de 4 o más estrellas, frente a más del 80 % un año antes, «en línea con lo esperado»; la empresa espera acercarse al 75 % [113, 114].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TPG de una participación en las clínicas WellMed de Florida (Optum Health), sin precio publicado; la acción cayó en las sesiones siguientes [115, 118].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pequeñas de Patrick Conway (consejero delegado de Optum): 0,94 M USD en tres operaciones desde abril; ninguna compra de directivos en 2026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Elecciones legislativas de EE. UU.: los analistas que recortan citan el riesgo de cambios en el ajuste de riesgo y las estrellas de Medicare según el resultado [115].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2027-01-20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4T26 y guía de 2027 (fecha estimada) y, a finales de enero, aviso de tarifas de Medicare Advantage de 2028 de CMS [14, B14].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UnitedHealth sube un 23,7 % en seis meses y un 7,0 % en el último, con tendencia alcista (11,8 % sobre la media de 200 sesiones) y sin avisos P1-P5. El repunte de octubre lo explican los resultados del 3T26 y la rotación del mercado hacia la sanidad; la caída de agosto fue una recogida de beneficios sin hecho concreto. No hay colocaciones, ampliaciones ni ofertas pendientes, ni ventas relevantes de directivos. Las investigaciones del DOJ son el hecho pendiente que podría mover el precio más de un 5 %, pero no tienen fecha y el informe ya las recoge como riesgo: no retrasan. Veredicto global: no cambia. Búsqueda: 8-K y Form 4 de EDGAR, MarketScreener, StockAnalysis, Seeking Alpha y prensa sectorial.</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401,43 USD, UnitedHealth cotiza a 14,3 veces el EBITDA de los últimos doce meses, justo en su media de diez años (14,3x, percentil 50), y a 22,9 veces el beneficio, un 4 % por encima de su media (22,1x). La normalidad es engañosa: el EBITDA de los últimos doce meses (30.599 M, con los cargos de 2025 devueltos) sigue un 16 % por debajo del de 2023 (36.330 M) [1, 113], así que el precio ya paga parte de la recuperación. Sobre el beneficio de los próximos doce meses, el PER es de 18,9 veces, por debajo de los 20-25 veces de 2019-2024, cuando el margen EBITDA rondaba el 9,5 %. Lo que ha cambiado es el riesgo: regulación de Medicare Advantage más dura, investigaciones federales abiertas y un ROIC que ha bajado del 20,8 % al 12,5 %.</w:t>
      </w:r>
    </w:p>
    <w:p>
      <w:pPr>
        <w:pStyle w:val="Heading1"/>
      </w:pPr>
      <w:r>
        <w:t xml:space="preserve">18. Comparables cotizados</w:t>
      </w:r>
    </w:p>
    <w:p>
      <w:pPr>
        <w:pStyle w:val="Confianza"/>
        <w:spacing w:after="100"/>
      </w:pPr>
      <w:r>
        <w:t xml:space="preserve">Confianza: Media</w:t>
      </w:r>
    </w:p>
    <w:p>
      <w:pPr>
        <w:spacing w:after="100"/>
      </w:pPr>
      <w:r>
        <w:t xml:space="preserve">Las seis grandes aseguradoras de salud gestionada cotizadas en EE. UU. (Elevance, Cigna, CVS Health con Aetna, Humana, Centene y Molina), con la misma mezcla de primas de Medicare Advantage, Medicaid y planes de empresa, y dos aseguradoras pequeñas de crecimiento (Oscar, mercado individual del ACA; Alignment, Medicare Advantage). Cigna y CVS añaden gestión de farmacia (PBM), como Optum Rx. No hay comparable directo de Optum Health ni de Optum Insight a escala.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Elevance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Cigna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CVS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Centene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Molina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Oscar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Alignment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12,3x / 15,7x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 / 13,9x / 17,3x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449.662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 / 0,4x / 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UnitedHealth cotiza con prima clara frente a sus comparables: 18,9 veces el beneficio de los próximos doce meses frente a una mediana de 14,0 veces (Elevance 14,7x, CVS 10,9x, Cigna 9,2x) [64, 69, 70, 71]. Aplicado a su BPA, el PER mediano da 296,18 USD por acción, un 26 % por debajo del precio. La prima tiene fundamento parcial: Optum aporta más de la mitad del resultado operativo con negocios de servicios y tecnología sin equivalente cotizado, y su ROIC (12,5 %) supera la mediana del grupo (8,7 %). Pero no se sostiene por crecimiento: el consenso le da un 2,3 % de crecimiento de ingresos a doce meses frente a una mediana del 9,3 %. Humana (26,8x) y Molina (23,7x) tienen el beneficio de 2026 hundido y empujan la media al alza; el EV/EBITDA de Centene, Molina, Oscar y Alignment no compara porque su proveedor resta la caja regulada [73, 74]. Usamos solo el PER, con un peso del 15 %. Los comparables están llevados al 16-oct con su precio: ninguno había publicado el 3T26.</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Express Scripts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Cigna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48,75 USD en efectivo + 0,2434 acciones por acción (54.000 M en total) y 15.000 M de deuda asumida; prima del 31 % sobre el cierre de 73,42 USD del 7-mar-2018 [88]. Múltiplos sobre 2017: ingresos 100.065 M y EBITDA 7.296 M (resultado operativo 5.494 + amortizaciones 1.802) [93] (cálculo propio).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Aetna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145 USD en efectivo + 0,8378 acciones de CVS por acción, ≈ 207 USD por acción y 69.000 M de capital; 77.000 M con la deuda asumida [89]. EV/ventas sobre los ingresos de 2017 de Aetna, 60.535 M [94] (cálculo propio).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Change Healthcare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(Optum)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25,75 USD por acción en efectivo [90]. Estimación propia del valor empresa: 304,45 M de acciones (27-oct-2020) × 25,75 = 7.840 M + deuda 4.818 M − caja 137 M (31-dic-2020) [95]. Múltiplos sobre el ejercicio cerrado en marzo de 2021: ingresos 3.090 M y EBITDA 691 M (resultado operativo 100 + amortizaciones 591) [95].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Amedisys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(Optum)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USD por acción en efectivo [91]. Estimación propia del valor empresa: 32,56 M de acciones × 101 = 3.289 M + deuda 400 M − caja 49 M + minoritarios 54 M (31-mar-2023) [96]. Múltiplos sobre 2022: ingresos 2.223 M y EBITDA 206 M (resultado operativo 181 + amortizaciones 25) [96].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Signify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30,50 USD por acción en efectivo; valor total de la operación ≈ 8.000 M [92]. Sobre 2021: ingresos 653 M y EBITDA 118 M [97] (cálculo propio). Plataforma de evaluaciones domiciliarias en crecimiento: múltiplo no comparable con un asegurador.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Oak Street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USD por acción en efectivo, valor empresa ≈ 10.600 M; red de atención primaria con EBITDA ajustado aún negativo, que CVS espera que aporte más de 2.000 M de EBITDA ajustado «embebido» en madurez [98].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Kindred at Home (60 %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8.100 M para el 100 %, incluidos 2.400 M del 40 % que Humana ya tenía; 43.000 cuidadores y más de 550.000 pacientes al año [99]. La nota no publica ingresos ni EBITDA.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 (13,6x – 18,0x)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522,18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374,62 – 525,58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se han pagado a 9-18 veces el EBITDA: 9,2x por Express Scripts (Cigna, 2018), 18,1x por Change Healthcare y 17,9x por Amedisys (las dos de UnitedHealth, estimación del valor empresa a partir de sus cuentas) [88, 90, 91]. Son compras de negocios de servicios o de farmacia, no de aseguradoras enteras, y llevan prima de control (31 % en Express Scripts). Con un valor de mercado de 362.090 M USD, UnitedHealth no es objeto plausible de una compra, y la propia empresa sigue vendiendo activos (Sudamérica, Optum UK y, en septiembre, una participación en las clínicas WellMed de Florida a TPG) [1, 118]. La mediana da 522,18 USD por acción, pero no la ponderamos: no hay comprador posible y los múltiplos son de piezas, no del conjunto.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+0,2 % (448.462 M): 336.447 M en nueve meses (+0,6 %) y un 4T parecido al del 2025, frente a 448.671 M de consenso [65, 113]. La empresa ha elegido margen frente a volumen: 7,61 M de afiliados de Medicare Advantage a septiembre frente a 8,45 M en diciembre [113]. Para 2027e el 3,4 % coincide con el consenso (463.782 M) [65]: la tarifa de Medicare Advantage sube un 2,48 % [25], los precios comerciales suponen una tendencia de coste superior al 11 % y la empresa no da afiliados de 2027 [114]. Desde 2028e el crecimiento vuelve al 5,5 % y baja al 4,0 % en 2032e, por debajo del gasto sanitario de EE. UU. (5,7 % anual previsto por CMS) [17] y del 10,3 % anual de 2016-2025, que incluía compras. El consenso de 2028e (490.043 M) queda un 0,2 % por encima.</w:t>
      </w:r>
    </w:p>
    <w:p>
      <w:pPr>
        <w:keepNext/>
        <w:spacing w:after="100"/>
      </w:pPr>
      <w:r>
        <w:rPr>
          <w:b/>
          <w:bCs/>
        </w:rPr>
        <w:t xml:space="preserve">Márgenes.</w:t>
      </w:r>
    </w:p>
    <w:p>
      <w:pPr>
        <w:spacing w:after="100"/>
      </w:pPr>
      <w:r>
        <w:t xml:space="preserve">El margen EBITDA de 2026e (6,85 %) sale de 23.544 M de resultado operativo en nueve meses más un 4T coherente con la guía de al menos 19,50 USD de BPA GAAP (≈ 3.500 M, estimación propia), con ≈ 4.260 M de amortizaciones y sin las plusvalías de desinversiones; el consenso da 30.622 M (6,8 %) [65, 113]. Sube al 7,3 % en 2027e (consenso 7,3 %), al 7,6 % en 2028e y al 8,0 % en 2030e, por debajo del 9,1-9,8 % de 2019-2024. La palanca es el ratio de siniestralidad: 89,1 % en 2025, 86,3 % en nueve meses de 2026 y 88,4 % en el 3T26, que incluye 610 M de reservas favorables [1, 113]. No suponemos la vuelta al 9,5 %: el ajuste de riesgo V28, las estrellas de 2028 (69 % de afiliados en planes de 4 estrellas frente a más del 80 %) y la reforma de los gestores de farmacia recortan ingresos por miembro [34, 113]. Cada punto de margen mueve el valor unos 75 USD por acción.</w:t>
      </w:r>
    </w:p>
    <w:p>
      <w:pPr>
        <w:keepNext/>
        <w:spacing w:after="100"/>
      </w:pPr>
      <w:r>
        <w:rPr>
          <w:b/>
          <w:bCs/>
        </w:rPr>
        <w:t xml:space="preserve">Inversión y circulante.</w:t>
      </w:r>
    </w:p>
    <w:p>
      <w:pPr>
        <w:spacing w:after="100"/>
      </w:pPr>
      <w:r>
        <w:t xml:space="preserve">UnitedHealth apenas necesita capital: el capex fue del 0,8-0,9 % de las ventas en 2023-2025 y del 0,7 % en nueve meses de 2026 (2.421 M), y el circulante comercial es negativo (−2,6 % de las ventas), porque cobra primas antes de pagar a proveedores [1, 113]. Proyectamos un capex del 1,1-1,2 % desde 2027e, por encima de su historia, para dejar sitio a compras pequeñas en Optum; el último año supera a la amortización (1,0 %). Las reservas médicas (39.352 M a septiembre) y los cobros anticipados quedan fuera del circulante: respaldan la caja regulada, que también excluimos del puente [113]. El tipo impositivo es el 19,5 % en 2026e (19,6 % en nueve meses) y el 21 % después, en línea con 2019-2023.</w:t>
      </w:r>
    </w:p>
    <w:p>
      <w:pPr>
        <w:keepNext/>
        <w:spacing w:after="100"/>
      </w:pPr>
      <w:r>
        <w:rPr>
          <w:b/>
          <w:bCs/>
        </w:rPr>
        <w:t xml:space="preserve">Coste del capital.</w:t>
      </w:r>
    </w:p>
    <w:p>
      <w:pPr>
        <w:spacing w:after="100"/>
      </w:pPr>
      <w:r>
        <w:t xml:space="preserve">Tasa libre: bono de EE. UU. a 10 años al 5,09 % (16-oct-2026, Tesoro) [116]. Beta de 0,85: la desapalancada de Damodaran para servicios sanitarios (0,74, corregida por caja) reapalancada con la deuda de UnitedHealth [87]. No usamos la de la acción (0,53 mensual a cinco años; 0,40 semanal a dos años) porque refleja una caída idiosincrásica y no el riesgo sistemático [64]. Prima de mercado del 5,5 %; la implícita de Damodaran (4,20 %) va en la regla relativa [86]. Coste de la deuda del 5,2 % antes de impuestos (intereses de 3.840 M anualizados sobre 74.331 M de deuda), coherente con sus emisiones al 5,3-5,95 % y su rating A2/A+/A [1, 113]. Peso de la deuda del 17,0 % sobre el valor de mercado. Resultado: WACC del 8,80 %.</w:t>
      </w:r>
    </w:p>
    <w:p>
      <w:pPr>
        <w:keepNext/>
        <w:spacing w:after="100"/>
      </w:pPr>
      <w:r>
        <w:rPr>
          <w:b/>
          <w:bCs/>
        </w:rPr>
        <w:t xml:space="preserve">Valor terminal.</w:t>
      </w:r>
    </w:p>
    <w:p>
      <w:pPr>
        <w:spacing w:after="100"/>
      </w:pPr>
      <w:r>
        <w:t xml:space="preserve">Crecimiento a perpetuidad del 3,0 %: inflación de largo plazo en dólares en torno al 2,5 % y algo de crecimiento real del gasto sanitario, que crece por encima del PIB [15, 16]. Está por debajo de la tasa libre menos medio punto (4,6 %). Gordon implica 12,0 veces el EBITDA de salida, por debajo de la media histórica de 14,3 veces, lo que lo hace prudente. El valor terminal pesa el 72 %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19.764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567.612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565.407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391.777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413,18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660,39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(reinvierte el 19 %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 (histórico: 12,2 %)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 frente al 4,0 %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1.129 M, el 1 % del NOPAT, con un capex bruto medio del 1,1 % de las ventas). En un negocio de activos ligeros, el crecimiento medio del 4,0 %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los afiliados médicos de UnitedHealthcare bajan de 49,76 M a 48,30 M en nueve meses y los de Medicare Advantage un 10 % [113]; las salidas son de alto ingreso por afiliado (estimación propia). Precio: tarifa de Medicare Advantage de 2026 del +5,06 % [27] y subidas de primas comerciales; Optum Rx crece con la inflación de los fármacos aunque pierde recetas.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tarifa de Medicare Advantage de 2027 del +2,48 % (4,98 % con la tendencia de riesgo) [25] y primas comerciales fijadas con una tendencia de coste superior al 11 % [114]. Volumen: sigue la poda de planes de Medicare Advantage y de Medicaid (la ley OBBBA quita 2,6 M de inscritos al sector en 2027-2028) [29]; la empresa no da afiliados de 2027 [114].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vuelta al crecimiento de afiliados con el envejecimiento de la población y Optum Rx, que eleva por encima del 50 % la parte de sus afiliados que sirve [1, 114]. Precio: en línea con el gasto sanitario por persona.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patrón que 2028e; por debajo del crecimiento del gasto sanitario nacional (5,7 %)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modera: UnitedHealth ya tiene en torno al 26 % de Medicare Advantage y el 16 % del seguro comercial [18, 29].</w:t>
            </w:r>
          </w:p>
        </w:tc>
      </w:tr>
    </w:tbl>
    <w:p>
      <w:pPr>
        <w:spacing w:after="160" w:before="0"/>
      </w:pPr>
    </w:p>
    <w:p>
      <w:pPr>
        <w:spacing w:after="100"/>
      </w:pPr>
      <w:r>
        <w:t xml:space="preserve">En parte. Las pruebas del motor pasan porque la proyección no pide capital (reinversión neta del 1 % del NOPAT); la prueba real es el poder de precios y la cuota. El precio sí lo tiene, y el 3T26 lo demuestra: con ingresos planos, el ratio de siniestralidad bajó 150 puntos básicos por precios y prestaciones [113]. La cuota no: pierde 840.000 afiliados de Medicare Advantage en nueve meses por decisión propia, la dirección no da afiliados de 2027 y la vuelta al crecimiento de volumen que proyectamos desde 2028e no tiene aún evidencia [113, 114]. Prueba de cuota a mano (la cuota publicada es de Medicare Advantage): los ingresos de 2025 equivalen al 7,9 % del gasto sanitario de EE. UU. [17]; nuestros 489.214 M de 2028e serían el 7,4 % del previsto, una cuota menor (estimación propia). El caso base crece menos que el mercado; lo exigente es el margen.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 (base: 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 (WACC: 8,8 %)</w:t>
            </w:r>
          </w:p>
        </w:tc>
      </w:tr>
    </w:tbl>
    <w:p>
      <w:pPr>
        <w:spacing w:after="160" w:before="0"/>
      </w:pPr>
    </w:p>
    <w:p>
      <w:pPr>
        <w:spacing w:after="100"/>
      </w:pPr>
      <w:r>
        <w:t xml:space="preserve">El DCF da 434,34 USD por acción, un 8,2 % por encima del precio, con un WACC del 8,80 % y un valor terminal que pesa el 72 %. Sube desde 415,08 USD en la iteración del 12-oct por el margen de 2026e (del 6,6 % al 6,85 %, con el 3T26 dentro) y por una tasa libre algo más baja (5,09 % frente a 5,22 %). El DCF inverso dice que el precio de 401,43 USD descuenta un crecimiento anual del 3,5 % en 2027e-2032e (frente a nuestro 4,6 %) o, con nuestro crecimiento, un margen EBITDA final del 7,6 % (frente a nuestro 8,0 % y al 9,1-9,8 % de 2019-2024): el precio rinde un 9,2 % anual, 0,4 puntos más que nuestro coste de capital. No es una exigencia alta, pero el margen de seguridad es pequeño: el mercado ya paga la recuperación hasta algo más del 7,5 %. Nuestras cifras de 2026-2028 están cerca del consenso, así que la diferencia entre valor y precio sale casi entera de la tasa de descuento: con la prima implícita del mercado (4,20 %), el DCF sube a 532,05 USD. La variable que decide es el ratio de siniestralidad: cada punto de margen EBITDA vale unos 75 USD por acción.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médico no cede: la tendencia comercial por encima del 11 % se come las subidas de primas de 2027, se agota el desarrollo favorable de reservas, las tarifas de Medicare Advantage de 2028 vuelven a subir poco y el DOJ cierra sus investigaciones con una multa y cambios en la codificación de riesgo. El margen EBITDA se queda en el 6,5 %, el nivel de 2025-2026, y el mercado exige más prima por el riesgo regulatorio. Es lo que ya le pasó a la empresa en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(al menos 20,50 USD ajustado) y el crecimiento de 2027 en la parte baja del 13-16 %: las subidas de primas mantienen el ratio de siniestralidad por debajo del 88 %, Optum Health avanza hacia el 6-8 % de margen en 2028 y el margen EBITDA llega al 8,0 % en 2030, todavía por debajo del de 2019-2024. Los ingresos crecen un 4,6 % anual desde 2027, menos que el gasto sanitario.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disciplina de precios devuelve el margen EBITDA al 9 %, cerca del 9,1-9,8 % de 2019-2024, Optum Health supera el 8 % de margen, las investigaciones se cierran sin cargos materiales y la empresa vuelve a ganar afiliados en Medicare Advantage desde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401,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417,63 USD (+4,0 %).</w:t>
      </w:r>
    </w:p>
    <w:p>
      <w:pPr>
        <w:spacing w:after="100"/>
      </w:pPr>
      <w:r>
        <w:t xml:space="preserve">La asimetría con nuestro coste de capital es de 0,99 veces: el alcista gana un 35,2 % (542,60 USD) y el bajista pierde un 35,4 % (259,22 USD), y el valor ponderado (417,63 USD) apenas supera el precio. El bajista no es cosmético: es el margen de 2025-2026 mantenido en el tiempo, algo que la empresa ya ha vivido. Con la prima implícita del mercado, la asimetría sube a 3,09 veces porque el alcista gana más con un WACC menor. Para quien exija nuestro 8,80 %, el perfil no compensa; para quien se conforme con lo que hoy pide el mercado (7,89 %), sí.</w:t>
      </w:r>
    </w:p>
    <w:p>
      <w:pPr>
        <w:pStyle w:val="Heading1"/>
      </w:pPr>
      <w:r>
        <w:t xml:space="preserve">22. Suma de partes</w:t>
      </w:r>
    </w:p>
    <w:p>
      <w:pPr>
        <w:pStyle w:val="Confianza"/>
        <w:spacing w:after="100"/>
      </w:pPr>
      <w:r>
        <w:t xml:space="preserve">Confianza: Media</w:t>
      </w:r>
    </w:p>
    <w:p>
      <w:pPr>
        <w:spacing w:after="100"/>
      </w:pPr>
      <w:r>
        <w:t xml:space="preserve">Con el resultado operativo ajustado de 2026e por segmento (nueve meses publicados y un 4T coherente con la guía, estimación propia) y múltiplos de cada negocio, la suma de partes da 314,90 USD por acción, un 22 % por debajo del precio. Optum vale el 54 % del valor empresa de la suma y UnitedHealthcare el 46 %. Sube desde 291,92 USD en la iteración anterior porque UnitedHealthcare ya ha superado en nueve meses (12.326 M) la guía anual de julio (más de 12.000 M) [8, 113]. La lectura no cambia: el precio no se explica con los resultados de 2026, sino con la recuperación de los márgenes de UnitedHealthcare y de Optum Health. No aplicamos descuento de conglomerado: los negocios comparten clientes y datos y las eliminaciones entre segmentos (118.460 M de ingresos en nueve meses) muestran esa integración [113]. Pesa un 15 % en la síntesis.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UnitedHealthcare</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12.326 M de resultado ajustado en nueve meses y un 4T estacionalmente flojo (≈ 600 M, estimación propia coherente con la guía de BPA) [113]; margen del 3,7 % frente al 5-6 % de 2016-2024. 13 veces el resultado operativo, cerca del EV/EBITDA de Elevance (13,7x) y por encima de CVS (10,8x), porque el resultado está en mínimos del ciclo [64, 69, 71].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Health</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3.074 M ajustados en nueve meses (4,4 % de margen) y un 4T más flojo por la estacionalidad del riesgo y la inversión en tecnología que avisó la dirección [113, 114]; la empresa apunta a un 6-8 % de margen en 2028. 15 veces un resultado aún deprimido; las compras del área se pagaron a 17,9-18,1 veces el EBITDA [90, 91].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Insight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3.416 M ajustados en nueve meses (21,5 % de margen) [113]; tecnología y servicios para hospitales y aseguradoras con cartera de pedidos de 31.100 M [1]. 16 veces el resultado operativo, por debajo de los 18,1 veces el EBITDA pagados por Change Healthcare [90], por el riesgo del ciberataque y de la IA sobre los servicios de facturación.</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Optum Rx</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ajustado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4.392 M en nueve meses (3,9 % de margen) [113]. Cigna, cuyo resultado es sobre todo de Express Scripts, cotiza a 8,2 veces el EBITDA y se compró a 9,2 veces [64, 88]; aplicamos 12 veces el resultado operativo por el crecimiento y los biosimilares, a pesar de la reforma de los gestores de farmacia y del paso a un modelo de comisiones transparentes [34, 113].</w:t>
            </w:r>
          </w:p>
        </w:tc>
      </w:tr>
    </w:tbl>
    <w:p>
      <w:pPr>
        <w:spacing w:after="160" w:before="0"/>
      </w:pPr>
    </w:p>
    <w:p>
      <w:pPr>
        <w:spacing w:after="100"/>
      </w:pPr>
      <w:r>
        <w:rPr>
          <w:b/>
          <w:bCs/>
        </w:rPr>
        <w:t xml:space="preserve">Valor por acción por suma de partes:</w:t>
      </w:r>
      <w:r>
        <w:t xml:space="preserve"> 314,90 (-21,6 %); con ±1x en los múltiplos, 254,91 – 374,89.</w:t>
      </w:r>
    </w:p>
    <w:p>
      <w:pPr>
        <w:pStyle w:val="Heading1"/>
      </w:pPr>
      <w:r>
        <w:t xml:space="preserve">23. Síntesis de valoración</w:t>
      </w:r>
    </w:p>
    <w:p>
      <w:pPr>
        <w:pStyle w:val="Confianza"/>
        <w:spacing w:after="100"/>
      </w:pPr>
      <w:r>
        <w:t xml:space="preserve">Confianza: Alta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401,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391,52 USD (-2,5 % sobre 401,43).</w:t>
      </w:r>
    </w:p>
    <w:p>
      <w:pPr>
        <w:spacing w:after="100"/>
      </w:pPr>
      <w:r>
        <w:t xml:space="preserve">El puente es el balance de 30-sep-2026 de la nota de prensa del 3T26: deuda de 74.331 M (5.617 M a corto y 68.714 M a largo), minoritarios contables de 7.482 M (1.416 M rescatables a septiembre y 6.066 M no rescatables a junio, porque la nota no los separa) y participadas de 4.000 M a valor contable [5, 113]. Sin otros ajustes: la recompra a plazo y la compra de julio ya están en el balance. La decisión clave es la caja: de los 28.549 M de caja e inversiones a corto, solo unos 1.100 M son de libre uso (último dato publicado, 30-jun); el resto, con las inversiones a largo (58.064 M), respalda reservas médicas (39.352 M) y el capital estatutario [5, 113]. Como su rendimiento ya está en el EBITDA, solo cuenta la caja no regulada. Pesos: el DCF y los escenarios (70 %) porque el valor depende de la recuperación del margen; comparables (PER) y suma de partes, un 15 % cada uno, porque miden un 2026 aún deprimido; transacciones, nada, porque no hay operación posible.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(18.8x) a mitad de camino hacia la mediana de 5 años (19.4x)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r>
    </w:tbl>
    <w:p>
      <w:pPr>
        <w:spacing w:after="160" w:before="0"/>
      </w:pPr>
    </w:p>
    <w:p>
      <w:pPr>
        <w:spacing w:after="100"/>
      </w:pPr>
      <w:r>
        <w:rPr>
          <w:b/>
          <w:bCs/>
        </w:rPr>
        <w:t xml:space="preserve">Objetivo a 12 meses (ponderado):</w:t>
      </w:r>
      <w:r>
        <w:t xml:space="preserve"> 436,07 USD · rentabilidad +10,9 % (base +16,9 %) · señal Mantener.</w:t>
      </w:r>
    </w:p>
    <w:p>
      <w:pPr>
        <w:spacing w:after="100"/>
      </w:pPr>
      <w:r>
        <w:t xml:space="preserve">Para comparar, con la regla v2 (historia al cierre, mismo precio): 16,0x / 18,8x / 23,0x, 17,2 %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(24,10 USD) queda un 4,7 % por debajo del consenso GAAP (25,30) y el de 2027e (21,38) un 1,7 % por debajo (21,74) [65]. Las ventas coinciden (489.214 M frente a 490.043 M); la diferencia es el margen (7,6 % frente al 7,7 % del EBITDA de consenso) y un 21 % de impuestos frente al 19,6 % de 2026. Nuestro precio base (460,31 USD) queda un 3,5 % por debajo del objetivo medio de los analistas (477,04) porque aplicamos 19,1 veces, la mitad del camino hacia la mediana limpia de cinco años; ese objetivo equivale a unas 19 veces el BPA de 2028e del consenso, casi el mismo múltiplo: la diferencia es sobre todo de BPA.</w:t>
      </w:r>
    </w:p>
    <w:p>
      <w:pPr>
        <w:keepNext/>
        <w:spacing w:after="100"/>
      </w:pPr>
      <w:r>
        <w:rPr>
          <w:b/>
          <w:bCs/>
        </w:rPr>
        <w:t xml:space="preserve">Del valor intrínseco al objetivo a 12 meses.</w:t>
      </w:r>
    </w:p>
    <w:p>
      <w:pPr>
        <w:spacing w:after="100"/>
      </w:pPr>
      <w:r>
        <w:t xml:space="preserve">El objetivo a 12 meses (436,07 USD, +10,9 % con dividendo; base 460,31, +16,9 %) queda un 11 % por encima del valor intrínseco (391,52 USD). La distancia es menor del 25 %: el mercado puede pagar dentro de un año el PER de hoy sobre un beneficio de 2028e un 13 % mayor que el de 2027e, pero el DCF, con nuestro coste de capital, no ve valor por encima del precio. Cerrarían la distancia una guía de 2027 por encima de 23,2 USD ajustado (diciembre o enero) o un aviso de tarifas de Medicare Advantage de 2028 generoso (finales de enero).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Elecciones legislativas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analistas que recortaron tras el 3T26 citan el riesgo de cambios en el ajuste de riesgo y las estrellas de Medicare según el resultado [115]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 a 7-dic-2026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Inscripción abierta de Medicare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cuántos afiliados de Medicare Advantage pierde en 2027; la empresa no da cifra [114]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del 31-dic-2026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completa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dijo que la parte baja del 13-16 % de crecimiento es un punto de partida razonable (≈ 23,2 USD de BPA ajustado); el consenso está en 23,23 [67, 114]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Hacia el 20-ene-2027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guía de al menos 20,50 USD y ratio de siniestralidad del 4T sin reservas [113, 121]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tarifas de Medicare Advantage para 2028 (CMS)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aviso de 2027 (+0,09 %) costó un −19,6 % en un día; el comunicado final llega en abril [26, 64]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las investigaciones penal y civil del DOJ sobre Medicare Advantage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o acuerdo y posibles cambios en la codificación de riesgo; la empresa no las cuantifica [30, 113]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médico por encima de las primas: la tendencia comercial superior al 11 % y el fin del desarrollo favorable de reservas devuelven el ratio de siniestralidad al 89 %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en el escenario bajista; ≈ −17 % por punto de margen EBITDA (75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2027 fijados suponiendo que la tendencia sigue alta [114]; repricing anual de las primas comerciales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siniestralidad trimestral por encima del 89 % o reservas desfavorables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Investigaciones penal y civil del DOJ sobre la codificación de riesgo en Medicare Advantage (y, según la prensa, Optum Rx) y demanda bajo la False Claims Act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y 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Multa no cuantificable; si cambia la codificación, −1 punto de margen ≈ −17 %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Special Master recomendó fallar a favor de la empresa en la demanda de 2017; revisión independiente de HouseCalls con un error tres veces menor que el de las auditorías de CMS [5, 113]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o acusación del DOJ; nuevas citaciones en el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Medicare Advantage, ajuste de riesgo (V28) y estrellas más duros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(estimación propia: 0,5-1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 final de 2027 del +2,48 %; la empresa espera acercarse al 75 % de afiliados en planes de 4 estrellas [25, 114]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tarifas de 2028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Medicare Advantage −840.000 afiliados en nueve meses, Medicaid −685.000 y bajas de empresas en el comercial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si 2028e no vuelve a crecer en volumen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Planes de 2027 centrados en HMO, D-SNP y C-SNP, con acceso para el 94 % de los elegibles [114]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Afiliados de Medicare Advantage por debajo de 7,0 M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Reforma de los gestores de farmacia y presión sobre Optum Rx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de comisiones transparente y traslado del 100 % de los descuentos en 2028 ya anunciados [113]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Optum Rx por debajo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Hemsley tiene 73 años y su opción de 60 M USD se consolida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Prima de riesgo +0,5 puntos ≈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CFO, nuevos jefes de Optum y UnitedHealthcare y una directora de administración nueva (28-sep-2026) [38, 45, 119]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en la cúpula o ausencia de sucesor designado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demanda colectiva de CalPERS, ajustes del IRS por precios de transferencia y reclamaciones del ciberataque de Change Healthcare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juez desestimó 43 de 48 declaraciones de la demanda de CalPERS [63]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nuevas en el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Recortes de Medicaid y contracción del mercado individual del ACA tras el fin de los subsidios reforzados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Medicaid en su suelo de margen en 2026 («algo mejor que −1 %») y objetivo de margen normal en 2028 [114]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Medicaid de 2027 por debajo del −1 %</w:t>
            </w:r>
          </w:p>
        </w:tc>
      </w:tr>
    </w:tbl>
    <w:p>
      <w:pPr>
        <w:spacing w:after="160" w:before="0"/>
      </w:pPr>
    </w:p>
    <w:p>
      <w:pPr>
        <w:pStyle w:val="Heading2"/>
      </w:pPr>
      <w:r>
        <w:t xml:space="preserve">Pre-mortem</w:t>
      </w:r>
    </w:p>
    <w:p>
      <w:pPr>
        <w:spacing w:after="100"/>
      </w:pPr>
      <w:r>
        <w:t xml:space="preserve">Octubre de 2029: la acción vale 240 USD y ha perdido un 40 %. La recuperación de 2026 fue en parte contable: el desarrollo favorable de reservas (610 M solo en el 3T26) se agotó en 2027 y la tendencia comercial, que ya superaba el 11 %, siguió subiendo con los fármacos GLP-1 y los arbitrajes de facturación; el ratio de siniestralidad volvió al 89 %. CMS, con el foco político en los «sobrepagos» a Medicare Advantage tras las legislativas, publicó tarifas planas para 2028 y 2029, y las estrellas bajas de 2028 recortaron ingresos. En 2028 el DOJ cerró sus investigaciones con un acuerdo multimillonario y la obligación de cambiar la codificación de riesgo. Hemsley cumplió los 76 y dejó la empresa sin un sucesor claro. El margen EBITDA se quedó en el 6,5 % y el mercado dejó de pagar la prima frente a Elevance y Cigna: con 14 veces el beneficio, el precio cayó por debajo de 250 USD. Lo habrían anticipado el ratio de siniestralidad trimestral sin reservas, el aviso de tarifas de enero de 2027 y los días de siniestros pendientes.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+3 % a 3-5 años (estimación propia: ≈ 0,2 puntos de margen EBITDA en costes operativos, compensados en parte por la presión sobre Optum Insight)</w:t>
      </w:r>
    </w:p>
    <w:p>
      <w:pPr>
        <w:spacing w:after="100"/>
      </w:pPr>
      <w:r>
        <w:t xml:space="preserve">La IA toca sobre todo los costes: los gastos operativos son el 12,8 % de los ingresos (14.369 M en el 3T26) y buena parte es trabajo administrativo que se puede automatizar (siniestros, autorizaciones previas, atención al cliente, codificación). La empresa ya habla de «agentificación» de las operaciones y explica con ella parte de la bajada del ratio de costes del 13,5 % al 12,8 % [113]. Optum Insight (5.474 M de ingresos en el trimestre) vende software y servicios de facturación y documentación clínica: puede ganar con productos de IA o perder precio frente a herramientas nuevas y frente a los hospitales que las adopten [113, 114]. Hay además un riesgo regulatorio: el uso de algoritmos para negar autorizaciones está bajo escrutinio y figura entre los riesgos de la nota de prensa [113]. Señal: el ratio de costes operativos por debajo del 12,5 % en 2027 y el crecimiento de Optum Insight.</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14,5, riesgo bajo (ambiental 0,1; social 10,7; gobierno 3,7) [35]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El primer asunto material es la ciberseguridad y la privacidad de datos de salud: el ataque a Change Healthcare de febrero de 2024 afectó a unos 190 M de personas, costó 2.200 M USD de respuesta directa en 2024 y 867 M de negocio perdido en Optum Insight, obligó a prestar más de 9.000 M sin intereses a proveedores y aún en el 4T25 exigió 799 M de provisiones por esos préstamos [1, 2]. El segundo es el acceso a la atención y la integridad de la facturación a Medicare: el ajuste por riesgo y la codificación de diagnósticos están bajo auditoría de CMS (RADV) y del DOJ [1, 30]. El tercero, la asequibilidad: el compromiso de devolver el beneficio de 2026 del seguro individual del ACA [5].</w:t>
      </w:r>
    </w:p>
    <w:p>
      <w:pPr>
        <w:pStyle w:val="Heading2"/>
      </w:pPr>
      <w:r>
        <w:t xml:space="preserve">Controversias</w:t>
      </w:r>
    </w:p>
    <w:p>
      <w:pPr>
        <w:spacing w:after="100"/>
      </w:pPr>
      <w:r>
        <w:t xml:space="preserve">Ciberataque a Change Healthcare (21-feb-2024) [2]. Asesinato del consejero delegado de UnitedHealthcare, Brian Thompson, en Nueva York el 4-dic-2024, que abrió un debate público sobre la denegación de coberturas [33]. Investigaciones penal y civil del DOJ sobre Medicare Advantage, comunicadas el 24-jul-2025 [30]. Demanda por la ley de reclamaciones falsas (False Claims Act) sobre el ajuste por riesgo, asumida por el DOJ en 2017: en marzo de 2025 un perito judicial recomendó fallar a favor de la empresa y el DOJ lo recurrió en abril de 2025 [1,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el ratio de siniestralidad del 3T26 sin los 610 M de desarrollo favorable de reservas, y qué ratio subyacente se ha usado para fijar los precios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las reservas el ratio del 3T26 habría rondado el 89,1 % (estimación propia); cada punto de margen vale ≈ 75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DOJ</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fase están las investigaciones penal y civil sobre Medicare Advantage y Optum Rx, y qué prácticas de codificación se han cambiado ya?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nota del 3T26 las mantiene entre los riesgos sin novedades y no se habló de ellas en la conferencia; es el mayor riesgo binario.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Medicare Advantage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afiliados esperan perder en 2027 y con qué margen objetivo por afiliado, tras bajar al 69 % de afiliados en planes de 4 estrellas?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−840.000 afiliados en nueve meses; la vuelta al volumen que proyectamos en 2028e depende de 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vuelve el margen del negocio comercial con riesgo, si la tendencia de coste supera el 11 %?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aplazó la respuesta a «dentro de un par de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Health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cuesta la inversión del 4T26 en Optum Health y qué margen es alcanzable en 2028 dentro del 6-8 % objetivo?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Pasó de 41 M de resultado en el 3T25 a 735 M en el 3T26; es la parte de la suma de partes con más recorrido.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caja tiene la matriz a 30-sep y cuándo vuelven las filiales reguladas a pagar dividendos a la matriz como en 2024 (9.200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1.100 M de la caja eran libres a junio; recompras y dividendos (más de 8.000 M en 2026) dependen de esos flujos.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plan de sucesión de Hemsley antes de que se consolide su opción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Rotación casi total de la cúpula en 2025-2026 y presidente y CEO en la misma persona.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colaboradores y noticias sobre UNH, canal RSS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3T26 los titulares se reparten: «el 3T confirma la tesis alcista», «gana más con menos» y «una gran sorpresa» frente a «no confundas mejores resultados con una oportunidad de compra» y «lo bueno ya está en el precio»; antes de resultados dominaban «el potencial se ha agotado» y una rebaja de recomendación. Solo titulares y fechas: las páginas dan 403 [8, E1].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(mensajes sobre $UNH, API pública)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30 últimos mensajes (16-18 de octubre) son de operadores a corto plazo: 14 se marcan alcistas y 3 bajistas; hablan de la subida del objetivo de JPMorgan, de opciones del vencimiento mensual y de las elecciones legislativas como catalizador; casi ninguno discute el negocio [117].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(artículos de opinión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resultados, tono comprador: historia de recuperación con valoración razonable y dividendo alto, aunque el entusiasmo se había enfriado desde julio [101, 102, 103, 104, 105].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TipRanks (indicador de carteras de particulares y de blogueros)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resultados los particulares reducían posiciones mientras los blogueros eran alcistas [106, 107].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(flujo de noticias y titulares sobre UNH)</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la semana previa a resultados muy repartidos, con una nota de un bufete que investiga posibles incumplimientos de deberes fiduciarios [112].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3T26 y la recuperación del margen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los optimistas en el trimestre: ratio de siniestralidad del 88,4 % frente al 89,9 % y resultado operativo de 6.563 M frente a 4.315 M; pero 610 M vienen de reservas de 2026 y sin ellas el ratio habría rondado el 89,1 % (estimación propia: 610 / 87.078) [113].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el rebote: ¿queda recorrido?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401,43 USD cotiza a 18,8 veces nuestro BPA de 2027e, por encima de la mediana de su historia limpia de cinco años (19,4x) solo por poco; el debate «ya está en el precio» encaja con nuestro objetivo a 12 meses [64].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Medicare Advantage: afiliados, estrellas y tarifas de 2028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Pierde 840.000 afiliados en nueve meses y baja al 69 % de afiliados en planes de 4 estrellas para 2028, frente a más del 80 %; los foros lo leen como disciplina o como pérdida de cuota, y las dos cosas son ciertas [113, 114].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Elecciones legislativas y política sanitaria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esperan una ampliación de la cobertura si ganan los demócratas; los analistas que recortan citan el riesgo para el ajuste de riesgo y las estrellas [115, 117]. El informe lo recoge en el riesgo regulatorio.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DOJ y litigios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ausente en los foros y en la conferencia; sigue abierto y sin cuantificar, así que la poca atención puede infravalorar un riesgo binario [1, C4].</w:t>
            </w:r>
          </w:p>
        </w:tc>
      </w:tr>
    </w:tbl>
    <w:p>
      <w:pPr>
        <w:spacing w:after="160" w:before="0"/>
      </w:pPr>
    </w:p>
    <w:p>
      <w:pPr>
        <w:spacing w:after="100"/>
      </w:pPr>
      <w:r>
        <w:t xml:space="preserve">El sentimiento mejora con los resultados pero no es eufórico: los particulares de Stocktwits se inclinan al alza con argumentos de corto plazo y los colaboradores de Seeking Alpha siguen partidos entre «confirma la tesis» y «ya está en el precio». No contradice al consenso de analistas (22 de 26 comprar) ni anticipa un riesgo que el informe no tenga; el que menos atención recibe, el DOJ, es el que más podría mover el precio.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122 (68 primarias); citas distintas en el texto: 114.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-2,6 % frente a -2,6 % real: genera una variación de circulante de 54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122 fuentes (68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66, 100, 108, 109, 110, 111, 120.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(transcripción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de la transcripción del 1T26; 2) Insider Monkey: solo publica el arranque, el resto tras registro; 3) AOL/Motley Fool: la dirección da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(salvo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la empresa (no dan consenso); 2) transcripción del 2T26 de Motley Fool (no da el consenso previo); 3) búsqueda web de la transcripción del 1T26 (solo da el del 1T26)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8 del 10-K 2025 (solo vencimientos por año); 2) 10-Q del 2T26 (remite al 10-K); 3) XBRL companyfacts (sin dato de vida media)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extra.caja_no_regulada (2016, 2017, 2019, 2020, 2022 y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2018 (solo da 2018); 2) 10-K 2021 (solo 2021); 3) 10-K 2024 (solo 2024); no se bajaron los 10-K de esos años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desinversiones 2016-2019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ProceedsFromDivestitureOfBusinesses (empieza en 2020); 2) 10-K 2018 (no hay línea separada en el estado de flujos); 3) 10-K 2021 (desde 2019 sin dato separado)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ESG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la empresa en Sustainalytics/MSCI (carga con JavaScript, sin dato); 2) búsqueda web de la nota MSCI de UNH (sin letra publicada en abierto); 3) MarketScreener y Yahoo Finance (solo descripción cualitativa o puntuaciones de Sustainalytics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(ejercicio 2021 y reexpresión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(2023-2025); 2) 10-K 2024 (2022); 3) el 10-K 2023 no se descargó por presupuesto; la reexpresión de 2026 (Optum Bank pasa a Optum Insight) solo está en los 10-Q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StockAnalysis forecast: solo ingresos y BPA (EBITDA previsto de pago); 2) MarketScreener: no consultado para los ocho comparables por presupuesto de llamadas; 3) cálculo con el margen LTM: descartado por mezclar definiciones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revisadas (foros con comentarios de particulares: Stocktwits, Seeking Alpha comentarios, Rankia, InvestorsHub, Stockhouse, Investing.com)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Stocktwits (API y web), artículos de Seeking Alpha e Investing.com con WebFetch y descargar.mjs: HTTP 403; 2) InvestorsHub y Stockhouse: HTTP 403; Rankia: sin hilo propio de UNH localizable (la etiqueta y la búsqueda llevan a hilos ajenos o 404); 3) se sustituye por titulares de colaboradores de Seeking Alpha, el indicador de particulares de TipRanks y artículos de opinión para particulares (Motley Fool, Insider Monkey, 24/7 Wall St.)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contexto.movimientos_fuertes (caída de agosto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titulares de la acción (sin noticias entre el 14-ago y el 9-sep salvo la declaración de culpabilidad en el caso del asesinato del consejero delegado de UnitedHealthcare); 2) búsqueda de prensa sobre la caída de julio-agosto de 2026; 3) serie diaria de Yahoo: sin ninguna sesión de más del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Explicada como recogida de beneficios gradual tras el máximo del 16-jul, sin hecho concreto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puente.caja (caja no regulada a 30-sep-2026)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3T26 (no la da); 2) transcripción de la conferencia (no la cita); 3) el 10-Q del 3T26 aún no está presentado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mantiene la de 30-jun-2026 (1.100 M)</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https://www.sec.gov/Archives/edgar/data/731766/000073176626000062/unh-20251231.htm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https://www.sec.gov/Archives/edgar/data/731766/000073176625000063/unh-20241231.htm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https://www.sec.gov/Archives/edgar/data/731766/000073176622000008/unh-20211231.htm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Form 10-K del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https://www.sec.gov/Archives/edgar/data/731766/000073176619000005/unh2018123110-k.htm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https://www.sec.gov/Archives/edgar/data/731766/000073176626000197/unh-20260630.htm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Form 10-Q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https://www.sec.gov/Archives/edgar/data/731766/000073176626000127/unh-20260331.htm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Form 10-Q del tercer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https://www.sec.gov/Archives/edgar/data/731766/000073176625000305/unh-20250930.htm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https://www.sec.gov/Archives/edgar/data/731766/000073176626000191/earningsrelease2q26_7152.htm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https://www.sec.gov/Archives/edgar/data/731766/000073176626000121/earningsrelease1q26press.htm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 2025 y guía 2026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https://www.sec.gov/Archives/edgar/data/731766/000073176626000025/a991unherq42025.htm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https://www.sec.gov/Archives/edgar/data/731766/000073176625000301/a2025q3exhibit991.htm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XBRL de UnitedHealth Group (companyfacts, CIK 731766)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https://data.sec.gov/api/xbrl/companyfacts/CIK0000731766.json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(UNH)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Mitrade)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https://www.mitrade.com/insights/news/live-news/article-8-1910297-20260717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Incorporated (NYSE:UNH)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https://www.insidermonkey.com/blog/unitedhealth-group-incorporated-nyseunh-q1-2026-earnings-call-transcript-1743818/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NHE Fact Sheet (National Health Expenditures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https://www.cms.gov/data-research/statistics-trends-and-reports/national-health-expenditure-data/nhe-fact-sheet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Health Expenditure Projections 2025-2034: Forecast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https://www.cms.gov/files/document/nhe-projections-forecast-summary.pdf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NHE Projections 2025-2034, Table 1: National Health Expenditures and Selected Economic Indicators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https://www.cms.gov/files/zip/nhe-projections-tables.zip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Advantage in 2026: Enrollment Update and Key Trends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KFF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https://www.kff.org/medicare/medicare-advantage-in-2026-enrollment-update-and-key-trends/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https://www.sec.gov/Archives/edgar/data/1156039/000115603926000013/elv-20251231.htm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https://www.sec.gov/Archives/edgar/data/1739940/000173994026000006/ci-20251231.htm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https://www.sec.gov/Archives/edgar/data/64803/000006480326000010/cvs-20251231.htm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https://www.sec.gov/Archives/edgar/data/49071/000004907126000009/hum-20251231.htm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https://www.sec.gov/Archives/edgar/data/1071739/000107173926000049/cnc-20251231.htm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https://www.sec.gov/Archives/edgar/data/1179929/000117992926000005/moh-20251231.htm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 Medicare Advantage and Part D Rate Announcement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https://www.cms.gov/newsroom/fact-sheets/2027-medicare-advantage-part-d-rate-announcement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 Medicare Advantage and Part D Advance Notice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https://www.cms.gov/newsroom/fact-sheets/2027-medicare-advantage-part-d-advance-notice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Medicare Advantage and Part D Rate Announcement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https://www.cms.gov/newsroom/fact-sheets/2026-medicare-advantage-part-d-rate-announcement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Top Pharmacy Benefit Managers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Drug Channels Institute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https://www.drugchannels.net/2026/03/the-top-pharmacy-benefit-managers-of.html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in Health Insurance: A Comprehensive Study of U.S. Markets (actualización 2025, datos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Medical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https://www.ama-assn.org/system/files/competition-health-insurance-us-markets.pdf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8-K (punto 8.01) sobre las investigaciones del DOJ</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https://www.sec.gov/Archives/edgar/data/731766/000073176625000224/unh-20250723.htm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8-K (punto 5.02): dimisión de Andrew Witty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https://www.sec.gov/Archives/edgar/data/731766/000073176625000150/unh-20250520.htm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proxy statement (DEF 14A)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https://www.sec.gov/Archives/edgar/data/731766/000110465926046125/tm261387-6_def14a.htm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(artículo de enciclopedia)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https://en.wikipedia.org/wiki/UnitedHealth_Group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Chairman Guthrie Celebrates Long-Awaited PBM Reform Being Signed into Law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de Energía y Comercio de la Cámara de Representantes de EE. UU.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https://republicans-energycommerce.house.gov/posts/chairman-guthrie-celebrates-long-awaited-pbm-reform-being-signed-into-law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(UNH): ficha con riesgo ESG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https://www.home.saxo/en-gb/markets/stocks/unh-xnys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informe anual 10-K 2015 (compra de Catamaran)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https://www.sec.gov/Archives/edgar/data/731766/000073176616000058/unh2015123110-k.htm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salida de Andrew Witty y nombramiento de Stephen Hemsley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https://www.sec.gov/Archives/edgar/data/731766/000073176625000134/unh-20250512.htm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Wayne DeVeydt como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https://www.sec.gov/Archives/edgar/data/731766/000073176625000232/unh-20250725.htm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https://www.sec.gov/Archives/edgar/data/731766/000073176624000167/unh-20240603.htm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junta de 2025 y cancelación de las PSU de Witty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https://www.sec.gov/Archives/edgar/data/731766/000073176625000154/unh-20250602.htm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https://www.sec.gov/Archives/edgar/data/731766/000073176626000138/unh-20260601.htm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obligación de mantener las acciones de la opción de Hemsley hasta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https://www.sec.gov/Archives/edgar/data/731766/000073176626000046/unh-20260223.htm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Scott Gottlieb como consejero independiente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https://www.sec.gov/Archives/edgar/data/731766/000073176625000314/unh-20251118.htm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nuevo Chief Accounting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https://www.sec.gov/Archives/edgar/data/731766/000073176626000064/unh-20260224.htm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Cianfrocco a Gobierno y Cumplimiento; Conway, CEO de Optum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https://www.sec.gov/Archives/edgar/data/731766/000073176625000125/unh-20250429.htm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UnitedHealth Group (abr-2025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https://www.sec.gov/cgi-bin/browse-edgar?action=getcompany&amp;CIK=0000731766&amp;type=4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(10,08 %)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https://www.sec.gov/Archives/edgar/data/731766/000093247125000662/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(realineamiento interno, 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https://www.sec.gov/Archives/edgar/data/731766/000010290926002526/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(7,50 %)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https://www.sec.gov/Archives/edgar/data/731766/000210011926001233/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State Street Corporation (5,0 %)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https://www.sec.gov/Archives/edgar/data/731766/000009375126000551/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2023 presentada en el Investor Conference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https://www.sec.gov/Archives/edgar/data/731766/000073176622000048/a2022investorconferencegui.htm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2024 presentada en el Investor Conference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https://www.sec.gov/Archives/edgar/data/731766/000073176623000080/a2023investorconferencegui.htm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https://www.sec.gov/Archives/edgar/data/731766/000073176624000023/a2023q4exhibit991.htm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https://www.sec.gov/Archives/edgar/data/731766/000073176625000022/a2024q4exhibit991.htm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https://www.sec.gov/Archives/edgar/data/731766/000073176625000123/a2025q1exhibit991.htm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cambio de CEO y suspensión de la guía 2025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https://www.sec.gov/Archives/edgar/data/731766/000073176625000134/exhibit991.htm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https://www.sec.gov/Archives/edgar/data/731766/000073176625000228/a2025q2exhibit991.htm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13F-HR de Berkshire Hathaway, 2T25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https://www.sec.gov/Archives/edgar/data/1067983/000095012325008343/43977.xml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13F-HR de Berkshire Hathaway, 4T25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https://www.sec.gov/Archives/edgar/data/1067983/000119312526054580/50240.xml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13F-HR de Berkshire Hathaway, 1T26 (tabla de posiciones, sin UNH)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https://www.sec.gov/Archives/edgar/data/1067983/000119312526226661/53405.xml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judgment reached in DOJ's Amedisys-UnitedHealth Group lawsuit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Hospice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https://hospicenews.com/2025/12/12/final-judgement-reached-in-in-dojs-amedisys-unitedhealth-group-lawsuit/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Judge lets CalPERS lawsuit against UnitedHealth proceed in part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Claims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https://www.claimsjournal.com/news/national/2026/10/01/340484.htm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UNH, SPY y XLV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https://finance.yahoo.com/quote/UNH/history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https://www.marketscreener.com/quote/stock/UNITEDHEALTH-GROUP-INC-14750/finances/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https://www.marketscreener.com/quote/stock/UNITEDHEALTH-GROUP-INC-14750/consensus/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UNH stock forecast (consenso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https://stockanalysis.com/stocks/unh/forecast/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Announces Earnings Release Date (Business Wire,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https://finviz.com/news/392380/unitedhealth-group-announces-earnings-release-date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(CVS)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https://stockanalysis.com/stocks/cvs/statistics/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(HUM)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(CNC)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https://stockanalysis.com/stocks/cnc/statistics/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(MOH)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Oscar Health (OSCR)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https://stockanalysis.com/stocks/oscr/statistics/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Alignment Healthcare (ALHC)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(CI)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(CVS)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https://stockanalysis.com/stocks/cvs/forecast/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(HUM)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(CNC)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https://stockanalysis.com/stocks/cnc/forecast/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(MOH)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Oscar Health (OSCR)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https://stockanalysis.com/stocks/oscr/forecast/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Alignment Healthcare (ALHC)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https://stockanalysis.com/stocks/alhc/forecast/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Cigna to Acquire Express Scripts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Cigna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https://www.sec.gov/Archives/edgar/data/701221/000095015918000059/ex99-1.htm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Aetna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https://www.sec.gov/Archives/edgar/data/64803/000119312517359526/d482402dex991.htm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OptumInsight and Change Healthcare Combine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https://www.sec.gov/Archives/edgar/data/731766/000119312521002419/d60247dex991.htm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and Optum to Combine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https://www.sec.gov/Archives/edgar/data/896262/000110465923074547/tm2319648d1_ex99-1.htm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Signify Health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https://www.sec.gov/Archives/edgar/data/64803/000119312522238311/d344935dex991.htm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Express Scripts Holding,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https://data.sec.gov/api/xbrl/companyfacts/CIK0001532063.json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Aetna,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https://data.sec.gov/api/xbrl/companyfacts/CIK0001122304.json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Healthcare,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https://data.sec.gov/api/xbrl/companyfacts/CIK0001756497.json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https://data.sec.gov/api/xbrl/companyfacts/CIK0000896262.json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Health,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https://data.sec.gov/api/xbrl/companyfacts/CIK0001828182.json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Oak Street Health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https://www.sec.gov/Archives/edgar/data/64803/000094787123000133/ss1747225_ex9901.htm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to acquire remaining interest in Kindred at Home (exhibit 99.3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https://www.sec.gov/Archives/edgar/data/49071/000004907121000079/exhibit993kindredathome-.htm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Incorporated - News and Analysis (canal RSS del valor, titulares de agosto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https://seekingalpha.com/api/sa/combined/UNH.xml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Is Trouncing the Market in 2026. Is the Stock Still a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https://www.fool.com/investing/2026/09/04/unitedhealth-is-trouncing-the-market-in-2026-is-th/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Stock Is Up 39.4% in the Last 6 Months. How High Can It 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https://www.fool.com/investing/2026/09/08/unitedhealth-group-stock-is-up-39-in-the-last-6-mo/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Should You Buy UnitedHealth Group Stock Before Oct. 13?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https://www.fool.com/investing/2026/09/21/should-you-buy-unitedhealth-group-stock-before-oct-13/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UnitedHealth Stock an Undervalued Stock to Buy Right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https://www.fool.com/investing/2026/09/24/is-unitedhealth-stock-an-undervalued-stock-to-buy/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Reports on Oct. 13. Here's the 1 Number I'm Watching.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https://www.fool.com/investing/2026/10/03/unitedhealth-reports-on-oct-13-heres-the-1-number/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UNH Investor Sentiment (Crowd Wisdom y Blogger Sentiment)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https://www.tipranks.com/stocks/unh/investor-sentiment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Will UnitedHealth Stock Rise or Fall after Q3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https://www.tipranks.com/news/will-unitedhealth-stock-rise-or-fall-after-q3-results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Soars 16% on Improved Medicare Advantage Star Ratings; CVS Slides 3%, UnitedHealth Holds Steady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https://247wallst.com/investing/2026/10/09/humana-soars-16-on-improved-medicare-advantage-star-ratings-cvs-slides-3-unitedhealth-holds-steady/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Suze Orman Warned 390,000 People Their Medicare Plans Are Shutting Down. Then CNBC Called the Same Stock a Turnaround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https://247wallst.com/personal-finance/2026/10/07/suze-orman-warned-390000-people-their-medicare-plans-are-shutting-down-then-cnbc-called-the-same-stock-a-turnaround/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Does UnitedHealth (UNH) Present a Case for Patience in a Margin-Repair 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https://www.insidermonkey.com/news/does-unitedhealth-unh-present-a-case-for-patience-in-a-margin-repair-story-1849912/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UnitedHealth's P/E Has Reset. Is the Stock Finally Undervalued?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 (en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https://finance.yahoo.com/markets/stocks/articles/unitedhealth-p-e-reset-stock-070435587.html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(UNH) News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https://www.marketbeat.com/stocks/NYSE/UNH/news/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Reports Third Quarter 2026 Results (nota de prensa y tablas,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https://www.sec.gov/Archives/edgar/data/731766/000073176626000255/uhgearnings_q32026vfinal.htm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UnitedHealth beats Q3 2026 estimates, lifts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https://www.investing.com/news/transcripts/earnings-call-transcript-unitedhealth-beats-q3-2026-estimates-lifts-outlook-93CH-4946803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cotización y noticias (titulares del 9-sep al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https://www.marketscreener.com/quote/stock/UNITEDHEALTH-GROUP-INC-14750/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Mensajes sobre $UNH (API pública de Stocktwits)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https://api.stocktwits.com/api/2/streams/symbol/UNH.json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Sells Interest in Florida WellMed Clinics to TPG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https://www.insurancejournal.com/news/southeast/2026/09/09/884489.htm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Announces Addition to Leadership Team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https://secure.businesswire.com/news/home/20260924348126/en/UnitedHealth-Group-Announces-Addition-to-Leadership-Team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del 13-oct-2026 (punto 2.02, resultados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https://www.sec.gov/Archives/edgar/data/731766/000073176626000255/unh-20261013.htm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presentaciones de UnitedHealth Group (submissions, CIK 731766)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https://data.sec.gov/submissions/CIK0000731766.json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Rises 4% on Earnings Beat and Raised Full-Year Outlook; Humana Advances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https://247wallst.com/investing/2026/10/13/unitedhealth-rises-4-on-earnings-beat-and-raised-full-year-outlook-humana-advances-2/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93,0 %</w:t>
      </w:r>
      <w:r>
        <w:t xml:space="preserve"> · Secciones con menos del 60 % de campos cubiertos: </w:t>
      </w:r>
      <w:r>
        <w:rPr>
          <w:b/>
          <w:bCs/>
        </w:rPr>
        <w:t xml:space="preserve">ninguna</w:t>
      </w:r>
      <w:r>
        <w:t xml:space="preserve"> · Generado el 18 oct 2026.</w:t>
      </w:r>
    </w:p>
    <w:p>
      <w:pPr>
        <w:pStyle w:val="Nota"/>
        <w:spacing w:after="100"/>
      </w:pPr>
      <w:r>
        <w:t xml:space="preserve">Iteración del análisis del 12-oct-2026 tras los resultados del 3T26 (13-oct). Precio de cierre del viernes 16-oct-2026 (la fecha de corte es domingo). El 10-Q del 3T26 no se ha presentado a la fecha de corte: el trimestre, el LTM a septiembre y el balance del puente salen de la nota de prensa del 8-K del 13-oct, y la caja de libre uso de la matriz y los minoritarios no rescatables son los del 10-Q del 2T26 (30-jun). Criterio de flotante: UnitedHealth es una aseguradora de salud con reservas de cola corta; el EBITDA incluye el rendimiento de las inversiones de las filiales reguladas («investment and other income», 3.431 M en nueve meses de 2026) y, por coherencia, la caja y las inversiones de esas filiales quedan fuera del puente (solo cuentan 1.100 M de caja no regulada), y los «medical costs payable» y los ingresos cobrados por anticipado quedan fuera del circulante comercial. El balance histórico conserva la caja publicada, por lo que la deuda neta histórica y el ROIC del motor no son del todo homogéneos con el puente. Los segmentos de 2016-2025 son los publicados en su día (no reexpresados por el paso de Optum Financial a Optum Insight en 2026). Los comparables son los del informe anterior (9-12 de octubre) llevados al cierre del 16-oct con su variación de precio; su valor empresa resta la caja regulada de las aseguradoras, así que la síntesis usa solo su PER.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UnitedHealth Group Incorporated (UNH)</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401,43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(255,97 – 461,62)</c:v>
                </c:pt>
                <c:pt idx="1">
                  <c:v>Precio objetivo de los analistas (380,00 – 529,00)</c:v>
                </c:pt>
                <c:pt idx="2">
                  <c:v>Comparables: PER NTM (252,12 – 366,24)</c:v>
                </c:pt>
                <c:pt idx="3">
                  <c:v>Transacciones precedentes (EV/EBITDA) (374,62 – 525,58)</c:v>
                </c:pt>
                <c:pt idx="4">
                  <c:v>DCF (WACC y g ± 0,5) (367,09 – 529,35)</c:v>
                </c:pt>
                <c:pt idx="5">
                  <c:v>Escenarios (bajista – alcista) (259,22 – 542,60)</c:v>
                </c:pt>
                <c:pt idx="6">
                  <c:v>Suma de partes (254,91 – 374,89)</c:v>
                </c:pt>
                <c:pt idx="7">
                  <c:v>DCF con la prima implícita del mercado (4,2 %)</c:v>
                </c:pt>
                <c:pt idx="8">
                  <c:v>Precio actual (401,43)</c:v>
                </c:pt>
              </c:strCache>
            </c:strRef>
          </c:cat>
          <c:val>
            <c:numRef>
              <c:f>Hoja1!$B$2:$B$10</c:f>
              <c:numCache>
                <c:formatCode>#,##0</c:formatCode>
                <c:ptCount val="9"/>
                <c:pt idx="0">
                  <c:v>255.97</c:v>
                </c:pt>
                <c:pt idx="1">
                  <c:v>380</c:v>
                </c:pt>
                <c:pt idx="2">
                  <c:v>252.12</c:v>
                </c:pt>
                <c:pt idx="3">
                  <c:v>374.62</c:v>
                </c:pt>
                <c:pt idx="4">
                  <c:v>367.09</c:v>
                </c:pt>
                <c:pt idx="5">
                  <c:v>259.22</c:v>
                </c:pt>
                <c:pt idx="6">
                  <c:v>254.91</c:v>
                </c:pt>
                <c:pt idx="7">
                  <c:v>474.63</c:v>
                </c:pt>
                <c:pt idx="8">
                  <c:v>399.42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(255,97 – 461,62)</c:v>
                </c:pt>
                <c:pt idx="1">
                  <c:v>Precio objetivo de los analistas (380,00 – 529,00)</c:v>
                </c:pt>
                <c:pt idx="2">
                  <c:v>Comparables: PER NTM (252,12 – 366,24)</c:v>
                </c:pt>
                <c:pt idx="3">
                  <c:v>Transacciones precedentes (EV/EBITDA) (374,62 – 525,58)</c:v>
                </c:pt>
                <c:pt idx="4">
                  <c:v>DCF (WACC y g ± 0,5) (367,09 – 529,35)</c:v>
                </c:pt>
                <c:pt idx="5">
                  <c:v>Escenarios (bajista – alcista) (259,22 – 542,60)</c:v>
                </c:pt>
                <c:pt idx="6">
                  <c:v>Suma de partes (254,91 – 374,89)</c:v>
                </c:pt>
                <c:pt idx="7">
                  <c:v>DCF con la prima implícita del mercado (4,2 %)</c:v>
                </c:pt>
                <c:pt idx="8">
                  <c:v>Precio actual (401,43)</c:v>
                </c:pt>
              </c:strCache>
            </c:strRef>
          </c:cat>
          <c:val>
            <c:numRef>
              <c:f>Hoja1!$C$2:$C$10</c:f>
              <c:numCache>
                <c:formatCode>#,##0</c:formatCode>
                <c:ptCount val="9"/>
                <c:pt idx="0">
                  <c:v>205.65</c:v>
                </c:pt>
                <c:pt idx="1">
                  <c:v>149</c:v>
                </c:pt>
                <c:pt idx="2">
                  <c:v>114.12</c:v>
                </c:pt>
                <c:pt idx="3">
                  <c:v>150.96000000000004</c:v>
                </c:pt>
                <c:pt idx="4">
                  <c:v>162.26000000000005</c:v>
                </c:pt>
                <c:pt idx="5">
                  <c:v>283.38</c:v>
                </c:pt>
                <c:pt idx="6">
                  <c:v>119.97999999999999</c:v>
                </c:pt>
                <c:pt idx="7">
                  <c:v>127.99000000000001</c:v>
                </c:pt>
                <c:pt idx="8">
                  <c:v>4.019999999999982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UnitedHealthcare</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148581</c:v>
                </c:pt>
                <c:pt idx="1">
                  <c:v>163257</c:v>
                </c:pt>
                <c:pt idx="2">
                  <c:v>183476</c:v>
                </c:pt>
                <c:pt idx="3">
                  <c:v>193842</c:v>
                </c:pt>
                <c:pt idx="4">
                  <c:v>200875</c:v>
                </c:pt>
                <c:pt idx="5">
                  <c:v>222899</c:v>
                </c:pt>
                <c:pt idx="6">
                  <c:v>249741</c:v>
                </c:pt>
                <c:pt idx="7">
                  <c:v>281360</c:v>
                </c:pt>
                <c:pt idx="8">
                  <c:v>298208</c:v>
                </c:pt>
                <c:pt idx="9">
                  <c:v>344903</c:v>
                </c:pt>
              </c:numCache>
            </c:numRef>
          </c:val>
        </c:ser>
        <c:ser>
          <c:idx val="1"/>
          <c:order val="1"/>
          <c:tx>
            <c:strRef>
              <c:f>Hoja1!$C$1</c:f>
              <c:strCache>
                <c:ptCount val="1"/>
                <c:pt idx="0">
                  <c:v>Optum Health</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16908</c:v>
                </c:pt>
                <c:pt idx="1">
                  <c:v>20570</c:v>
                </c:pt>
                <c:pt idx="2">
                  <c:v>24145</c:v>
                </c:pt>
                <c:pt idx="3">
                  <c:v>30317</c:v>
                </c:pt>
                <c:pt idx="4">
                  <c:v>39808</c:v>
                </c:pt>
                <c:pt idx="5">
                  <c:v>54065</c:v>
                </c:pt>
                <c:pt idx="6">
                  <c:v>71174</c:v>
                </c:pt>
                <c:pt idx="7">
                  <c:v>95319</c:v>
                </c:pt>
                <c:pt idx="8">
                  <c:v>105358</c:v>
                </c:pt>
                <c:pt idx="9">
                  <c:v>101957</c:v>
                </c:pt>
              </c:numCache>
            </c:numRef>
          </c:val>
        </c:ser>
        <c:ser>
          <c:idx val="2"/>
          <c:order val="2"/>
          <c:tx>
            <c:strRef>
              <c:f>Hoja1!$D$1</c:f>
              <c:strCache>
                <c:ptCount val="1"/>
                <c:pt idx="0">
                  <c:v>Optum Insight</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7333</c:v>
                </c:pt>
                <c:pt idx="1">
                  <c:v>8087</c:v>
                </c:pt>
                <c:pt idx="2">
                  <c:v>9008</c:v>
                </c:pt>
                <c:pt idx="3">
                  <c:v>10006</c:v>
                </c:pt>
                <c:pt idx="4">
                  <c:v>10802</c:v>
                </c:pt>
                <c:pt idx="5">
                  <c:v>12199</c:v>
                </c:pt>
                <c:pt idx="6">
                  <c:v>14581</c:v>
                </c:pt>
                <c:pt idx="7">
                  <c:v>18932</c:v>
                </c:pt>
                <c:pt idx="8">
                  <c:v>18757</c:v>
                </c:pt>
                <c:pt idx="9">
                  <c:v>19417</c:v>
                </c:pt>
              </c:numCache>
            </c:numRef>
          </c:val>
        </c:ser>
        <c:ser>
          <c:idx val="3"/>
          <c:order val="3"/>
          <c:tx>
            <c:strRef>
              <c:f>Hoja1!$E$1</c:f>
              <c:strCache>
                <c:ptCount val="1"/>
                <c:pt idx="0">
                  <c:v>Optum Rx</c:v>
                </c:pt>
              </c:strCache>
            </c:strRef>
          </c:tx>
          <c:spPr>
            <a:solidFill>
              <a:srgbClr val="EDA100"/>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60440</c:v>
                </c:pt>
                <c:pt idx="1">
                  <c:v>63755</c:v>
                </c:pt>
                <c:pt idx="2">
                  <c:v>69536</c:v>
                </c:pt>
                <c:pt idx="3">
                  <c:v>74288</c:v>
                </c:pt>
                <c:pt idx="4">
                  <c:v>87498</c:v>
                </c:pt>
                <c:pt idx="5">
                  <c:v>91314</c:v>
                </c:pt>
                <c:pt idx="6">
                  <c:v>99773</c:v>
                </c:pt>
                <c:pt idx="7">
                  <c:v>116087</c:v>
                </c:pt>
                <c:pt idx="8">
                  <c:v>133231</c:v>
                </c:pt>
                <c:pt idx="9">
                  <c:v>154726</c:v>
                </c:pt>
              </c:numCache>
            </c:numRef>
          </c:val>
        </c:ser>
        <c:ser>
          <c:idx val="4"/>
          <c:order val="4"/>
          <c:tx>
            <c:strRef>
              <c:f>Hoja1!$F$1</c:f>
              <c:strCache>
                <c:ptCount val="1"/>
                <c:pt idx="0">
                  <c:v>Eliminaciones</c:v>
                </c:pt>
              </c:strCache>
            </c:strRef>
          </c:tx>
          <c:spPr>
            <a:solidFill>
              <a:srgbClr val="E87BA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Hoja1!$F$2:$F$11</c:f>
              <c:numCache>
                <c:formatCode>#,##0</c:formatCode>
                <c:ptCount val="10"/>
                <c:pt idx="0">
                  <c:v>-48422</c:v>
                </c:pt>
                <c:pt idx="1">
                  <c:v>-54510</c:v>
                </c:pt>
                <c:pt idx="2">
                  <c:v>-59918</c:v>
                </c:pt>
                <c:pt idx="3">
                  <c:v>-66298</c:v>
                </c:pt>
                <c:pt idx="4">
                  <c:v>-81842</c:v>
                </c:pt>
                <c:pt idx="5">
                  <c:v>-92880</c:v>
                </c:pt>
                <c:pt idx="6">
                  <c:v>-111107</c:v>
                </c:pt>
                <c:pt idx="7">
                  <c:v>-140076</c:v>
                </c:pt>
                <c:pt idx="8">
                  <c:v>-155276</c:v>
                </c:pt>
                <c:pt idx="9">
                  <c:v>-173436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UnitedHealthcare</c:v>
                </c:pt>
                <c:pt idx="1">
                  <c:v>Optum Health</c:v>
                </c:pt>
                <c:pt idx="2">
                  <c:v>Optum Insight</c:v>
                </c:pt>
                <c:pt idx="3">
                  <c:v>Optum Rx</c:v>
                </c:pt>
                <c:pt idx="4">
                  <c:v>Eliminaciones</c:v>
                </c:pt>
              </c:strCache>
            </c:strRef>
          </c:cat>
          <c:val>
            <c:numRef>
              <c:f>Hoja1!$B$2:$B$6</c:f>
              <c:numCache>
                <c:formatCode>General</c:formatCode>
                <c:ptCount val="5"/>
                <c:pt idx="0">
                  <c:v>77.1</c:v>
                </c:pt>
                <c:pt idx="1">
                  <c:v>22.8</c:v>
                </c:pt>
                <c:pt idx="2">
                  <c:v>4.3</c:v>
                </c:pt>
                <c:pt idx="3">
                  <c:v>34.6</c:v>
                </c:pt>
                <c:pt idx="4">
                  <c:v>-38.8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Otros (UnitedHealthcare Global, Sudamérica)</c:v>
                </c:pt>
              </c:strCache>
            </c:strRef>
          </c:cat>
          <c:val>
            <c:numRef>
              <c:f>Hoja1!$B$2:$B$3</c:f>
              <c:numCache>
                <c:formatCode>0"%"</c:formatCode>
                <c:ptCount val="2"/>
                <c:pt idx="0">
                  <c:v>99.3</c:v>
                </c:pt>
                <c:pt idx="1">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2019</c:v>
                </c:pt>
                <c:pt idx="1">
                  <c:v>2020</c:v>
                </c:pt>
                <c:pt idx="2">
                  <c:v>2021</c:v>
                </c:pt>
                <c:pt idx="3">
                  <c:v>2022</c:v>
                </c:pt>
                <c:pt idx="4">
                  <c:v>2023</c:v>
                </c:pt>
                <c:pt idx="5">
                  <c:v>2024</c:v>
                </c:pt>
                <c:pt idx="6">
                  <c:v>2025e</c:v>
                </c:pt>
                <c:pt idx="7">
                  <c:v>2026e</c:v>
                </c:pt>
                <c:pt idx="8">
                  <c:v>2027e</c:v>
                </c:pt>
                <c:pt idx="9">
                  <c:v>2028e</c:v>
                </c:pt>
              </c:strCache>
            </c:strRef>
          </c:cat>
          <c:val>
            <c:numRef>
              <c:f>Hoja1!$B$2:$B$11</c:f>
              <c:numCache>
                <c:formatCode>#,##0</c:formatCode>
                <c:ptCount val="10"/>
                <c:pt idx="0">
                  <c:v>3805100</c:v>
                </c:pt>
                <c:pt idx="1">
                  <c:v>4204300</c:v>
                </c:pt>
                <c:pt idx="2">
                  <c:v>4376900</c:v>
                </c:pt>
                <c:pt idx="3">
                  <c:v>4586600</c:v>
                </c:pt>
                <c:pt idx="4">
                  <c:v>4925300</c:v>
                </c:pt>
                <c:pt idx="5">
                  <c:v>5278600</c:v>
                </c:pt>
                <c:pt idx="6">
                  <c:v>5661700</c:v>
                </c:pt>
                <c:pt idx="7">
                  <c:v>6017400</c:v>
                </c:pt>
                <c:pt idx="8">
                  <c:v>6301600</c:v>
                </c:pt>
                <c:pt idx="9">
                  <c:v>6627100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UnitedHealth</c:v>
                </c:pt>
                <c:pt idx="1">
                  <c:v>CVS Health (Aetna, CVS Caremark)</c:v>
                </c:pt>
                <c:pt idx="2">
                  <c:v>The Cigna Group (Express Scripts, Evernorth)</c:v>
                </c:pt>
                <c:pt idx="3">
                  <c:v>Elevance Health</c:v>
                </c:pt>
                <c:pt idx="4">
                  <c:v>Centene</c:v>
                </c:pt>
                <c:pt idx="5">
                  <c:v>Humana</c:v>
                </c:pt>
                <c:pt idx="6">
                  <c:v>Molina Healthcare</c:v>
                </c:pt>
              </c:strCache>
            </c:strRef>
          </c:cat>
          <c:val>
            <c:numRef>
              <c:f>Hoja1!$B$2:$B$8</c:f>
              <c:numCache>
                <c:formatCode>0.0"%"</c:formatCode>
                <c:ptCount val="7"/>
                <c:pt idx="0">
                  <c:v>4.9</c:v>
                </c:pt>
                <c:pt idx="1">
                  <c:v>1.2</c:v>
                </c:pt>
                <c:pt idx="2">
                  <c:v>3.3</c:v>
                </c:pt>
                <c:pt idx="3">
                  <c:v>4.1</c:v>
                </c:pt>
                <c:pt idx="4">
                  <c:v>-3.9</c:v>
                </c:pt>
                <c:pt idx="5">
                  <c:v>2.1</c:v>
                </c:pt>
                <c:pt idx="6">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2</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Hoja1!$B$2:$B$18</c:f>
              <c:numCache>
                <c:formatCode>#,##0</c:formatCode>
                <c:ptCount val="17"/>
                <c:pt idx="0">
                  <c:v>184840</c:v>
                </c:pt>
                <c:pt idx="1">
                  <c:v>201159</c:v>
                </c:pt>
                <c:pt idx="2">
                  <c:v>226247</c:v>
                </c:pt>
                <c:pt idx="3">
                  <c:v>242155</c:v>
                </c:pt>
                <c:pt idx="4">
                  <c:v>257141</c:v>
                </c:pt>
                <c:pt idx="5">
                  <c:v>287597</c:v>
                </c:pt>
                <c:pt idx="6">
                  <c:v>324162</c:v>
                </c:pt>
                <c:pt idx="7">
                  <c:v>371622</c:v>
                </c:pt>
                <c:pt idx="8">
                  <c:v>400278</c:v>
                </c:pt>
                <c:pt idx="9">
                  <c:v>447567</c:v>
                </c:pt>
                <c:pt idx="10">
                  <c:v>448462</c:v>
                </c:pt>
                <c:pt idx="11">
                  <c:v>463710</c:v>
                </c:pt>
                <c:pt idx="12">
                  <c:v>489214</c:v>
                </c:pt>
                <c:pt idx="13">
                  <c:v>516121</c:v>
                </c:pt>
                <c:pt idx="14">
                  <c:v>541927</c:v>
                </c:pt>
                <c:pt idx="15">
                  <c:v>566313</c:v>
                </c:pt>
                <c:pt idx="16">
                  <c:v>588966</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Hoja1!$C$2:$C$18</c:f>
              <c:numCache>
                <c:formatCode>#,##0</c:formatCode>
                <c:ptCount val="17"/>
                <c:pt idx="0">
                  <c:v>14985</c:v>
                </c:pt>
                <c:pt idx="1">
                  <c:v>17454</c:v>
                </c:pt>
                <c:pt idx="2">
                  <c:v>19772</c:v>
                </c:pt>
                <c:pt idx="3">
                  <c:v>22405</c:v>
                </c:pt>
                <c:pt idx="4">
                  <c:v>25296</c:v>
                </c:pt>
                <c:pt idx="5">
                  <c:v>27073</c:v>
                </c:pt>
                <c:pt idx="6">
                  <c:v>31835</c:v>
                </c:pt>
                <c:pt idx="7">
                  <c:v>36330</c:v>
                </c:pt>
                <c:pt idx="8">
                  <c:v>36386</c:v>
                </c:pt>
                <c:pt idx="9">
                  <c:v>26077</c:v>
                </c:pt>
                <c:pt idx="10">
                  <c:v>30720</c:v>
                </c:pt>
                <c:pt idx="11">
                  <c:v>33851</c:v>
                </c:pt>
                <c:pt idx="12">
                  <c:v>37180</c:v>
                </c:pt>
                <c:pt idx="13">
                  <c:v>40515</c:v>
                </c:pt>
                <c:pt idx="14">
                  <c:v>43354</c:v>
                </c:pt>
                <c:pt idx="15">
                  <c:v>45305</c:v>
                </c:pt>
                <c:pt idx="16">
                  <c:v>47117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23.5</c:v>
                </c:pt>
                <c:pt idx="1">
                  <c:v>23.4</c:v>
                </c:pt>
                <c:pt idx="2">
                  <c:v>23.8</c:v>
                </c:pt>
                <c:pt idx="3">
                  <c:v>23.8</c:v>
                </c:pt>
                <c:pt idx="4">
                  <c:v>26.1</c:v>
                </c:pt>
                <c:pt idx="5">
                  <c:v>24.2</c:v>
                </c:pt>
                <c:pt idx="6">
                  <c:v>24.6</c:v>
                </c:pt>
                <c:pt idx="7">
                  <c:v>24.5</c:v>
                </c:pt>
                <c:pt idx="8">
                  <c:v>22.3</c:v>
                </c:pt>
                <c:pt idx="9">
                  <c:v>18.5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8.1</c:v>
                </c:pt>
                <c:pt idx="1">
                  <c:v>8.7</c:v>
                </c:pt>
                <c:pt idx="2">
                  <c:v>8.7</c:v>
                </c:pt>
                <c:pt idx="3">
                  <c:v>9.3</c:v>
                </c:pt>
                <c:pt idx="4">
                  <c:v>9.8</c:v>
                </c:pt>
                <c:pt idx="5">
                  <c:v>9.4</c:v>
                </c:pt>
                <c:pt idx="6">
                  <c:v>9.8</c:v>
                </c:pt>
                <c:pt idx="7">
                  <c:v>9.8</c:v>
                </c:pt>
                <c:pt idx="8">
                  <c:v>9.1</c:v>
                </c:pt>
                <c:pt idx="9">
                  <c:v>5.8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c:v>
                </c:pt>
                <c:pt idx="1">
                  <c:v>7.6</c:v>
                </c:pt>
                <c:pt idx="2">
                  <c:v>7.7</c:v>
                </c:pt>
                <c:pt idx="3">
                  <c:v>8.1</c:v>
                </c:pt>
                <c:pt idx="4">
                  <c:v>8.7</c:v>
                </c:pt>
                <c:pt idx="5">
                  <c:v>8.3</c:v>
                </c:pt>
                <c:pt idx="6">
                  <c:v>8.8</c:v>
                </c:pt>
                <c:pt idx="7">
                  <c:v>8.7</c:v>
                </c:pt>
                <c:pt idx="8">
                  <c:v>8.1</c:v>
                </c:pt>
                <c:pt idx="9">
                  <c:v>4.9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3.8</c:v>
                </c:pt>
                <c:pt idx="1">
                  <c:v>5.2</c:v>
                </c:pt>
                <c:pt idx="2">
                  <c:v>5.3</c:v>
                </c:pt>
                <c:pt idx="3">
                  <c:v>5.7</c:v>
                </c:pt>
                <c:pt idx="4">
                  <c:v>6</c:v>
                </c:pt>
                <c:pt idx="5">
                  <c:v>6</c:v>
                </c:pt>
                <c:pt idx="6">
                  <c:v>6.2</c:v>
                </c:pt>
                <c:pt idx="7">
                  <c:v>6</c:v>
                </c:pt>
                <c:pt idx="8">
                  <c:v>3.6</c:v>
                </c:pt>
                <c:pt idx="9">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6.8</c:v>
                </c:pt>
                <c:pt idx="1">
                  <c:v>9.8</c:v>
                </c:pt>
                <c:pt idx="2">
                  <c:v>12.9</c:v>
                </c:pt>
                <c:pt idx="3">
                  <c:v>12.2</c:v>
                </c:pt>
                <c:pt idx="4">
                  <c:v>12.3</c:v>
                </c:pt>
                <c:pt idx="5">
                  <c:v>2</c:v>
                </c:pt>
                <c:pt idx="6">
                  <c:v>0.4</c:v>
                </c:pt>
                <c:pt idx="7">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c:v>
                </c:pt>
                <c:pt idx="1">
                  <c:v>17</c:v>
                </c:pt>
                <c:pt idx="2">
                  <c:v>18</c:v>
                </c:pt>
                <c:pt idx="3">
                  <c:v>18</c:v>
                </c:pt>
                <c:pt idx="4">
                  <c:v>18</c:v>
                </c:pt>
                <c:pt idx="5">
                  <c:v>18</c:v>
                </c:pt>
                <c:pt idx="6">
                  <c:v>20</c:v>
                </c:pt>
                <c:pt idx="7">
                  <c:v>21</c:v>
                </c:pt>
                <c:pt idx="8">
                  <c:v>20</c:v>
                </c:pt>
                <c:pt idx="9">
                  <c:v>19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5">
                  <c:v>5</c:v>
                </c:pt>
                <c:pt idx="6">
                  <c:v>5</c:v>
                </c:pt>
                <c:pt idx="7">
                  <c:v>4</c:v>
                </c:pt>
                <c:pt idx="8">
                  <c:v>4</c:v>
                </c:pt>
                <c:pt idx="9">
                  <c:v>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34</c:v>
                </c:pt>
                <c:pt idx="1">
                  <c:v>36</c:v>
                </c:pt>
                <c:pt idx="2">
                  <c:v>35</c:v>
                </c:pt>
                <c:pt idx="3">
                  <c:v>38</c:v>
                </c:pt>
                <c:pt idx="4">
                  <c:v>43</c:v>
                </c:pt>
                <c:pt idx="5">
                  <c:v>41</c:v>
                </c:pt>
                <c:pt idx="6">
                  <c:v>41</c:v>
                </c:pt>
                <c:pt idx="7">
                  <c:v>42</c:v>
                </c:pt>
                <c:pt idx="8">
                  <c:v>40</c:v>
                </c:pt>
                <c:pt idx="9">
                  <c:v>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8090</c:v>
                </c:pt>
                <c:pt idx="1">
                  <c:v>11573</c:v>
                </c:pt>
                <c:pt idx="2">
                  <c:v>13650</c:v>
                </c:pt>
                <c:pt idx="3">
                  <c:v>16392</c:v>
                </c:pt>
                <c:pt idx="4">
                  <c:v>20123</c:v>
                </c:pt>
                <c:pt idx="5">
                  <c:v>19889</c:v>
                </c:pt>
                <c:pt idx="6">
                  <c:v>23404</c:v>
                </c:pt>
                <c:pt idx="7">
                  <c:v>25682</c:v>
                </c:pt>
                <c:pt idx="8">
                  <c:v>20705</c:v>
                </c:pt>
                <c:pt idx="9">
                  <c:v>16075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7017</c:v>
                </c:pt>
                <c:pt idx="1">
                  <c:v>10558</c:v>
                </c:pt>
                <c:pt idx="2">
                  <c:v>11986</c:v>
                </c:pt>
                <c:pt idx="3">
                  <c:v>13839</c:v>
                </c:pt>
                <c:pt idx="4">
                  <c:v>15403</c:v>
                </c:pt>
                <c:pt idx="5">
                  <c:v>17285</c:v>
                </c:pt>
                <c:pt idx="6">
                  <c:v>20120</c:v>
                </c:pt>
                <c:pt idx="7">
                  <c:v>22381</c:v>
                </c:pt>
                <c:pt idx="8">
                  <c:v>14405</c:v>
                </c:pt>
                <c:pt idx="9">
                  <c:v>12056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c:v>
                </c:pt>
                <c:pt idx="1">
                  <c:v>18.3</c:v>
                </c:pt>
                <c:pt idx="2">
                  <c:v>18.4</c:v>
                </c:pt>
                <c:pt idx="3">
                  <c:v>18.7</c:v>
                </c:pt>
                <c:pt idx="4">
                  <c:v>18.6</c:v>
                </c:pt>
                <c:pt idx="5">
                  <c:v>19.8</c:v>
                </c:pt>
                <c:pt idx="6">
                  <c:v>20.8</c:v>
                </c:pt>
                <c:pt idx="7">
                  <c:v>20.8</c:v>
                </c:pt>
                <c:pt idx="8">
                  <c:v>17.4</c:v>
                </c:pt>
                <c:pt idx="9">
                  <c:v>12.5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8.8</c:v>
                </c:pt>
                <c:pt idx="1">
                  <c:v>8.8</c:v>
                </c:pt>
                <c:pt idx="2">
                  <c:v>8.8</c:v>
                </c:pt>
                <c:pt idx="3">
                  <c:v>8.8</c:v>
                </c:pt>
                <c:pt idx="4">
                  <c:v>8.8</c:v>
                </c:pt>
                <c:pt idx="5">
                  <c:v>8.8</c:v>
                </c:pt>
                <c:pt idx="6">
                  <c:v>8.8</c:v>
                </c:pt>
                <c:pt idx="7">
                  <c:v>8.8</c:v>
                </c:pt>
                <c:pt idx="8">
                  <c:v>8.8</c:v>
                </c:pt>
                <c:pt idx="9">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18.3</c:v>
                </c:pt>
                <c:pt idx="1">
                  <c:v>24.5</c:v>
                </c:pt>
                <c:pt idx="2">
                  <c:v>24.1</c:v>
                </c:pt>
                <c:pt idx="3">
                  <c:v>25.3</c:v>
                </c:pt>
                <c:pt idx="4">
                  <c:v>25</c:v>
                </c:pt>
                <c:pt idx="5">
                  <c:v>25.2</c:v>
                </c:pt>
                <c:pt idx="6">
                  <c:v>26.9</c:v>
                </c:pt>
                <c:pt idx="7">
                  <c:v>26.9</c:v>
                </c:pt>
                <c:pt idx="8">
                  <c:v>15.9</c:v>
                </c:pt>
                <c:pt idx="9">
                  <c:v>12.9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1.31</c:v>
                </c:pt>
                <c:pt idx="1">
                  <c:v>0.93</c:v>
                </c:pt>
                <c:pt idx="2">
                  <c:v>1.12</c:v>
                </c:pt>
                <c:pt idx="3">
                  <c:v>1.18</c:v>
                </c:pt>
                <c:pt idx="4">
                  <c:v>0.94</c:v>
                </c:pt>
                <c:pt idx="5">
                  <c:v>0.82</c:v>
                </c:pt>
                <c:pt idx="6">
                  <c:v>0.93</c:v>
                </c:pt>
                <c:pt idx="7">
                  <c:v>0.91</c:v>
                </c:pt>
                <c:pt idx="8">
                  <c:v>1.31</c:v>
                </c:pt>
                <c:pt idx="9">
                  <c:v>1.93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6082</c:v>
                </c:pt>
                <c:pt idx="1">
                  <c:v>3530</c:v>
                </c:pt>
                <c:pt idx="2">
                  <c:v>3605</c:v>
                </c:pt>
                <c:pt idx="3">
                  <c:v>3655</c:v>
                </c:pt>
                <c:pt idx="4">
                  <c:v>3855</c:v>
                </c:pt>
                <c:pt idx="5">
                  <c:v>58657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1760</c:v>
                </c:pt>
                <c:pt idx="1">
                  <c:v>2131</c:v>
                </c:pt>
                <c:pt idx="2">
                  <c:v>5997</c:v>
                </c:pt>
                <c:pt idx="3">
                  <c:v>8343</c:v>
                </c:pt>
                <c:pt idx="4">
                  <c:v>7139</c:v>
                </c:pt>
                <c:pt idx="5">
                  <c:v>4821</c:v>
                </c:pt>
                <c:pt idx="6">
                  <c:v>21458</c:v>
                </c:pt>
                <c:pt idx="7">
                  <c:v>10136</c:v>
                </c:pt>
                <c:pt idx="8">
                  <c:v>13408</c:v>
                </c:pt>
                <c:pt idx="9">
                  <c:v>4509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2261</c:v>
                </c:pt>
                <c:pt idx="1">
                  <c:v>2773</c:v>
                </c:pt>
                <c:pt idx="2">
                  <c:v>3320</c:v>
                </c:pt>
                <c:pt idx="3">
                  <c:v>3932</c:v>
                </c:pt>
                <c:pt idx="4">
                  <c:v>4584</c:v>
                </c:pt>
                <c:pt idx="5">
                  <c:v>5280</c:v>
                </c:pt>
                <c:pt idx="6">
                  <c:v>5991</c:v>
                </c:pt>
                <c:pt idx="7">
                  <c:v>6761</c:v>
                </c:pt>
                <c:pt idx="8">
                  <c:v>7533</c:v>
                </c:pt>
                <c:pt idx="9">
                  <c:v>7916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1280</c:v>
                </c:pt>
                <c:pt idx="1">
                  <c:v>1500</c:v>
                </c:pt>
                <c:pt idx="2">
                  <c:v>4500</c:v>
                </c:pt>
                <c:pt idx="3">
                  <c:v>5500</c:v>
                </c:pt>
                <c:pt idx="4">
                  <c:v>4250</c:v>
                </c:pt>
                <c:pt idx="5">
                  <c:v>5000</c:v>
                </c:pt>
                <c:pt idx="6">
                  <c:v>7000</c:v>
                </c:pt>
                <c:pt idx="7">
                  <c:v>8000</c:v>
                </c:pt>
                <c:pt idx="8">
                  <c:v>9000</c:v>
                </c:pt>
                <c:pt idx="9">
                  <c:v>5545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BlackRock, Inc.</c:v>
                </c:pt>
                <c:pt idx="1">
                  <c:v>Vanguard Capital Management</c:v>
                </c:pt>
                <c:pt idx="2">
                  <c:v>State Street Corporation</c:v>
                </c:pt>
                <c:pt idx="3">
                  <c:v>Berkshire Hathaway</c:v>
                </c:pt>
                <c:pt idx="4">
                  <c:v>Consejeros y directivos (16 personas)</c:v>
                </c:pt>
                <c:pt idx="5">
                  <c:v>Autocartera</c:v>
                </c:pt>
              </c:strCache>
            </c:strRef>
          </c:cat>
          <c:val>
            <c:numRef>
              <c:f>Hoja1!$B$2:$B$7</c:f>
              <c:numCache>
                <c:formatCode>0.0"%"</c:formatCode>
                <c:ptCount val="6"/>
                <c:pt idx="0">
                  <c:v>7.99</c:v>
                </c:pt>
                <c:pt idx="1">
                  <c:v>7.5</c:v>
                </c:pt>
                <c:pt idx="2">
                  <c:v>5</c:v>
                </c:pt>
                <c:pt idx="3">
                  <c:v>0</c:v>
                </c:pt>
                <c:pt idx="4">
                  <c:v>0.19</c:v>
                </c:pt>
                <c:pt idx="5">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38.4</c:v>
                </c:pt>
                <c:pt idx="1">
                  <c:v>39.8</c:v>
                </c:pt>
                <c:pt idx="2">
                  <c:v>14.5</c:v>
                </c:pt>
                <c:pt idx="3">
                  <c:v>20</c:v>
                </c:pt>
                <c:pt idx="4">
                  <c:v>21.3</c:v>
                </c:pt>
                <c:pt idx="5">
                  <c:v>45.2</c:v>
                </c:pt>
                <c:pt idx="6">
                  <c:v>6.9</c:v>
                </c:pt>
                <c:pt idx="7">
                  <c:v>0.8</c:v>
                </c:pt>
                <c:pt idx="8">
                  <c:v>-2.4</c:v>
                </c:pt>
                <c:pt idx="9">
                  <c:v>-33.1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11.8</c:v>
                </c:pt>
                <c:pt idx="1">
                  <c:v>13.6</c:v>
                </c:pt>
                <c:pt idx="2">
                  <c:v>13.7</c:v>
                </c:pt>
                <c:pt idx="3">
                  <c:v>14.1</c:v>
                </c:pt>
                <c:pt idx="4">
                  <c:v>14.5</c:v>
                </c:pt>
                <c:pt idx="5">
                  <c:v>18.7</c:v>
                </c:pt>
                <c:pt idx="6">
                  <c:v>17</c:v>
                </c:pt>
                <c:pt idx="7">
                  <c:v>14.8</c:v>
                </c:pt>
                <c:pt idx="8">
                  <c:v>14.5</c:v>
                </c:pt>
                <c:pt idx="9">
                  <c:v>13.8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14.3</c:v>
                </c:pt>
                <c:pt idx="1">
                  <c:v>14.3</c:v>
                </c:pt>
                <c:pt idx="2">
                  <c:v>14.3</c:v>
                </c:pt>
                <c:pt idx="3">
                  <c:v>14.3</c:v>
                </c:pt>
                <c:pt idx="4">
                  <c:v>14.3</c:v>
                </c:pt>
                <c:pt idx="5">
                  <c:v>14.3</c:v>
                </c:pt>
                <c:pt idx="6">
                  <c:v>14.3</c:v>
                </c:pt>
                <c:pt idx="7">
                  <c:v>14.3</c:v>
                </c:pt>
                <c:pt idx="8">
                  <c:v>14.3</c:v>
                </c:pt>
                <c:pt idx="9">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UnitedHealth</c:v>
                </c:pt>
                <c:pt idx="1">
                  <c:v>Elevance Health</c:v>
                </c:pt>
                <c:pt idx="2">
                  <c:v>The Cigna Group</c:v>
                </c:pt>
                <c:pt idx="3">
                  <c:v>CVS Health</c:v>
                </c:pt>
                <c:pt idx="4">
                  <c:v>Humana</c:v>
                </c:pt>
                <c:pt idx="5">
                  <c:v>Centene</c:v>
                </c:pt>
                <c:pt idx="6">
                  <c:v>Molina Healthcare</c:v>
                </c:pt>
                <c:pt idx="7">
                  <c:v>Oscar Health</c:v>
                </c:pt>
                <c:pt idx="8">
                  <c:v>Alignment Healthcare</c:v>
                </c:pt>
              </c:strCache>
            </c:strRef>
          </c:cat>
          <c:val>
            <c:numRef>
              <c:f>Hoja1!$B$2:$B$10</c:f>
              <c:numCache>
                <c:formatCode>0.0"x"</c:formatCode>
                <c:ptCount val="9"/>
                <c:pt idx="0">
                  <c:v>13.3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Express Scripts</c:v>
                </c:pt>
                <c:pt idx="1">
                  <c:v>Aetna</c:v>
                </c:pt>
                <c:pt idx="2">
                  <c:v>Change Healthcare</c:v>
                </c:pt>
                <c:pt idx="3">
                  <c:v>Amedisys</c:v>
                </c:pt>
                <c:pt idx="4">
                  <c:v>Signify Health</c:v>
                </c:pt>
                <c:pt idx="5">
                  <c:v>Oak Street Health</c:v>
                </c:pt>
                <c:pt idx="6">
                  <c:v>Kindred at Home (60 % restante)</c:v>
                </c:pt>
              </c:strCache>
            </c:strRef>
          </c:cat>
          <c:val>
            <c:numRef>
              <c:f>Hoja1!$B$2:$B$8</c:f>
              <c:numCache>
                <c:formatCode>0.0"x"</c:formatCode>
                <c:ptCount val="7"/>
                <c:pt idx="0">
                  <c:v>9.2</c:v>
                </c:pt>
                <c:pt idx="2">
                  <c:v>18.1</c:v>
                </c:pt>
                <c:pt idx="3">
                  <c:v>17.9</c:v>
                </c:pt>
                <c:pt idx="4">
                  <c:v>67.8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22143</c:v>
                </c:pt>
                <c:pt idx="1">
                  <c:v>23012</c:v>
                </c:pt>
                <c:pt idx="2">
                  <c:v>25437</c:v>
                </c:pt>
                <c:pt idx="3">
                  <c:v>27597</c:v>
                </c:pt>
                <c:pt idx="4">
                  <c:v>29556</c:v>
                </c:pt>
                <c:pt idx="5">
                  <c:v>30819</c:v>
                </c:pt>
                <c:pt idx="6">
                  <c:v>31981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132191</c:v>
                </c:pt>
                <c:pt idx="1">
                  <c:v>336298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401,43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259.22</c:v>
                </c:pt>
                <c:pt idx="1">
                  <c:v>434.34</c:v>
                </c:pt>
                <c:pt idx="2">
                  <c:v>542.6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401,43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(255,97 – 461,62)</c:v>
                </c:pt>
                <c:pt idx="1">
                  <c:v>Precio objetivo de los analistas (380,00 – 529,00)</c:v>
                </c:pt>
                <c:pt idx="2">
                  <c:v>Comparables: PER NTM (252,12 – 366,24)</c:v>
                </c:pt>
                <c:pt idx="3">
                  <c:v>Transacciones precedentes (EV/EBITDA) (374,62 – 525,58)</c:v>
                </c:pt>
                <c:pt idx="4">
                  <c:v>DCF (WACC y g ± 0,5) (367,09 – 529,35)</c:v>
                </c:pt>
                <c:pt idx="5">
                  <c:v>Escenarios (bajista – alcista) (259,22 – 542,60)</c:v>
                </c:pt>
                <c:pt idx="6">
                  <c:v>Suma de partes (254,91 – 374,89)</c:v>
                </c:pt>
                <c:pt idx="7">
                  <c:v>DCF con la prima implícita del mercado (4,2 %)</c:v>
                </c:pt>
                <c:pt idx="8">
                  <c:v>Precio actual (401,43)</c:v>
                </c:pt>
              </c:strCache>
            </c:strRef>
          </c:cat>
          <c:val>
            <c:numRef>
              <c:f>Hoja1!$B$2:$B$10</c:f>
              <c:numCache>
                <c:formatCode>#,##0</c:formatCode>
                <c:ptCount val="9"/>
                <c:pt idx="0">
                  <c:v>255.97</c:v>
                </c:pt>
                <c:pt idx="1">
                  <c:v>380</c:v>
                </c:pt>
                <c:pt idx="2">
                  <c:v>252.12</c:v>
                </c:pt>
                <c:pt idx="3">
                  <c:v>374.62</c:v>
                </c:pt>
                <c:pt idx="4">
                  <c:v>367.09</c:v>
                </c:pt>
                <c:pt idx="5">
                  <c:v>259.22</c:v>
                </c:pt>
                <c:pt idx="6">
                  <c:v>254.91</c:v>
                </c:pt>
                <c:pt idx="7">
                  <c:v>474.63</c:v>
                </c:pt>
                <c:pt idx="8">
                  <c:v>399.42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(255,97 – 461,62)</c:v>
                </c:pt>
                <c:pt idx="1">
                  <c:v>Precio objetivo de los analistas (380,00 – 529,00)</c:v>
                </c:pt>
                <c:pt idx="2">
                  <c:v>Comparables: PER NTM (252,12 – 366,24)</c:v>
                </c:pt>
                <c:pt idx="3">
                  <c:v>Transacciones precedentes (EV/EBITDA) (374,62 – 525,58)</c:v>
                </c:pt>
                <c:pt idx="4">
                  <c:v>DCF (WACC y g ± 0,5) (367,09 – 529,35)</c:v>
                </c:pt>
                <c:pt idx="5">
                  <c:v>Escenarios (bajista – alcista) (259,22 – 542,60)</c:v>
                </c:pt>
                <c:pt idx="6">
                  <c:v>Suma de partes (254,91 – 374,89)</c:v>
                </c:pt>
                <c:pt idx="7">
                  <c:v>DCF con la prima implícita del mercado (4,2 %)</c:v>
                </c:pt>
                <c:pt idx="8">
                  <c:v>Precio actual (401,43)</c:v>
                </c:pt>
              </c:strCache>
            </c:strRef>
          </c:cat>
          <c:val>
            <c:numRef>
              <c:f>Hoja1!$C$2:$C$10</c:f>
              <c:numCache>
                <c:formatCode>#,##0</c:formatCode>
                <c:ptCount val="9"/>
                <c:pt idx="0">
                  <c:v>205.65</c:v>
                </c:pt>
                <c:pt idx="1">
                  <c:v>149</c:v>
                </c:pt>
                <c:pt idx="2">
                  <c:v>114.12</c:v>
                </c:pt>
                <c:pt idx="3">
                  <c:v>150.96000000000004</c:v>
                </c:pt>
                <c:pt idx="4">
                  <c:v>162.26000000000005</c:v>
                </c:pt>
                <c:pt idx="5">
                  <c:v>283.38</c:v>
                </c:pt>
                <c:pt idx="6">
                  <c:v>119.97999999999999</c:v>
                </c:pt>
                <c:pt idx="7">
                  <c:v>127.99000000000001</c:v>
                </c:pt>
                <c:pt idx="8">
                  <c:v>4.019999999999982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