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L’Oréal S.A.</w:t>
      </w:r>
    </w:p>
    <w:p>
      <w:pPr>
        <w:spacing w:after="60"/>
        <w:rPr>
          <w:color w:val="52514E"/>
          <w:sz w:val="22"/>
          <w:szCs w:val="22"/>
        </w:rPr>
      </w:pPr>
      <w:r>
        <w:rPr>
          <w:color w:val="52514E"/>
          <w:sz w:val="22"/>
          <w:szCs w:val="22"/>
        </w:rPr>
        <w:t xml:space="preserve">OR.PA · Euronext París · ISIN FR0000120321 ·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23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413,00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420,50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+3,6 % (base +8,2 %)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291,66 EUR · mercado 356,36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220.501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19,0x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L’Oréal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OR.PA / FR0000120321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básico / Cosmética y cuidado personal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Clichy (París) · 1909</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www.loreal-finance.com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413,00 (22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338,85 – 413,20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533,9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220.501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231.074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120 M EUR/día (311.807 acciones, 64 sesiones hasta el 21-oct-2026)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420,50 EUR</w:t>
      </w:r>
      <w:r>
        <w:t xml:space="preserve"> frente a 413,00 · Rentabilidad a 12 meses </w:t>
      </w:r>
      <w:r>
        <w:rPr>
          <w:b/>
          <w:bCs/>
        </w:rPr>
        <w:t xml:space="preserve">+3,6 % (base +8,2 %)</w:t>
      </w:r>
      <w:r>
        <w:t xml:space="preserve"> · Valor intrínseco 291,66 EUR · con la prima implícita del mercado: 356,36 (-13,7 %) · Alcista / bajista -17,8 % / -49,3 %</w:t>
      </w:r>
    </w:p>
    <w:p>
      <w:pPr>
        <w:spacing w:after="100"/>
      </w:pPr>
      <w:r>
        <w:rPr>
          <w:b/>
        </w:rPr>
        <w:t xml:space="preserve">La recomendación y por qué.</w:t>
      </w:r>
      <w:r>
        <w:t xml:space="preserve"> Mantener, con convicción media. Con nuestro BPA y la regla común de múltiplos, el objetivo a 12 meses da un +3,5 % ponderado con dividendo y un +8,1 % en el caso base (439,52 EUR) sobre el cierre del 22-oct (413,00 EUR): no llega al +15 % que pide una compra. El valor intrínseco, 291,66 EUR, queda un 29,4 % por debajo del precio. La convicción es media porque las dos reglas coinciden (ni compra ni venta) y el precio está lejos de los umbrales; la subiría un crecimiento comparable por encima del 8 % sostenido y la bajaría uno por debajo del 5 %.</w:t>
      </w:r>
    </w:p>
    <w:p>
      <w:pPr>
        <w:spacing w:after="100"/>
      </w:pPr>
      <w:r>
        <w:rPr>
          <w:b/>
        </w:rPr>
        <w:t xml:space="preserve">Qué ha pasado en el 3T26.</w:t>
      </w:r>
      <w:r>
        <w:t xml:space="preserve"> Ventas de 11.561 M EUR, +7,2 % comparable y +11,9 % publicado, un 3 % por encima de lo esperado; nueve meses de 35.338 M, +6,9 % comparable [A, D]. Crecen todas las divisiones: Profesionales y Dermatológica un 13,9 %, Luxe un 7,0 % y Gran Consumo un 3,8 %. Por zonas, solo cae Latinoamérica (−1,0 %, por México); Norte de Asia acelera al +7,8 %. La guía sigue sin cifras: «otro año de crecimiento en ventas y beneficio» [A].</w:t>
      </w:r>
    </w:p>
    <w:p>
      <w:pPr>
        <w:spacing w:after="100"/>
      </w:pPr>
      <w:r>
        <w:rPr>
          <w:b/>
        </w:rPr>
        <w:t xml:space="preserve">El negocio.</w:t>
      </w:r>
      <w:r>
        <w:t xml:space="preserve"> L’Oréal es el líder mundial de la belleza, con 40 marcas internacionales y un margen operativo récord del 21,3 % en el 1S26; ROIC del 18 % [A, B].</w:t>
      </w:r>
    </w:p>
    <w:p>
      <w:pPr>
        <w:spacing w:after="100"/>
      </w:pPr>
      <w:r>
        <w:rPr>
          <w:b/>
        </w:rPr>
        <w:t xml:space="preserve">Sector y ciclo.</w:t>
      </w:r>
      <w:r>
        <w:t xml:space="preserve"> La belleza es defensiva y crece de forma estable: la dirección espera un 4,5-5 % en 2026 tras un ≈3,5 % en 2025; L’Oréal crece casi el doble [B].</w:t>
      </w:r>
    </w:p>
    <w:p>
      <w:pPr>
        <w:spacing w:after="100"/>
      </w:pPr>
      <w:r>
        <w:rPr>
          <w:b/>
        </w:rPr>
        <w:t xml:space="preserve">Finanzas.</w:t>
      </w:r>
      <w:r>
        <w:t xml:space="preserve"> Ventas de 44.052 M en 2025, resultado operativo de 8.892 M y flujo libre de 6.708 M tras arrendamientos [A]. La deuda neta pasó de 2.051 M a 12.664 M en el 1S26 por Kering Beauté y Galderma, 1,2 veces el EBITDA, con rating AA [A].</w:t>
      </w:r>
    </w:p>
    <w:p>
      <w:pPr>
        <w:spacing w:after="100"/>
      </w:pPr>
      <w:r>
        <w:rPr>
          <w:b/>
        </w:rPr>
        <w:t xml:space="preserve">Equipo y gobierno.</w:t>
      </w:r>
      <w:r>
        <w:t xml:space="preserve"> La familia Bettencourt Meyers (34,8 %) y Nestlé (20,2 %) suman el 55 % del capital; Pablo Isla entra en el consejo como vicepresidente propuesto por Nestlé. Los directivos vendieron unos 14 M EUR de acciones en doce meses, sin compras [C].</w:t>
      </w:r>
    </w:p>
    <w:p>
      <w:pPr>
        <w:spacing w:after="100"/>
      </w:pPr>
      <w:r>
        <w:rPr>
          <w:b/>
        </w:rPr>
        <w:t xml:space="preserve">Valoración.</w:t>
      </w:r>
      <w:r>
        <w:t xml:space="preserve"> El DCF da 289,72 EUR (WACC del 7,82 %) y 367,02 con la prima del mercado. A 413 EUR el mercado descuenta un crecimiento del 9,9 % anual frente a nuestro 4,8 %. Cotiza a 28,1 veces el beneficio de los próximos 12 meses, por encima de su mediana histórica (27,6 veces) y con una prima del 18 % sobre el sector [D].</w:t>
      </w:r>
    </w:p>
    <w:p>
      <w:pPr>
        <w:spacing w:after="100"/>
      </w:pPr>
      <w:r>
        <w:rPr>
          <w:b/>
        </w:rPr>
        <w:t xml:space="preserve">Qué cambiaría la decisión.</w:t>
      </w:r>
      <w:r>
        <w:t xml:space="preserve"> Compraríamos por debajo de 291,66 EUR, el valor intrínseco. Venderíamos por encima de 475,02 EUR.</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420,50 EUR</w:t>
      </w:r>
      <w:r>
        <w:t xml:space="preserve"> (rentabilidad +3,6 % (base +8,2 %)) · Valor intrínseco: 291,66 EUR (-29,4 % sobre 413,00) · con la prima implícita del mercado: 356,36 (-13,7 %)</w:t>
      </w:r>
    </w:p>
    <w:p>
      <w:pPr>
        <w:spacing w:after="100"/>
      </w:pPr>
      <w:r>
        <w:t xml:space="preserve">L’Oréal es la mejor empresa de un sector defensivo: líder mundial de la belleza con un margen operativo que sube cada año, un ROIC del 18 % y un crecimiento que en 2026 ha vuelto al 7 % comparable [A]. El precio ya lo paga: 28 veces el beneficio y un crecimiento implícito del 9,9 % anual durante una década. Es una empresa para tener a mejor precio.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420,50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 × 14,00 = 312,20 · 27,8x × 15,81 = 439,52 · 28,8x × 17,04 = 490,75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 / 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418,00 (nuestro base +5,1 %)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291,66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 / -49,3 %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 frente a 7,8 % y 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356,36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 frente a 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291,66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291,66 y 475,22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475,22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291,66 EUR, pasaríamos a Comprar.</w:t>
      </w:r>
    </w:p>
    <w:p>
      <w:pPr>
        <w:pStyle w:val="ListParagraph"/>
        <w:numPr>
          <w:ilvl w:val="0"/>
          <w:numId w:val="2"/>
        </w:numPr>
        <w:spacing w:after="60"/>
      </w:pPr>
      <w:r>
        <w:t xml:space="preserve">Si el precio supera 475,02 EUR, pasaríamos a Vender.</w:t>
      </w:r>
    </w:p>
    <w:p>
      <w:pPr>
        <w:pStyle w:val="ListParagraph"/>
        <w:numPr>
          <w:ilvl w:val="0"/>
          <w:numId w:val="2"/>
        </w:numPr>
        <w:spacing w:after="60"/>
      </w:pPr>
      <w:r>
        <w:t xml:space="preserve">Si el crecimiento comparable cae por debajo del 5 % dos trimestres seguidos, rebajaríamos el base hacia el bajista.</w:t>
      </w:r>
    </w:p>
    <w:p>
      <w:pPr>
        <w:pStyle w:val="ListParagraph"/>
        <w:numPr>
          <w:ilvl w:val="0"/>
          <w:numId w:val="2"/>
        </w:numPr>
        <w:spacing w:after="60"/>
      </w:pPr>
      <w:r>
        <w:t xml:space="preserve">Si L’Oréal recompra el 20,2 % de Nestlé con deuda y Sanofi, revisaríamos el BPA de 2028e al alza.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L’Oréal seguirá creciendo muy por encima del mercado durante una década y merece unas 28 veces el beneficio. El objetivo medio de los analistas es de 418 EUR, con 15 compras de 24 [D].</w:t>
      </w:r>
    </w:p>
    <w:p>
      <w:pPr>
        <w:keepNext/>
        <w:spacing w:after="100"/>
      </w:pPr>
      <w:r>
        <w:rPr>
          <w:b/>
          <w:bCs/>
        </w:rPr>
        <w:t xml:space="preserve">Lo que creemos nosotros.</w:t>
      </w:r>
    </w:p>
    <w:p>
      <w:pPr>
        <w:spacing w:after="100"/>
      </w:pPr>
      <w:r>
        <w:t xml:space="preserve">Coincidimos con el consenso en el beneficio (BPA de 14,71 EUR en 2027e frente a 14,95) y casi en el objetivo a 12 meses. Discrepamos en el largo plazo: con un 4,8 % anual en 2027e-2035e la acción vale 289,72 EUR por DCF.</w:t>
      </w:r>
    </w:p>
    <w:p>
      <w:pPr>
        <w:keepNext/>
        <w:spacing w:after="100"/>
      </w:pPr>
      <w:r>
        <w:rPr>
          <w:b/>
          <w:bCs/>
        </w:rPr>
        <w:t xml:space="preserve">Por qué podemos tener razón.</w:t>
      </w:r>
    </w:p>
    <w:p>
      <w:pPr>
        <w:spacing w:after="100"/>
      </w:pPr>
      <w:r>
        <w:t xml:space="preserve">La calidad es real, pero el precio ya la paga; la rentabilidad a 12 meses depende de que el múltiplo no baje.</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413,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El 3T26 acelera</w:t>
      </w:r>
      <w:r>
        <w:t xml:space="preserve">: +7,2 % comparable y +11,9 % publicado, por encima de lo esperado [A, D].</w:t>
      </w:r>
    </w:p>
    <w:p>
      <w:pPr>
        <w:pStyle w:val="ListParagraph"/>
        <w:numPr>
          <w:ilvl w:val="0"/>
          <w:numId w:val="2"/>
        </w:numPr>
        <w:spacing w:after="60"/>
      </w:pPr>
      <w:r>
        <w:rPr>
          <w:b/>
        </w:rPr>
        <w:t xml:space="preserve">Margen al alza</w:t>
      </w:r>
      <w:r>
        <w:t xml:space="preserve">: 21,3 % operativo en el 1S26, récord [A].</w:t>
      </w:r>
    </w:p>
    <w:p>
      <w:pPr>
        <w:pStyle w:val="ListParagraph"/>
        <w:numPr>
          <w:ilvl w:val="0"/>
          <w:numId w:val="2"/>
        </w:numPr>
        <w:spacing w:after="60"/>
      </w:pPr>
      <w:r>
        <w:rPr>
          <w:b/>
        </w:rPr>
        <w:t xml:space="preserve">Compras que suman crecimiento</w:t>
      </w:r>
      <w:r>
        <w:t xml:space="preserve">: Kering Beauté desde abril de 2026 y Gucci desde julio de 2027 [A, B].</w:t>
      </w:r>
    </w:p>
    <w:p>
      <w:pPr>
        <w:pStyle w:val="ListParagraph"/>
        <w:numPr>
          <w:ilvl w:val="0"/>
          <w:numId w:val="2"/>
        </w:numPr>
        <w:spacing w:after="60"/>
      </w:pPr>
      <w:r>
        <w:rPr>
          <w:b/>
        </w:rPr>
        <w:t xml:space="preserve">Participaciones líquidas</w:t>
      </w:r>
      <w:r>
        <w:t xml:space="preserve">: Sanofi y Galderma, ≈16.100 M (≈30 EUR por acción) [A, D].</w:t>
      </w:r>
    </w:p>
    <w:p>
      <w:pPr>
        <w:pStyle w:val="ListParagraph"/>
        <w:numPr>
          <w:ilvl w:val="0"/>
          <w:numId w:val="2"/>
        </w:numPr>
        <w:spacing w:after="60"/>
      </w:pPr>
      <w:r>
        <w:rPr>
          <w:b/>
        </w:rPr>
        <w:t xml:space="preserve">Profesionales y Dermatológica</w:t>
      </w:r>
      <w:r>
        <w:t xml:space="preserve">: +13,9 % en el 3T26 [A].</w:t>
      </w:r>
    </w:p>
    <w:p>
      <w:pPr>
        <w:pStyle w:val="Heading2"/>
      </w:pPr>
      <w:r>
        <w:t xml:space="preserve">En contra</w:t>
      </w:r>
    </w:p>
    <w:p>
      <w:pPr>
        <w:pStyle w:val="ListParagraph"/>
        <w:numPr>
          <w:ilvl w:val="0"/>
          <w:numId w:val="2"/>
        </w:numPr>
        <w:spacing w:after="60"/>
      </w:pPr>
      <w:r>
        <w:rPr>
          <w:b/>
        </w:rPr>
        <w:t xml:space="preserve">Valor intrínseco por debajo del precio</w:t>
      </w:r>
      <w:r>
        <w:t xml:space="preserve">: 291,66 EUR (−29,4 %).</w:t>
      </w:r>
    </w:p>
    <w:p>
      <w:pPr>
        <w:pStyle w:val="ListParagraph"/>
        <w:numPr>
          <w:ilvl w:val="0"/>
          <w:numId w:val="2"/>
        </w:numPr>
        <w:spacing w:after="60"/>
      </w:pPr>
      <w:r>
        <w:rPr>
          <w:b/>
        </w:rPr>
        <w:t xml:space="preserve">Crecimiento implícito exigente</w:t>
      </w:r>
      <w:r>
        <w:t xml:space="preserve">: 9,9 % anual frente al 4,8 % de nuestro caso base.</w:t>
      </w:r>
    </w:p>
    <w:p>
      <w:pPr>
        <w:pStyle w:val="ListParagraph"/>
        <w:numPr>
          <w:ilvl w:val="0"/>
          <w:numId w:val="2"/>
        </w:numPr>
        <w:spacing w:after="60"/>
      </w:pPr>
      <w:r>
        <w:rPr>
          <w:b/>
        </w:rPr>
        <w:t xml:space="preserve">Gran Consumo y Latinoamérica flojos</w:t>
      </w:r>
      <w:r>
        <w:t xml:space="preserve">: +3,8 % y −1,0 % en el 3T26 [A].</w:t>
      </w:r>
    </w:p>
    <w:p>
      <w:pPr>
        <w:pStyle w:val="ListParagraph"/>
        <w:numPr>
          <w:ilvl w:val="0"/>
          <w:numId w:val="2"/>
        </w:numPr>
        <w:spacing w:after="60"/>
      </w:pPr>
      <w:r>
        <w:rPr>
          <w:b/>
        </w:rPr>
        <w:t xml:space="preserve">Más deuda</w:t>
      </w:r>
      <w:r>
        <w:t xml:space="preserve">: de 2.051 a 12.664 M en seis meses [A].</w:t>
      </w:r>
    </w:p>
    <w:p>
      <w:pPr>
        <w:pStyle w:val="ListParagraph"/>
        <w:numPr>
          <w:ilvl w:val="0"/>
          <w:numId w:val="2"/>
        </w:numPr>
        <w:spacing w:after="60"/>
      </w:pPr>
      <w:r>
        <w:rPr>
          <w:b/>
        </w:rPr>
        <w:t xml:space="preserve">Los directivos venden</w:t>
      </w:r>
      <w:r>
        <w:t xml:space="preserve">: ≈14 M EUR en doce meses, sin compras [C].</w:t>
      </w:r>
    </w:p>
    <w:p>
      <w:pPr>
        <w:pStyle w:val="Heading2"/>
      </w:pPr>
      <w:r>
        <w:t xml:space="preserve">Qué tiene que pasar para que la tesis funcione</w:t>
      </w:r>
    </w:p>
    <w:p>
      <w:pPr>
        <w:spacing w:after="100"/>
      </w:pPr>
      <w:r>
        <w:t xml:space="preserve">La tesis depende de que L’Oréal siga creciendo por encima del mercado (5 % comparable o más) mientras sube el margen. Lo próximo: la revisión del consenso tras el 3T26 y los resultados de 2026 en febrero de 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supera al mercado.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20 % 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base supone +0,2 puntos al año.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 de Asia (comparable)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y el comercio de viaje.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Gran Consumo (comparable)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 división en volumen.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2x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Capacidad para más compras o para recomprar a Nestlé.</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21,0x / 19,0x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31,7x / 28,1x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 · 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L’Oréal nació en 1909 en París, cuando el químico Eugène Schueller fundó la Société Française de Teintures Inoffensives pour Cheveux; cotiza en la Bolsa de París desde 1963 [5]. Creció comprando marcas que hoy sostienen sus cuatro divisiones: Lancôme (1964), Garnier (1965), La Roche-Posay (1989), Maybelline (1996), Kiehl’s, YSL Beauté (2008), CeraVe (2017), Aesop (2023) y Kering Beauté (2026) [5, 6]. La familia Bettencourt Meyers (34,79 % del capital) y Nestlé (20,16 %) son los grandes accionistas; en 2021 L’Oréal recompró a Nestlé el 4 % de sus propias acciones [5]. Nicolas Hieronimus es consejero delegado desde el 1-may-2021 [5]. En 2025-2026 hizo su mayor ofensiva de compras: Kering Beauté por 4.000 M EUR, el 20 % de Galderma y la licencia de Gucci desde julio de 2027 [5, 6,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Eugène Schueller funda la Société Française de Teintures Inoffensives pour Cheveux, origen de L’Oréal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la Bolsa de París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1964-1965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Lancôme y de Laboratoires Garnier: nacen el lujo y el gran consumo del grupo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Roche-Posay, base de la actual división de Belleza Dermatológica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Maybelline, que lleva el maquillaje de masas a EE. UU.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estratégico con Nestlé: L’Oréal le recompra acciones propias y le cede su participación en Galderma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CeraVe y venta de The Body Shop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a Nestlé del 4 % de sus propias acciones (22,26 M de acciones, amortizadas en febrero de 2022). Hieronimus, consejero delegado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Aesop a Natura &amp; Co por 2.600 M USD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a Sanofi el 2,14 % del capital de Sanofi por 3.000 M EUR (se queda con el 7,2 %); acuerda comprar Kering Beauté por 4.000 M EUR y anuncia la subida al 20 % de Galderma; compra Color Wow, Medik8 y Dr.G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Cierra la subida en Galderma (febrero) y la compra de Kering Beauté con Creed (31-mar); firma la licencia de Gucci por 50 años desde el 1-jul-2027 (7-jul); cierra la compra de Innovist en la India; el 15-sep supera a LVMH como primera capitalización de París (202.900 M EUR) [5, 6, 17, 18, 20].</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L’Oréal es el primer grupo de belleza del mundo: 44.052 M EUR de ventas en 2025 y 35.338 M en los nueve primeros meses de 2026 (+7,7 % publicado), con 40 marcas internacionales [16, 17]. Tiene cuatro divisiones (ventas de 2025): Gran Consumo, 16.090 M (L’Oréal Paris, Maybelline, Garnier, NYX); L’Oréal Luxe, 15.595 M (Lancôme, Yves Saint Laurent, Armani, Prada, Aesop y, desde el 31-mar-2026, Creed y las licencias de Bottega Veneta y Balenciaga; Gucci desde julio de 2027); Belleza Dermatológica, 7.204 M (La Roche-Posay, CeraVe, Vichy, SkinCeuticals), y Productos Profesionales, 5.163 M (Kérastase, Redken, para peluquerías) [5, 6, 18]. Por zonas, Europa pesó el 33,7 % en 2025, Norteamérica el 26,6 %, Norte de Asia el 22,9 %, SAPMENA-SSA el 9,3 % y Latinoamérica el 7,4 % [5]. Vende en más de 150 países, con 37 fábricas, 160 centros de distribución y más de 95.000 empleados [5, 17].</w:t>
      </w:r>
    </w:p>
    <w:p>
      <w:pPr>
        <w:pStyle w:val="Heading2"/>
      </w:pPr>
      <w:r>
        <w:t xml:space="preserve">Cómo gana dinero</w:t>
      </w:r>
    </w:p>
    <w:p>
      <w:pPr>
        <w:spacing w:after="100"/>
      </w:pPr>
      <w:r>
        <w:t xml:space="preserve">Margen bruto muy alto (74,3 % en 2025) que paga una inversión enorme en publicidad y promoción (32,2 % de las ventas) e investigación (1.381 M EUR, 3,1 %), y deja un margen operativo del 20,2 %, récord y al alza cada año (19,8 % en 2023, 20,0 % en 2024) [5, 16]. En el primer semestre de 2026 el margen bruto subió a 74,8 % y el operativo a 21,3 % [2]. Por categorías, en 2025 la piel y solares fueron 16.384 M (37 %), maquillaje 8.417 M, cuidado del cabello 7.711 M, perfumes 6.425 M y coloración 3.350 M [5]. Nada es contractual, pero la belleza es un gasto recurrente: el mercado solo cayó en 2020 (−8 %) [5]. En 2026 crece sobre todo por mezcla y volumen, no por precio, y el comercio electrónico (más del 30 % de las ventas en 2025) crece en torno al 17 % [16, 17]. El año se gestiona en base anual: el margen semestral no se extrapola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Productos Profesionales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Gran Consumo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L’Oréal Luxe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Belleza Dermatológica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 asignados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Productos Profesionales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Gran Consumo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15.982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L’Oréal Luxe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Belleza Dermatológica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 asignados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Consumidor final de todas las rentas, a través de distribuidores: grandes superficies, perfumerías, grandes almacenes, farmacias, peluquerías, comercio electrónico, tiendas propias y comercio de viaje [17]. No publica concentración de clientes ni hay uno relevante en las cuentas leídas [5]. Poder de precios demostrado: margen bruto y operativo en máximos todos los años de 2023 a 2025 pese a divisas y aranceles adversos, compensados con eficiencia [16]; en 2026 el crecimiento comparable del 6,9 % viene sobre todo de volumen y mezcla [17]. La exposición por divisa es amplia: en 2025 el 25,4 % de las ventas fue en dólares, el 20,9 % en euros y el 15,1 % en yuanes [5].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Aceleración trimestre a trimestre: +7,6 % en el 1T26, +6,0 % en el 2T26 y +7,2 % en el 3T26 (+7,7 % ajustado por el desfase de la transformación informática) [1, 4,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nueve meses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32.807 M EUR (9M25)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35.338 M EUR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 publicado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Perímetro +2,0 % (Kering Beauté desde abril, Color Wow y Medik8) y divisa −1,2 %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semestral con la publicidad y promoción subiendo 0,7 puntos, hasta el 32,6 % de las ventas; el margen bruto sube al 74,8 %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Productos Profesionales (crecimiento comparable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 (1S26)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 en el 3T26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división que más crece; 4.390 M EUR de ventas en nueve meses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Belleza Dermatológica (crecimiento comparable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 (1S26)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 en el 3T26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tres marcas de más de mil millones (La Roche-Posay, CeraVe, SkinCeuticals) crecen a doble dígito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L’Oréal Luxe (crecimiento comparable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 (1S26)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 en el 3T26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en China (crecimiento de dos cifras bajas) y fragancias; +12,3 % publicado en el 3T26 por Creed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Gran Consumo (crecimiento comparable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 (1S26)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 en el 3T26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más lenta; México en «bache serio» por problemas comerciales y de suministro en maquillaje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(capex)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1.495 M EUR en 2025 y 716 M en el 1S26 [1, 3].</w:t>
            </w:r>
          </w:p>
        </w:tc>
      </w:tr>
    </w:tbl>
    <w:p>
      <w:pPr>
        <w:spacing w:after="160" w:before="0"/>
      </w:pPr>
    </w:p>
    <w:p>
      <w:pPr>
        <w:pStyle w:val="Heading1"/>
      </w:pPr>
      <w:r>
        <w:t xml:space="preserve">3. Sector y mercado</w:t>
      </w:r>
    </w:p>
    <w:p>
      <w:pPr>
        <w:pStyle w:val="Confianza"/>
        <w:spacing w:after="100"/>
      </w:pPr>
      <w:r>
        <w:t xml:space="preserve">Confianza: Alta</w:t>
      </w:r>
    </w:p>
    <w:p>
      <w:pPr>
        <w:spacing w:after="100"/>
      </w:pPr>
      <w:r>
        <w:t xml:space="preserve">El mercado relevante es el </w:t>
      </w:r>
      <w:r>
        <w:rPr>
          <w:b/>
        </w:rPr>
        <w:t xml:space="preserve">mercado mundial de belleza</w:t>
      </w:r>
      <w:r>
        <w:t xml:space="preserve"> (piel, pelo, maquillaje, perfumes e higiene, sin jabón, dentífrico ni cuchillas) a precios netos de fabricante, según la estimación de la propia L’Oréal: unos 300.000 M EUR en 2025 [5]. Es la base con la que L’Oréal mide su cuota y su «superación del mercado», y la que se usa aquí. Se contrasta con el ranking WWD Beauty’s Top 100: las diez primeras empresas vendieron unos 147.000 M USD en 2024, el 58,5 % de las cien primeras [5]. La serie de 2019-2024 y 2026e es estimación propia: se parte de los 300.000 M de 2025 y se aplican hacia atrás los crecimientos anuales que publica L’Oréal a tipo de cambio constante (+5 % en 2019, −8 % en 2020, +8 % en 2021, +6 % en 2022, +8 % en 2023, +4,5 % en 2024 y ≈+3,5 % en 2025) y hacia delante el 4,5-5 % que espera para 2026 [5,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300.000 M EUR en 2025 a precios netos de fabricante, con un crecimiento de ≈3,5 % ese año; la dirección espera ≈4,5-5 % en 2026 (≈4,5 % en el primer semestre) [5, 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Premiumización (dermocosmética y cabello profesional)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los nueve meses de 2026, Belleza Dermatológica creció un 11,6 % y Productos Profesionales un 12,3 % comparables ajustados, frente al 4,2 % de Gran Consumo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Emergentes (India, Sudeste Asiático, Golfo, África)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SAPMENA-SSA +15,8 % comparable ajustado en nueve meses y +19,5 % en el 3T26; la región pasó del 9,3 % de las ventas en 2025 al 9,8 % en los nueve meses de 2026 [5,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Comercio electrónico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30 % de las ventas en 2025; crece en torno al 17 % en los nueve meses de 2026, por encima del mercado en línea [16,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comercio de viaje en Asia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Norte de Asia +7,8 % comparable en el 3T26 (+5,5 % en nueve meses) tras −9,0 % publicado en el 1T26; China crece a un dígito bajo y el comercio de viaje volvió a crecer en el 3T26 [6,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Ritmo del mercado tras el auge de 2021-2023</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pasó de +8 % en 2023 a ≈+3,5 % en 2025 y vuelve a ≈+4,5-5 % en 2026; Latinoamérica se enfría (México en negativo en el 3T26) [5, 12,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 de efecto divisa en los nueve meses de 2026 (−2,8 % al 30-jun); con los tipos del 30-sep, ≈−0,3 % en el conjunto del año [2, 17].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Rivales grandes (Unilever, Estée Lauder, P&amp;G, LVMH, Chanel, Beiersdorf) y marcas nacidas en redes; la publicidad y promoción se lleva el 32,2 % de las ventas de L’Oréal [5,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Distribuidores grandes (perfumerías, grandes superficies, plataformas en línea) que ajustan inventarios, como en México en el 3T26; pero la marca la busca el consumidor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 de química básica y envases; L’Oréal fabrica en 37 fábricas propias [5].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Lanzar una marca en internet es barato; escalarla no, y las que funcionan acaban compradas (Medik8, Color Wow, Dr.G o Innovist, solo en 2025-2026) [5,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Estética médica (inyectables), donde L’Oréal ya tiene el 20 % de Galderma, y marcas blancas en gran consumo [5].</w:t>
            </w:r>
          </w:p>
        </w:tc>
      </w:tr>
    </w:tbl>
    <w:p>
      <w:pPr>
        <w:spacing w:after="160" w:before="0"/>
      </w:pPr>
    </w:p>
    <w:p>
      <w:pPr>
        <w:pStyle w:val="Heading2"/>
      </w:pPr>
      <w:r>
        <w:t xml:space="preserve">Ciclo</w:t>
      </w:r>
    </w:p>
    <w:p>
      <w:pPr>
        <w:spacing w:after="100"/>
      </w:pPr>
      <w:r>
        <w:t xml:space="preserve">El mercado de belleza creció ≈3,5 % en 2025, ≈4,5 % en el primer semestre de 2026 y la dirección espera ≈4,5-5 % en el año [5, 12]; L’Oréal aceleró del 6,5 % en el primer semestre al 7,7 % comparable ajustado en el 3T26 [2, 17]. Es un sector defensivo: +3 % en 2008, +1 % en 2009, −8 % en 2020 por el cierre de tiendas, +8 % en 2021 y +6 % en 2022 pese a la inflación [5].</w:t>
      </w:r>
    </w:p>
    <w:p>
      <w:pPr>
        <w:pStyle w:val="Heading2"/>
      </w:pPr>
      <w:r>
        <w:t xml:space="preserve">Regulación</w:t>
      </w:r>
    </w:p>
    <w:p>
      <w:pPr>
        <w:spacing w:after="100"/>
      </w:pPr>
      <w:r>
        <w:rPr>
          <w:b/>
        </w:rPr>
        <w:t xml:space="preserve">Aranceles</w:t>
      </w:r>
      <w:r>
        <w:t xml:space="preserve">: la dirección cita los aranceles entre los efectos adversos de 2025, compensados con eficiencia, y los vigila como riesgo; tiene fábricas en todas sus regiones para producir cerca del mercado [5, 16]. </w:t>
      </w:r>
      <w:r>
        <w:rPr>
          <w:b/>
        </w:rPr>
        <w:t xml:space="preserve">Fiscalidad francesa</w:t>
      </w:r>
      <w:r>
        <w:t xml:space="preserve">: la ley de finanzas del 14-feb-2025 creó un recargo excepcional sobre el impuesto de sociedades de las grandes empresas, que le costó 142,4 M EUR en 2025 [5]. </w:t>
      </w:r>
      <w:r>
        <w:rPr>
          <w:b/>
        </w:rPr>
        <w:t xml:space="preserve">Brasil</w:t>
      </w:r>
      <w:r>
        <w:t xml:space="preserve">: litigio sobre la base del impuesto indirecto IPI, con liquidaciones de 673 M EUR (2008 y 2011-2015) y una provisión de 45 M; en la India, 208 M EUR por la deducibilidad de la publicidad [5]. </w:t>
      </w:r>
      <w:r>
        <w:rPr>
          <w:b/>
        </w:rPr>
        <w:t xml:space="preserve">Seguridad de producto</w:t>
      </w:r>
      <w:r>
        <w:t xml:space="preserve">: el reglamento europeo de cosméticos y la ley estadounidense de 2022 (MoCRA) regulan ingredientes y registro.</w:t>
      </w:r>
    </w:p>
    <w:p>
      <w:pPr>
        <w:pStyle w:val="Heading2"/>
      </w:pPr>
      <w:r>
        <w:t xml:space="preserve">Tendencias y disrupción</w:t>
      </w:r>
    </w:p>
    <w:p>
      <w:pPr>
        <w:spacing w:after="100"/>
      </w:pPr>
      <w:r>
        <w:t xml:space="preserve">Las compras pasan a internet y a las redes: el comercio electrónico ya supera el 30 % de las ventas del grupo y crece en torno al 17 % [16, 17]. Esto abarata lanzar marcas y obliga a los grandes a comprar las que funcionan (Innovist, digital, en la India) [19]. Ganan peso la dermocosmética, el cabello de gama alta y los perfumes; en 2026 L’Oréal dice crecer por encima del mercado también en piel [17]. La estética médica se acerca a la belleza (20 % de Galderma) [5]. L’Oréal gana con estas tendencias: crece en las cuatro divisiones y en las cinco regiones, y usa la inteligencia artificial en investigación y venta [17].</w:t>
      </w:r>
    </w:p>
    <w:p>
      <w:pPr>
        <w:pStyle w:val="Heading1"/>
      </w:pPr>
      <w:r>
        <w:t xml:space="preserve">4. Posición competitiva y foso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mundial de la belleza con ≈14,7 % del mercado (44.052 M sobre ≈300.000 M EUR en 2025, estimación propia) [5, 16]. En el ranking WWD de 2024 vendió 47.040 M USD, casi el doble que el segundo, Unilever (26.630 M USD), y tres veces Estée Lauder (15.200 M USD) [5]. L’Oréal Luxe es el número uno mundial en perfumes de lujo [17].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Unilever (Belleza y Bienestar y Cuidado Personal)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ULVR.L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grupo de belleza del mundo: 12.800 M EUR en Belleza y Bienestar y 13.200 M en Cuidado Personal en 2025, con más peso de higiene y desodorantes; no publica el margen de cada grupo de negocio en su resumen (17,9 % el del grupo)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Estée Lauder Companies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julio 2025-junio 2026: 15.049 M USD de ventas y 780 M USD de resultado operativo publicado, tras una pérdida de 785 M el año anterior [21]; a 1,1662 USD/EUR [28]. Rival directo en lujo y piel; en reestructuración.</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 Perfumes y Cosméticos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Dior, Guerlain, Givenchy: 8.174 M EUR de ventas y 727 M de resultado operativo en 2025 [23]. Compite con L’Oréal Luxe en perfume y maquillaje de lujo.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Beiersdorf</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BEI.DE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Nivea, Eucerin y La Prairie: 9.852 M EUR de ventas y 1.320 M de resultado operativo publicado en 2025, con los adhesivos de tesa (1.676 M) [24]. Compite en dermocosmética con La Roche-Posay y CeraVe.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Shiseido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4911.T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970.000 M JPY de ventas (−2 % comparable) y pérdida operativa de 28.800 M JPY por deterioros; margen operativo básico del 4,6 % [25]; a 169,04 JPY/EUR [28]. Sufre en China, comercio de viaje y Drunk Elephant.</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COTY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julio 2025-junio 2026: 5.806,6 M USD de ventas y pérdida operativa de 81,5 M USD [22]; a 1,1662 USD/EUR [28]. Perfumes bajo licencia; pierde la de Gucci, que pasa a L’Oréal desde julio de 2027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Puig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PUIG.MC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Perfumería de prestigio (Carolina Herrera, Paco Rabanne, Charlotte Tilbury): 5.042 M EUR de ventas y 812,4 M de resultado operativo en 2025 [26]. Compite con L’Oréal Luxe en perfumes.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Lealtad de marca en piel y pelo, sin coste real de cambio para el consumidor.</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 marcas internacionales, licencias de lujo a 50 años (Bottega Veneta, Balenciaga y Gucci desde 2027) y margen operativo récord (20,2 % en 2025, 21,3 % en el 1S26) frente al 5,2 % de Estée Lauder, el 8,9 % de LVMH Perfumes y Cosméticos y el 13,4 % de Beiersdorf [1, 4, 7, 10, 12,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en publicidad (14.178 M EUR en 2025), investigación (1.381 M, 22 centros), compras, 37 fábricas y 160 centros de distribución: casi el doble de ventas que el segundo [1, 2,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es grande y está repartido (las diez primeras, ≈58,5 % del Top 100 de WWD): la escala da ventaja, no exclusividad [1].</w:t>
            </w:r>
          </w:p>
        </w:tc>
      </w:tr>
    </w:tbl>
    <w:p>
      <w:pPr>
        <w:spacing w:after="160" w:before="0"/>
      </w:pPr>
    </w:p>
    <w:p>
      <w:pPr>
        <w:pStyle w:val="Heading2"/>
      </w:pPr>
      <w:r>
        <w:t xml:space="preserve">Amenazas</w:t>
      </w:r>
    </w:p>
    <w:p>
      <w:pPr>
        <w:spacing w:after="100"/>
      </w:pPr>
      <w:r>
        <w:t xml:space="preserve">Marcas nacidas en redes y marcas locales chinas y coreanas que ganan cuota en maquillaje y piel; L’Oréal responde comprándolas (Dr.G, Medik8, Innovist) y creciendo en comercio electrónico al ≈17 % [17, 19]. El riesgo más probable no es perder el foso, sino que el mercado vuelva al ≈3,5 % de 2025 y L’Oréal crezca solo un poco más que él, sin la prima que justifica su múltiplo [5]. En Latinoamérica (7,4 % de las ventas) ya se vio un tropiezo propio: Gran Consumo cayó en México en el 3T26 por problemas comerciales y de suministro [17]. La integración de Kering Beauté y de Gucci (2027) pone a prueba la ejecución en lujo [6, 18].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2021-2025: ingresos </w:t>
      </w:r>
      <w:r>
        <w:rPr>
          <w:b/>
          <w:bCs/>
        </w:rPr>
        <w:t xml:space="preserve">8,1 %</w:t>
      </w:r>
      <w:r>
        <w:t xml:space="preserve">, EBITDA </w:t>
      </w:r>
      <w:r>
        <w:rPr>
          <w:b/>
          <w:bCs/>
        </w:rPr>
        <w:t xml:space="preserve">8,5 %</w:t>
      </w:r>
      <w:r>
        <w:t xml:space="preserve">, BPA </w:t>
      </w:r>
      <w:r>
        <w:rPr>
          <w:b/>
          <w:bCs/>
        </w:rPr>
        <w:t xml:space="preserve">9,6 %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32.288 M EUR en 2021 a 44.052 M en 2025, con crecimientos comparables del +16,1 % (2021), +10,9 %, +11,0 %, +5,1 % y +4,0 % (2025): un frenazo claro en 2024-2025 [1, 5, 7]. El resultado operativo subió cada año, del 19,1 % de las ventas en 2021 al 20,2 % en 2025, con el margen bruto en el 74,3 % y la publicidad y promoción estable en el 32,2 % [1, 5]. En 2026 el crecimiento vuelve: +6,8 % comparable en el 1S26 con margen operativo récord del 21,3 % (+0,2 puntos) pese a subir la inversión publicitaria 0,7 puntos, y +6,9 % comparable en nueve meses (+7,7 % publicado), con un 3T26 a +7,2 % (+7,7 % ajustado) [2, 4]. El perímetro suma ahora: +2,0 % en nueve meses por Kering Beauté, Color Wow y Medik8 [4]. El beneficio neto ajustado de 2025 (6.806 M, +0,3 %) creció menos que el operativo porque los dividendos de Sanofi bajaron de 448 a 352 M tras vender acciones y el tipo impositivo subió del 23,4 % al 24,3 % [1]. En el 1S26 el BPA ajustado fue de 7,40 EUR (+4,8 %) [2].</w:t>
      </w:r>
    </w:p>
    <w:p>
      <w:pPr>
        <w:pStyle w:val="Heading2"/>
      </w:pPr>
      <w:r>
        <w:t xml:space="preserve">Ajustes y partidas no recurrentes</w:t>
      </w:r>
    </w:p>
    <w:p>
      <w:pPr>
        <w:spacing w:after="100"/>
      </w:pPr>
      <w:r>
        <w:t xml:space="preserve">Usamos el resultado operativo («operating profit», antes de otros ingresos y gastos) y el beneficio neto y BPA diluido </w:t>
      </w:r>
      <w:r>
        <w:rPr>
          <w:b/>
        </w:rPr>
        <w:t xml:space="preserve">sin partidas no recurrentes</w:t>
      </w:r>
      <w:r>
        <w:t xml:space="preserve"> que publica L’Oréal, base de su comunicación y del consenso; impuestos, minoritarios y BAI son también los de esa base [1, 5]. El neto atribuido publicado fue 4.597 M (2021), 5.707, 6.184, 6.409 y 6.127 M (2025, −4,4 %) [5]. Las partidas excluidas (deterioros, reestructuraciones, plusvalías y su efecto fiscal) restaron 341 M en 2021, 302 M en 2023, 378 M en 2024 y 681 M en 2025, este último con 253 M de la contribución fiscal extraordinaria francesa, renovada en 2026 [1, 3, 7, 8, 9]: se repiten todos los años. El EBITDA es el resultado operativo más la amortización incluida en los gastos operativos (definición de la propia empresa en el documento de registro) [5, 10]. El resultado financiero incluye los dividendos de Sanofi (378 M en 2021, 468 M en 2022, 421, 448 y 352 M en 2025) [1, 8, 9]. El LTM a jun-26 es estimación propia (2025 + 1S26 − 1S25) e incluye Kering Beauté desde abril: L’Oréal no publica cifras pro forma [1, 2, 3]. El FCF del LTM es flujo operativo − capex − principal de arrendamientos.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4"/>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L’Oréal solo publica ventas en el primer y el tercer trimestre; los resultados son semestrales. En el 3T25 creció un 4,2 % comparable frente al 4,9 % esperado y la acción cayó cerca de un 7 % [7, 13]; el 4T25 también decepcionó [14]. 2026 ha cambiado el tono. En el 1S26 (29-jul) la dirección estimó que el mercado de belleza creció ≈4,5 % frente al +6,5 % ajustado de L’Oréal, presumió de margen operativo récord (21,3 %) pese a subir la publicidad 0,7 puntos, y avisó del frenazo del consumo en el Golfo por el conflicto de Oriente Medio y de que el nuevo sistema informático entró en EE. UU. el 8-jun [2, 12]. Las ventas del 3T26 (22-oct, tras el cierre) aceleran: +7,2 % comparable y +7,7 % ajustado, todas las divisiones y todas las zonas salvo Latinoamérica (−1,0 % por México, con un «bache serio» en maquillaje de Gran Consumo); Europa +9,9 %, Norte de Asia +7,8 % con China creciendo casi tres veces más que su mercado y el travel retail de nuevo en positivo, y SAPMENA-SSA +19,2 % [4]. La guía sigue siendo cualitativa: «otro año de crecimiento en ventas y beneficio»; la divisa restaría solo ≈0,3 % en 2026 a los tipos de septiembre [4]. Según la prensa recogida en foros, el trimestre superó con holgura lo esperado [15]. No hemos leído la transcripción de las conferencias: las preguntas de los analistas no se recogen aquí.</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43.013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46.844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51.855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29.074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61.821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34.953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(2023: Aesop, comprada en 2023: 2.497 M EUR de salida de caja por cambios de perímetro en el año.; 2025: Dr.G (desde el 25-mar), Color Wow (9-sep) y Medik8 (10-sep, 77,4 %): 2.474,5 M EUR; aportaron 547 M de ventas y 124,5 M de resultado operativo en 2025.; 2026: Kering Beauté (Creed y licencias de Bottega Veneta y Balenciaga) consolidada desde el 1-abr-2026 por 4.246,5 M EUR; Galderma (20 %) por puesta en equivalencia desde el 10-feb-2026; Innovist (India, mayoría) cerrada en el 3T26. La licencia de Gucci empieza el 1-jul-2027.).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L’Oréal ha pasado de casi no tener deuda a apalancarse para comprar: la deuda neta fue de 3.586 M en 2021 (recompra del 4 % a Nestlé por 8.900 M), 4.404-4.443 M en 2023-2024, 2.051 M en dic-2025 (con la caja de los bonos prefinanciando las compras y 3.000 M de la venta de acciones de Sanofi) y 12.664 M en jun-2026, ≈1,15 veces el EBITDA del LTM [3, 5, 9]. Es cómodo: genera ≈7.000 M de flujo libre al año y tiene participaciones cotizadas de ≈16.000-17.000 M (Sanofi y Galderma). El circulante es estable: existencias de ≈37 días de ventas y proveedores por encima de clientes; el semestre consume caja por estacionalidad (−952 M en el 1S26) [3]. El fondo de comercio y los intangibles pasan de 19.542 M en dic-2025 a 23.996 M en jun-2026 (71 % del patrimonio) [3]. Coste de la deuda: tipo efectivo de los bonos del 3,12 % a jun-2026 (2,84 % en dic-2025); la vida media de 4,3 años es solo de los bonos (estimación propia) [3].</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28.308</w:t>
      </w:r>
      <w:r>
        <w:t xml:space="preserve">, conversión </w:t>
      </w:r>
      <w:r>
        <w:rPr>
          <w:b/>
          <w:bCs/>
        </w:rPr>
        <w:t xml:space="preserve">91 %</w:t>
      </w:r>
      <w:r>
        <w:t xml:space="preserve"> del beneficio neto; adquisiciones 8.202, dividendos 16.000, recompras 12.065.</w:t>
      </w:r>
    </w:p>
    <w:p>
      <w:pPr>
        <w:spacing w:after="100"/>
      </w:pPr>
      <w:r>
        <w:t xml:space="preserve">La conversión es alta y regular: el flujo operativo pasó de 6.728 M (2021) a 8.657 M (2025) y el flujo libre tras capex y arrendamientos, de 5.257 M a 6.708 M, ≈99 % del beneficio ajustado de 2025 [1, 10]. El «flujo de caja neto» que publica L’Oréal (sin restar arrendamientos) fue de 7.162 M en 2025, +7,8 % [1]. 2022 fue el año flojo (4.488 M de flujo libre) por el aumento de existencias [10]. El capex es del 3,3-3,8 % de las ventas (3,4 % en 2025; 3,0 % en el 1S26) y la empresa no separa mantenimiento y crecimiento; con amortizaciones de 1.650 M, casi todo es reposición (estimación propia) [1, 3, 5]. Las adquisiciones son la salida de caja por cambios de perímetro; la de 2024 suma la variación de otros activos financieros (1.927 M, sobre todo el primer 10 % de Galderma por 1.813 M), y las desinversiones de 2025 son la variación neta de otros activos financieros (+2.509 M, con la venta de acciones de Sanofi por 3.000 M) [1, 5]. Los intereses se pagan dentro del flujo operativo [3].</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Associés y Ernst &amp; Young Audit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limpias, auditadas por Deloitte desde 2004 y EY desde 2022, con opinión favorable sin salvedades en 2025 [5]. El resultado operativo, que es la cifra que guía, crece cada año; lo que hay que vigilar es lo que queda por debajo. Las partidas «no recurrentes» (deterioros, reestructuraciones y, en 2025, la contribución fiscal francesa) restan cada año entre 300 y 680 M al neto: el beneficio publicado cayó un 4,4 % en 2025 mientras el ajustado subía un 0,3 % [1, 7]. Los pagos en acciones son de 248 M (≈3,6 % del beneficio ajustado), y se neutralizan con ≈500 M de recompras anuales [1]. Con las compras de 2023-2026 el fondo de comercio y los intangibles llegan a 24.000 M (71 % del patrimonio, 36 % del activo) y Galderma lleva otros 5.163 M de fondo de comercio implícito dentro de su valor en libros: el riesgo es de deterioro si Creed o Aesop decepcionan; en la prueba anual de dic-2025 no hubo deterioros significativos [3]. El crecimiento comparable trimestral está distorsionado por el adelanto de pedidos ante cada cambio informático (en el 1T26 el comparable fue +7,6 % y el ajustado +6,7 %; en el 2T26 Europa creció +0,8 % comparable y +6,7 % ajustado); en nueve meses se anula [4, 6]. Altman, Piotroski y Beneish: lectura en el cálculo; con un balance de este tamaño y deuda neta de 1,15 veces el EBITDA no esperamos señales de tensión.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«no recurrentes» que se repiten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341 M (2021), 302 M (2023), 378 M (2024) y 681 M (2025) fuera del beneficio ajustado; 413 M ya en el 1S26 [1, 2, 7, 8,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e intangibles crecientes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14.537 M en 2021 a 23.996 M en jun-2026 por Aesop, Dr.G, Color Wow, Medik8 y Kering Beauté (2.841 M de fondo de comercio solo por esta) [3,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apoyado en participaciones financieras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dividendos de Sanofi (352 M en 2025, 366 M en el 1S26) suponen ≈4-7 % del beneficio antes de impuestos, y Galderma aportará resultado por puesta en equivalencia [1,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trimestral alterado por la transformación informática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publica un comparable «ajustado» que en algunos trimestres difiere mucho del comparable (Europa 2T26: +0,8 % frente a +6,7 % ajustado); en nueve meses coinciden (+6,9 %) [2, 4].</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27.179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28.699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31.853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35.533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37.318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14.470 M en 2025 (el 37 % del capital invertido medio); ha subido más de un 5 % en 3 de 4 años: comprador en serie. ROIC publicado 18,0 %; sin fondo de comercio, 28,8 %.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20,1 % · </w:t>
      </w:r>
      <w:r>
        <w:rPr>
          <w:b/>
          <w:bCs/>
        </w:rPr>
        <w:t xml:space="preserve">WACC</w:t>
      </w:r>
      <w:r>
        <w:t xml:space="preserve">: 7,8 %.</w:t>
      </w:r>
    </w:p>
    <w:p>
      <w:pPr>
        <w:spacing w:after="100"/>
      </w:pPr>
      <w:r>
        <w:t xml:space="preserve">L’Oréal crea valor con holgura: ROIC del 18,0 % en 2025 frente a un WACC del 7,8 %, y del 29-33 % sin el fondo de comercio; se ha mantenido en el 17-20 % desde 2021 pese a las compras [A].</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12.664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7.308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19.972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30-jun-2026: caja de 4.049 M EUR y 7.000 M de líneas de crédito confirmadas sin disponer y sin covenants; deuda bruta de 16.713 M (2.375 M de arrendamientos, 2.598 M de pagarés y 9.997 M de bonos) y deuda neta de 12.664 M, tras pagar Kering Beauté (4.030 M de caja neta), el segundo 10 % de Galderma (4.226 M) y el dividendo (3.926 M) [2, 3]. En el 3T26 colocó otro bono de 2.000 M en tres tramos [4]. A dic-2025 la deuda neta era de 2.051 M (0,19 veces el EBITDA) [5]. Fuera de la deuda neta hay participaciones cotizadas: Sanofi (7,27 %, 7.335 M a dic-2025) y Galderma (20 %, 9.488 M a precio de mercado del 30-jun-2026, 8.422 M en libros) [3,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AA (estable) de S&amp;P y Aa1 (estable) de Moody’s, confirmados en la emisión de bonos del 3T26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Ninguna deuda tiene cláusulas de amortización anticipada ligadas a ratios [3]. Compromiso de compra a los minoritarios de Medik8 por 507 M EUR, ejercitable en 2029, ya contabilizado como deuda a largo plazo [3]. Provisiones para pensiones de 668 M y para riesgos y gastos de 1.287 M (1.198 M corrientes) a jun-2026 [3]. La rescisión anticipada de la licencia de Gucci con Coty cuesta ≈360 M USD (188 M pagados en julio de 2026) [3]. La contribución fiscal extraordinaria francesa (253 M en 2025) se renueva en 2026 [3]. Los vencimientos son estimación propia a partir de la tabla de bonos y de la deuda corriente a jun-2026, sin arrendamientos; el tramo de 2029 incluye la opción de Medik8 y el de 2031+ otros 203 M de deuda a largo plazo sin vencimiento detallado [3].</w:t>
      </w:r>
    </w:p>
    <w:p>
      <w:pPr>
        <w:pStyle w:val="Heading1"/>
      </w:pPr>
      <w:r>
        <w:t xml:space="preserve">12. Asignación de capital</w:t>
      </w:r>
    </w:p>
    <w:p>
      <w:pPr>
        <w:pStyle w:val="Confianza"/>
        <w:spacing w:after="100"/>
      </w:pPr>
      <w:r>
        <w:t xml:space="preserve">Confianza: Alta</w:t>
      </w:r>
    </w:p>
    <w:p>
      <w:pPr>
        <w:spacing w:after="100"/>
      </w:pPr>
      <w:r>
        <w:t xml:space="preserve">Dividendo creciente: 7,20 EUR por acción con cargo a 2025 (+2,9 %), ≈57 % del beneficio ajustado, con una prima del 10 % para los accionistas nominativos de más de dos años [1, 5]. Recompra recurrente de ≈500 M al año, con amortización de las acciones (501 M en el 1S26) [3]; en 2021 recompró el 4 % de su capital a Nestlé por ≈8.900 M [9, 10]. Prioridades declaradas: compras de marcas y licencias de lujo y dermatología (Aesop, Kering Beauté, Galderma, Gucci desde 2027) e innovación (investigación del ≈3 % de las ventas) [1,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Skinbetter Science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Belleza Dermatológica; importe = salida de caja por cambios de perímetro del año [5, 11].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Aesop</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bonos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Luxe; sin deterioro significativo en la prueba de dic-2025; crece con fuerza en Norte de Asia en 2026 [2, 3, 11].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Galderma (primer 10 %)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de 1.250 M EUR</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75,6 EUR por acción; valía 4.146 M a dic-2025 (×2,3)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Dr.G, Color Wow y Medik8 (77,4 %)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547 M de ventas y 124,5 M de resultado operativo en 2025; 1.833 M de fondo de comercio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Galderma (segundo 10 %, hasta el 20 %)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Bonos (1.750 M en ene-2026)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Puesta en equivalencia desde el 10-feb-2026; dos consejeros; el 20 % valía 9.488 M a 30-jun-2026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Beauté (Creed, licencias de 50 años de Bottega Veneta, Balenciaga y Gucci desde jul-2027)</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prefinanciada con bonos (3.000 M en nov-2025)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31-mar-2026; 2.841 M de fondo de comercio; Creed «con buen comportamiento» en el 3T26; la rescisión anticipada con Coty cuesta ≈360 M USD [3, 4].</w:t>
            </w:r>
          </w:p>
        </w:tc>
      </w:tr>
    </w:tbl>
    <w:p>
      <w:pPr>
        <w:spacing w:after="160" w:before="0"/>
      </w:pPr>
    </w:p>
    <w:p>
      <w:pPr>
        <w:spacing w:after="100"/>
      </w:pPr>
      <w:r>
        <w:t xml:space="preserve">Buen asignador de capital, cada vez más inclinado a comprar. En 2021-2025 generó ≈28.300 M de flujo libre (tras arrendamientos) y devolvió ≈28.000 M: 16.000 M en dividendos y 12.100 M en recompras, 8.900 M de ellos a Nestlé en 2021 [1, 10]. Desde 2023 la caja va sobre todo a compras: 8.200 M en adquisiciones en 2021-2025 y otros ≈8.500 M en el 1S26 (Kering Beauté y Galderma), que llevan la deuda neta de 2.051 a 12.664 M [3]. Las compras de participaciones han sido muy rentables (Galderma se ha más que duplicado), y las de marcas se pagan caras (fondo de comercio de dos tercios del precio en Kering Beauté). La dilución está controlada: las acciones diluidas bajan de 559,8 M en 2021 a 534,7 M en el 1S26 [2, 5]. Ver en el cálculo el ROIC incremental y los usos acumulados de la caja.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Nicolas Hieronimus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(Directeur Général)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L’Oréal desde 1987: dirigió Garnier Maybelline en Reino Unido, L’Oréal Paris, Productos Profesionales y Luxe (2011-2018) y fue consejero delegado adjunto de las divisiones desde 2017; consejero delegado desde el 1-may-2021 [5]. Con él las ventas pasaron de 32.288 a 44.052 millones (2021-2025) y el beneficio operativo de 6.160 a 8.892 millones [5]. Tenía 237.828 acciones a cierre de 2025 [5].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Jean-Paul Agon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grupo desde 1978; consejero delegado desde 2006, presidente y consejero delegado de 2011 a 2021 y presidente no ejecutivo desde el 1-may-2021; preside la comisión de estrategia y sostenibilidad [5]. Reelegido consejero el 24-abr-2026 con el 96,73 % de los votos y confirmado como presidente [29, 30]. Tenía 1.200.000 acciones a cierre de 2025 [5].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Christophe Babule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(Executive Vice-President,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L’Oréal desde 1988; director financiero en China y México, auditor interno del grupo desde 2010 y director financiero de Asia-Pacífico; director financiero del grupo desde mediados de febrero de 2019, en sustitución de Christian Mulliez [39].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Barbara Lavernos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delegada adjunta (Investigación, Innovación y Tecnología)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Miembro del comité ejecutivo y consejera delegada adjunta a cargo de investigación, innovación y tecnología; dirige la apuesta por la «Beauty Tech» y la IA aplicada a formulación [5].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Crecer más que el mercado mundial de belleza y lograr otro año de crecimiento en ventas y beneficio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Nueve meses: ventas de 35.330 millones, +6,9 % comparable y +7,7 % publicado; 3T26 ajustado +7,7 %; la dirección reitera otro año de crecimiento en ventas y beneficio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Seguir superando al mercado, otro año de crecimiento en ventas y beneficio y aceleración progresiva del crecimiento [31]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+4,0 % comparable (aceleración trimestre a trimestre), beneficio operativo +2,4 % hasta 8.892 millones, margen operativo del 20,2 % (+0,2 puntos) y BPA ajustado de 12,71 EUR (+0,4 %)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Seguir superando al mercado de belleza y otro año de crecimiento en ventas y beneficio [32]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+5,1 % comparable, beneficio operativo +6,7 % hasta 8.688 millones y margen operativo del 20,0 % (+0,2 puntos) [5, 31]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Seguir superando al mercado y otro año de crecimiento en ventas y beneficio [33]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+11 % comparable, beneficio operativo +9,2 % hasta 8.143 millones y BPA ajustado +7,3 % [5, 32]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de carrera interna: Hieronimus lleva 39 años en la casa, Babule 38 y la sucesión Agon → Hieronimus de 2021 fue ordenada, con Agon como presidente no ejecutivo [5, 39]. La guía es cualitativa y sin cifras (superar al mercado y crecer en ventas y beneficio), lo que la hace fácil de cumplir: se ha cumplido todos los años desde 2022, aunque 2025 quedó justo (BPA ajustado +0,4 %, por debajo del presupuesto interno según el propio consejo) [5]. En 2026 el crecimiento comparable se acelera al +6,9 % en nueve meses [4]. No hay sucesor designado públicamente; Hieronimus (62 años) fue reelegido consejero hasta 2029 con el 98,92 % [5]. Punto a vigilar: el consejero delegado y el presidente han vendido acciones en los últimos 12 meses (unos 14 millones de euros en total) [35, 36, 37, 38].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Jean-Paul Agon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y Sostenibilidad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Nicolas Hieronimus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Jean-Victor Meyers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(familia Bettencourt Meyers)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 y Sostenibilidad; Nombramientos y Gobierno; Recursos Humanos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Pablo Isla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(propuesto por Nestlé; presidente de Nestlé SA)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 y Sostenibilidad; Nombramientos y Gobierno; Recursos Humanos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Nicolas Meyers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(familia Bettencourt Meyers)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y Gobierno; Recursos Humanos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Téthys SAS (representada por Alexandre Benais)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(sociedad de la familia Bettencourt Meyers)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 y Sostenibilidad;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Anna Lenz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(propuesta por Nestlé)</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Sophie Bellon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Recursos Humanos y Remuneración (presidenta);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Patrice Caine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y Gobierno (presidente); Estrategia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Jacques Ripoll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(presidente); Recursos Humanos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Fabienne Dulac</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Recursos Humanos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Alexandre Ricard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Recursos Humanos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Ilham Kadri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Isabelle Seillier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Aurélie Jean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Christel Bories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Benny de Vlieger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Catherine Olivry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Recursos Humanos y Remuneración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Jean-Paul Agon</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14,38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Familia Bettencourt Meyers (Téthys SAS, Financière L’Arcouest SAS y miembros de la familia)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de hecho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número de acciones (185.715.079) desde 2023; el porcentaje sube por las amortizaciones de autocartera. Su compromiso con la AMF de no votar por encima del 33,33 % expiró en la junta de abril de 2025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Nestlé (a través de Nestlé Equity Holdings Limited)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Significativo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número de acciones (107.621.021); en 2025 traspasó la participación dentro del grupo a Nestlé Equity Holdings. Desde 2026 su presidente, Pablo Isla, es vicepresidente de L’Oréal [5, 30].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y antiguos empleados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empleados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1,89 % (2023) al 2,06 % (2025) por los planes anuales de accionariado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amortiza cada año lo que recompra: 1.398.734 acciones (501 millones) amortizadas en el 1S26 [3].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Nicolas Hieronimus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Jean-Paul Agon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Jean-Paul Agon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Nicolas Hieronimus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en 2025 un fijo de 2,3 millones, un variable anual de 2,76 millones (106,2 % del objetivo; 60 % financiero: ventas comparables, diferencial frente a diez competidores, beneficio operativo, BPA y caja; 40 % RSC, personas, digital y cualitativos) y 20.000 acciones de desempeño valoradas en 6,97 millones según NIIF [5]. Las acciones se consolidan a cuatro años según ventas frente a competidores (40 %), crecimiento del beneficio operativo (40 %) y objetivos de sostenibilidad y paridad (20 %); no hay ROIC, TSR ni caja en el largo plazo [5]. Hay cláusula de recuperación desde 2025 (solo por fraude contable con reexpresión) e indemnización de hasta 24 meses de fijo y variable por el contrato laboral suspendido [5]. Su ratio frente al salario medio de L’Oréal SA es de 83 [5]. La política del consejero delegado sacó el </w:t>
      </w:r>
      <w:r>
        <w:rPr>
          <w:b/>
        </w:rPr>
        <w:t xml:space="preserve">87,74 %</w:t>
      </w:r>
      <w:r>
        <w:t xml:space="preserve"> en la junta de 2025 (el voto más bajo de las tres últimas), lo que llevó a una ronda de diálogo con inversores; en 2026 subió al 95,61 % y su remuneración de 2025, al 95,33 % [5, 29]. En 2024 la política obtuvo el 93,11 % [31].</w:t>
      </w:r>
    </w:p>
    <w:p>
      <w:pPr>
        <w:pStyle w:val="Heading2"/>
      </w:pPr>
      <w:r>
        <w:t xml:space="preserve">Operaciones vinculadas, estructura de control y defensas</w:t>
      </w:r>
    </w:p>
    <w:p>
      <w:pPr>
        <w:spacing w:after="100"/>
      </w:pPr>
      <w:r>
        <w:t xml:space="preserve">La familia Bettencourt Meyers (34,79 %) y Nestlé (20,16 %) suman el 55 % del capital y no actúan concertadas desde que expiró su pacto en marzo de 2018 [5]. Una acción, un voto: los estatutos no prevén voto doble ni límites de voto; el único privilegio es un dividendo un 10 % mayor para las acciones nominativas con más de dos años, limitado al 0,5 % del capital por accionista [30, 34]. La familia tiene tres puestos (Jean-Victor Meyers, vicepresidente; Nicolas Meyers; Téthys) y Nestlé dos (Pablo Isla, vicepresidente desde abril de 2026, y Anna Lenz); 9 de los 16 consejeros elegidos por la junta (56 %) son independientes [5, 30]. No hay consejero coordinador: el consejo lo considera innecesario por la estructura accionarial [5]. La familia está en un pacto de bloqueo fiscal (Dutreil) desde 2016, renovado en 2023, en el que Agon participa con 100 acciones [5]. El único acuerdo vinculado vigente es la suspensión del contrato laboral del consejero delegado [5].</w:t>
      </w:r>
    </w:p>
    <w:p>
      <w:pPr>
        <w:pStyle w:val="Heading2"/>
      </w:pPr>
      <w:r>
        <w:t xml:space="preserve">Señales de alerta</w:t>
      </w:r>
    </w:p>
    <w:p>
      <w:pPr>
        <w:pStyle w:val="ListParagraph"/>
        <w:numPr>
          <w:ilvl w:val="0"/>
          <w:numId w:val="2"/>
        </w:numPr>
        <w:spacing w:after="60"/>
      </w:pPr>
      <w:r>
        <w:t xml:space="preserve">El presidente y el consejero delegado vendieron 36.600 acciones (unos 14 millones de euros) entre diciembre de 2025 y agosto de 2026, sin ninguna compra en el registro de la AMF [35, 36, 37, 38].</w:t>
      </w:r>
    </w:p>
    <w:p>
      <w:pPr>
        <w:pStyle w:val="ListParagraph"/>
        <w:numPr>
          <w:ilvl w:val="0"/>
          <w:numId w:val="2"/>
        </w:numPr>
        <w:spacing w:after="60"/>
      </w:pPr>
      <w:r>
        <w:t xml:space="preserve">Peso creciente de Nestlé en el consejo: su presidente, Pablo Isla, entra como vicepresidente y en las comisiones de nombramientos y remuneración; Nestlé ha reducido su participación dos veces (2014 y 2021) y una venta futura, a la propia L’Oréal o al mercado, sigue siendo posible [5, 30].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L’Oréal no da cifras. El 22-oct-2026, con las ventas de nueve meses, el consejero delegado dijo que lo hecho hasta septiembre le da confianza en «otro año de crecimiento de ventas y de beneficio» y en reforzar su liderazgo; es la misma promesa del 29-jul con los semestrales, cuando ya hablaba de seguir creciendo más que el mercado [2, 17]. Con los tipos de cambio del 30-sep (1,1355 USD por euro), la divisa restaría un 0,3 % a las ventas de 2026, frente al −1,2 % acumulado a septiembre; el perímetro (Kering Beauté desde el 31-mar, Medik8, Color Wow, Dr.G e Innovist) suma un 2,0 % [2, 17]. La licencia de Gucci empieza el 1-jul-2027 [18]. No hay plan a medio plazo con objetivos numéricos publicado.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FactSet vía Boursorama, mediana, 25 analistas, publicada el 23-oct-2026 con datos anteriores a las ventas del 3T [46]; S&amp;P Global (Stock Analysis y Yahoo, 20-21 analistas): ventas 47.035 M, BPA 13,63, DPA 7,77 [44, 47]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FactSet vía Boursorama [46]; S&amp;P Global (Yahoo, 20 analistas): ventas 50.027 M, BPA 14,94 [47]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dato gratuito (MarketScreener caído o bloqueado el 23-oct; Stock Analysis lo reserva a suscriptores)</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47.576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47.193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50.321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13.329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 8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418,00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340,00 – 460,00</w:t>
            </w:r>
          </w:p>
        </w:tc>
      </w:tr>
    </w:tbl>
    <w:p>
      <w:pPr>
        <w:spacing w:after="160" w:before="0"/>
      </w:pPr>
    </w:p>
    <w:p>
      <w:pPr>
        <w:pStyle w:val="Heading2"/>
      </w:pPr>
      <w:r>
        <w:t xml:space="preserve">Revisiones de estimaciones</w:t>
      </w:r>
    </w:p>
    <w:p>
      <w:pPr>
        <w:spacing w:after="100"/>
      </w:pPr>
      <w:r>
        <w:t xml:space="preserve">Hasta las ventas del 3T el consenso estaba quieto: el BPA de 2026e de S&amp;P Global pasó de 13,70 hace 90 días a 13,63 (−0,5 %) y el de 2027e de 14,86 a 14,94 (+0,5 %), con más subidas que recortes en el último mes (8 frente a 4 en 2026e) [47]. El objetivo mediano de FactSet subió de 411,32 EUR hace tres meses a 420,64 EUR el 13-oct [46]. Últimos cambios: Berenberg, Comprar con 447 EUR (20-oct); Bernstein, Mantener con 405 EUR (19-oct); UBS, Comprar con 440 EUR (13-oct); Jefferies, Mantener con 361 EUR (12-oct); Deutsche Bank, Vender con 340 EUR (23-sep) [44]. Las ventas del 3T (11.561 M) superaron en un 3,0 % las 11.224 M que esperaba el consenso de S&amp;P Global [17, 47], y la divisa resta menos de lo previsto: lo lógico es que las ventas de 2026e suban; a la hora del corte aún no hay revisiones publicadas. La variación a 12 meses no está en ninguna fuente gratuita.</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-29,9 %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Rentabilidades de precio al 21-oct-2026, frente al CAC 40 y a un índice global de lujo (GLUX.PA), el último día que da Yahoo [41]; con el cierre del 22-oct (413,00 EUR) la acción gana un 12,7 % en el año [40]. L’Oréal sube un 10,7 % en 2026 con el CAC 40 en −2,8 % y el lujo en −7,3 %: la aceleración del crecimiento comparable (+6,5 % ajustado en el 1S y +7,7 % en el 3T) la ha separado del lujo, que sigue sin crecer [2, 17]. A tres y cinco años va por detrás del índice (1,6 % y 0,9 % anual) por 2024 (−24,1 %), cuando el frenazo de China y del comercio de viaje bajó el múltiplo: la caída máxima de cinco años (−29,9 %) va de may-2024 a nov-2024 [41]. Desde el mínimo de 344,90 EUR al cierre del 23-mar sube un 19,7 % [40]. Beta mensual de 5 años de 0,87 frente al CAC 40 (semanal de 2 años, 0,59), volatilidad de un año del 24,2 % [41].</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 / +12,0 % / +9,9 % / +11,2 %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 / +19,7 %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nueve meses de 35.338 M EUR (+7,7 % publicado, +6,9 % comparable) y del 3T de 11.561 M (+11,9 % publicado, +7,2 % comparable, +7,7 % ajustado por la transformación informática), un 3,0 % por encima de lo que esperaba el consenso; crecen las cuatro divisiones y las cinco zonas salvo Latinoamérica en el 3T (−1,0 %, por México) [17, 47]. Publicadas tras el cierre del 22-oct: la sesión del 23-oct aún no había abierto a la hora del corte.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de las ventas: Berenberg mantiene Comprar (447 EUR), Bernstein Mantener (405 EUR), UBS Comprar (440 EUR), Jefferies Mantener (361 EUR) y Deutsche Bank Vender (340 EUR, 23-sep) [44].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la compra de la mayoría de Innovist (marcas de cuidado personal nativas digitales de India) y colocados 2.000 M EUR de bonos en tres tramos con calificación AA (S&amp;P) y Aa1 (Moody’s) [17].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Kering rescata antes de tiempo la licencia de Gucci a Coty y L’Oréal firma la suya a 50 años desde el 1-jul-2027; la rescisión cuesta unos 360 M USD, 188 M pagados en julio [2,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2025-12-31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familia Bettencourt Meyers tiene el 34,79 % y Nestlé el 20,16 % [42]. No hay venta anunciada de Nestlé; una salida al mercado sería una oferta grande que hoy no se puede fechar.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cierra el 22-oct en máximos de 52 semanas (413,00 EUR), un 9,4 % sobre la media de 200 sesiones y un 9,6 % por debajo del máximo de 5 años; tendencia alcista sin avisos P1-P5 [40, 41]. En el último año no hay meses de ±15 % ni días de −5 % (la peor sesión, −4,9 % el 13-feb, tras las cuentas de 2025) [41]. La subida de octubre (+8,8 % desde el cierre de septiembre, 379,45 EUR) anticipaba unas buenas ventas, que llegaron por encima del consenso tras el cierre del 22-oct [17, 47]; la reacción del 23-oct no se conoce a la hora del corte. No hay colocaciones, ampliaciones ni litigios pendientes; los próximos resultados son los anuales de febrero de 2027, sin fecha publicada [54]. Veredicto: no cambia.</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 413 EUR L’Oréal cotiza a 21,0 veces el EBITDA de los últimos 12 meses y 31,7 veces el beneficio, por encima de su media de 2022-2025 al cierre (19,6 y 29,2 veces) [D]. Con el PER adelantado (cierre sobre el BPA del año siguiente) la historia limpia da una mediana de 27,6 veces y hoy cotiza a 28,1 veces: el mercado ya paga la vuelta al crecimiento de 2026 [D].</w:t>
      </w:r>
    </w:p>
    <w:p>
      <w:pPr>
        <w:pStyle w:val="Heading1"/>
      </w:pPr>
      <w:r>
        <w:t xml:space="preserve">18. Comparables cotizados</w:t>
      </w:r>
    </w:p>
    <w:p>
      <w:pPr>
        <w:pStyle w:val="Confianza"/>
        <w:spacing w:after="100"/>
      </w:pPr>
      <w:r>
        <w:t xml:space="preserve">Confianza: Media</w:t>
      </w:r>
    </w:p>
    <w:p>
      <w:pPr>
        <w:spacing w:after="100"/>
      </w:pPr>
      <w:r>
        <w:t xml:space="preserve">Seis grupos de belleza de gama alta y dos de consumo masivo con división de belleza. Belleza: Estée Lauder (el otro líder mundial), Coty, Interparfums SA y Puig (perfumes con licencias de moda, como la Luxe de L’Oréal), Shiseido (prestigio en Asia) y Beiersdorf (cuidado de la piel). Consumo: Unilever y Procter &amp; Gamble, rivales de Productos de Gran Consumo. Fuera Inter Parfums Inc (consolida a Interparfums SA), e.l.f. (54 veces beneficios por compras recientes), LVMH (los perfumes pesan menos del 10 %) y Kenvue, Haleon y Colgate (salud e higiene). Cifras de MarketScreener (9-oct) y de la ficha sectorial de este repositorio (14-oct), llevadas al cierre del 22-oct con el precio de Yahoo y el euro del BCE del 22-oct, con la deuda neta constante [50, 51, 52]. P&amp;G sube un 5,6 % el 22-oct con sus resultados: sus estimaciones pueden haber cambiado.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L’Oréal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220.501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Estée Lauder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Interparfums SA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Shiseido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Beiersdorf</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Puig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Unilever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Procter &amp; Gamble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343.250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 / 13,3x / 15,9x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343,01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 / 14,8x / 15,9x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307,67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 / 23,9x / 28,0x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303,11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351,66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411,62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45.355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 / 2,6x / 3,3x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257,35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11,7 + 0,51 × crecimiento; R² = 0,27. El crecimiento explica poco los múltiplos de estos comparables (R² &lt; 0,3): la regresión no se usa en la valoración.</w:t>
      </w:r>
    </w:p>
    <w:p>
      <w:pPr>
        <w:spacing w:after="100"/>
      </w:pPr>
      <w:r>
        <w:t xml:space="preserve">L’Oréal cotiza a 19,0 veces el EBITDA de los próximos 12 meses y 28,1 veces el beneficio, frente a una mediana de 13,4 y 23,9 veces de ocho grupos de belleza y cuidado personal: una prima del 42 % y del 18 % [D]. La prima la justifican el margen (24,2 % frente al 18,7 %), el ROIC (18 %) y un crecimiento que dobla el de la mediana (6,9 % comparable en nueve meses frente al 3,4 % esperado para los comparables) [A, D].</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Kering Beauté (Creed y licencias a 50 años de Gucci, Bottega Veneta y Balenciaga)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4.246,5 M EUR con 242,3 M de caja adquirida (valor empresa de unos 4.004 M); 2.840,9 M de fondo de comercio y 857,2 M de valor de la marca Creed; cerrada el 31-mar-2026. Ni L’Oréal ni Kering publicaron ventas ni EBITDA del conjunto [2, 53].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ISDIN (50 % restante)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Puig (a Esteve)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1.200 M EUR por el 50 % (900 M al cierre y 300 M en el 1T29); unos 2.400 M por el 100 %, 3,7 veces las ventas de 2025 según AlphaValue; sin EBITDA publicado [55, 56].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Rhode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e.l.f. Beauty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800 M USD al cierre más hasta 200 M de pago variable; 3,8 veces las ventas de 212 M USD de los 12 meses a mar-2025 [57].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Creed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Kering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3.500 M EUR según la prensa, sobre más de 250 M de ventas: múltiplo de nicho atípico. Hoy es de L’Oréal [58].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Aesop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 (a Natura &amp;Co)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2.525 M USD con ventas de 537 M USD en 2022 [59].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 Ford (marca, con Tom Ford Beauty)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Estée Lauder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2.800 M USD; sin ventas ni EBITDA del conjunto [60].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Byredo (77 %)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Puig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1.244 M EUR por el 100 % (con opciones y variable) sobre 163,2 M de ventas pro forma de 2022 [61].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2020-05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Wella, Clairol, OPI y ghd (60 %)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KKR (a Coty)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4.300 M USD de valor empresa, 12,3 veces el EBITDA de 2019 [62].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303,01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294,51 – 379,46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Ocho compras de belleza de 2023-2026, entre ellas Aesop (de la propia L’Oréal), Kering Beauté (≈4.004 M de valor empresa) e ISDIN [D]. A sus múltiplos medianos de ventas L’Oréal valdría 303,01 EUR por acción: es solo referencia, porque L’Oréal no es comprable (la familia tiene el 34,8 % y Nestlé el 20,2 %) [C].</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Partimos de 2025 (44.052 M EUR) [A]. 2026e queda fijo en +8,0 % publicado: nueve meses al +7,7 % (+6,9 % comparable, +2,0 de perímetro con Kering Beauté desde abril, −1,2 de divisa) y un 3T al +11,9 %; con un 4T parecido el año acaba en ≈47.600 M, algo por encima del consenso previo (47.193 M) [A, D]. 2027e-2028e +6,5 % (orgánico del 5,5 % y Gucci desde julio de 2027) y luego converge al 3,0 % en 2035e.</w:t>
      </w:r>
    </w:p>
    <w:p>
      <w:pPr>
        <w:keepNext/>
        <w:spacing w:after="100"/>
      </w:pPr>
      <w:r>
        <w:rPr>
          <w:b/>
          <w:bCs/>
        </w:rPr>
        <w:t xml:space="preserve">Márgenes.</w:t>
      </w:r>
    </w:p>
    <w:p>
      <w:pPr>
        <w:spacing w:after="100"/>
      </w:pPr>
      <w:r>
        <w:t xml:space="preserve">Margen EBITDA del 24,3 % en 2026e (resultado operativo del 20,5 %; el 1S26 fue del 21,3 % y el 2S es siempre más bajo) y +0,2 puntos al año hasta el 25,3 %, lo que L’Oréal ha hecho de 2021 (19,1 %) a 2025 (20,2 %) [A]. El consenso pide un 24,3 % en 2026e [D].</w:t>
      </w:r>
    </w:p>
    <w:p>
      <w:pPr>
        <w:keepNext/>
        <w:spacing w:after="100"/>
      </w:pPr>
      <w:r>
        <w:rPr>
          <w:b/>
          <w:bCs/>
        </w:rPr>
        <w:t xml:space="preserve">Inversión y circulante.</w:t>
      </w:r>
    </w:p>
    <w:p>
      <w:pPr>
        <w:spacing w:after="100"/>
      </w:pPr>
      <w:r>
        <w:t xml:space="preserve">Amortización del 3,8 % de las ventas (la de 2025) [A]. Capex del 4,6 %: inversión del 3,4 % de 2025 más las altas de derechos de uso. Circulante comercial del 7,5 % de las ventas, el de 2025 [A].</w:t>
      </w:r>
    </w:p>
    <w:p>
      <w:pPr>
        <w:keepNext/>
        <w:spacing w:after="100"/>
      </w:pPr>
      <w:r>
        <w:rPr>
          <w:b/>
          <w:bCs/>
        </w:rPr>
        <w:t xml:space="preserve">Coste del capital.</w:t>
      </w:r>
    </w:p>
    <w:p>
      <w:pPr>
        <w:spacing w:after="100"/>
      </w:pPr>
      <w:r>
        <w:t xml:space="preserve">Bund a 10 años del 3,44 % (22-oct-2026) y beta de 0,87 [D]; prima de mercado del 5,5 %. Coste de la deuda del 3,2 % (rating AA / Aa1) y un 7 % de deuda en la estructura de capital. WACC del 7,82 %.</w:t>
      </w:r>
    </w:p>
    <w:p>
      <w:pPr>
        <w:keepNext/>
        <w:spacing w:after="100"/>
      </w:pPr>
      <w:r>
        <w:rPr>
          <w:b/>
          <w:bCs/>
        </w:rPr>
        <w:t xml:space="preserve">Valor terminal.</w:t>
      </w:r>
    </w:p>
    <w:p>
      <w:pPr>
        <w:spacing w:after="100"/>
      </w:pPr>
      <w:r>
        <w:t xml:space="preserve">Crecimiento a perpetuidad del 2,5 %: inflación del euro (2 %) más medio punto real, por debajo del Bund menos medio punto. El valor terminal es el 64 %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72.719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211.762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294.366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154.683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289,72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270,92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369,28</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7.010 M (7 %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 (reinvierte el 31 %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 (histórico: 20,1 %)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 frente al 5,2 %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 (hoy: 14,7 %)</w:t>
            </w:r>
          </w:p>
        </w:tc>
      </w:tr>
    </w:tbl>
    <w:p>
      <w:pPr>
        <w:spacing w:after="160" w:before="0"/>
      </w:pPr>
    </w:p>
    <w:p>
      <w:pPr>
        <w:spacing w:after="100"/>
      </w:pPr>
      <w:r>
        <w:t xml:space="preserve">La proyección apenas necesita inversión neta de la amortización (reinversión acumulada de 7.010 M, el 7 % del NOPAT, con un capex bruto medio del 4,6 % de las ventas). En un negocio de activos ligeros, el crecimiento medio del 5,2 % tiene que salir de subir precios y de ganar volumen sin capital nuevo, y la prueba es el poder de precios y la cuota (15,6 % del mercado en 2035e, frente al 14,7 %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Comparable del +7 % (volumen ≈3,5 % y precio y mezcla ≈3,5 %) y +2 de perímetro, con la divisa en ≈−1 [A].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5,5 % y +1 punto de perímetro (Kering Beauté el primer trimestre y Gucci desde julio).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5,5 % y +1 punto por el primer año entero de Gucci.</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5 % (mercado del 4,5 %) y el último medio punto de Gucci.</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crecimiento converge al del mercado más medio punto.</w:t>
            </w:r>
          </w:p>
        </w:tc>
      </w:tr>
    </w:tbl>
    <w:p>
      <w:pPr>
        <w:spacing w:after="160" w:before="0"/>
      </w:pPr>
    </w:p>
    <w:p>
      <w:pPr>
        <w:spacing w:after="100"/>
      </w:pPr>
      <w:r>
        <w:t xml:space="preserve">Sí. El caso base (4,8 % anual en 2027e-2035e) pide menos de lo que L’Oréal ha hecho en cualquier periodo de cinco años desde 2010 (8,1 % anual en 2021-2025) y lo financia un ROIC del 18 % con una reinversión del 7 %; solo exige ganar algo de cuota en un mercado que crece un 4-5 % [A, B].</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 (base: 4,8 %)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33,3 % (base: 25,3 %)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 (WACC: 7,8 %)</w:t>
            </w:r>
          </w:p>
        </w:tc>
      </w:tr>
    </w:tbl>
    <w:p>
      <w:pPr>
        <w:spacing w:after="160" w:before="0"/>
      </w:pPr>
    </w:p>
    <w:p>
      <w:pPr>
        <w:spacing w:after="100"/>
      </w:pPr>
      <w:r>
        <w:t xml:space="preserve">El DCF da 289,72 EUR por acción, un 29,8 % por debajo de 413 EUR, con un WACC del 7,82 % y un valor terminal del 64 %. El DCF inverso dice que a 413 EUR el mercado descuenta un crecimiento del 9,9 % anual en 2027e-2035e frente al 4,8 % de nuestro caso base, o que el accionista gana un 6,3 % anual. Con la prima que hoy pide el mercado (4,2 %) el DCF sube a 367,02 EUR, aún un 11 % por debajo [D].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209,42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belleza vuelve al 3-4 % y L’Oréal deja de superar al mercado: 2,5 puntos menos de crecimiento y 1,5 de margen.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289,72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 crece un 5,5 % orgánico más Gucci en 2027-2028, converge al 3 % en 2035 y sube el margen 0,2 puntos al año.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339,35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y el comercio de viaje vuelven y Gucci rinde más: 1,5 puntos más de crecimiento y 1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413,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282,05 EUR (-31,7 %).</w:t>
      </w:r>
    </w:p>
    <w:p>
      <w:pPr>
        <w:spacing w:after="100"/>
      </w:pPr>
      <w:r>
        <w:t xml:space="preserve">El DCF da 209,42 EUR en el bajista (−49,3 %), 289,72 en el base (−29,8 %) y 339,35 en el alcista (−17,8 %): con nuestro coste de capital ni el alcista llega al precio.</w:t>
      </w:r>
    </w:p>
    <w:p>
      <w:pPr>
        <w:pStyle w:val="Heading1"/>
      </w:pPr>
      <w:r>
        <w:t xml:space="preserve">22. Suma de partes</w:t>
      </w:r>
    </w:p>
    <w:p>
      <w:pPr>
        <w:pStyle w:val="Confianza"/>
        <w:spacing w:after="100"/>
      </w:pPr>
      <w:r>
        <w:t xml:space="preserve">Confianza: Media</w:t>
      </w:r>
    </w:p>
    <w:p>
      <w:pPr>
        <w:spacing w:after="100"/>
      </w:pPr>
      <w:r>
        <w:t xml:space="preserve">No aplica a las divisiones (no se publica el resultado completo por división). Las dos participaciones cotizadas (Sanofi, ≈6.640 M, y Galderma, ≈9.450 M) se suman en el puente a precio de mercado [A, D].</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413,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343,01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379,46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367,02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419,01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415,06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291,66 EUR (-29,4 % sobre 413,00).</w:t>
      </w:r>
    </w:p>
    <w:p>
      <w:pPr>
        <w:spacing w:after="100"/>
      </w:pPr>
      <w:r>
        <w:t xml:space="preserve">El DCF pesa un 55 %: es un negocio estable y previsible. Los escenarios, un 30 %, y los comparables un 15 %, porque la muestra mezcla grupos en reestructuración (Coty, Shiseido) con gran consumo (Unilever, P&amp;G). Valor intrínseco de 291,66 EUR (−29,4 %). La recomendación la decide el objetivo a 12 meses por PER (regla v3): +3,5 % ponderado y +8,1 % en el caso base, Mantener.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312,20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(28.1x) a mitad de camino hacia abajo, hacia la mediana de 5 años (27.6x)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439,52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490,75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r>
    </w:tbl>
    <w:p>
      <w:pPr>
        <w:spacing w:after="160" w:before="0"/>
      </w:pPr>
    </w:p>
    <w:p>
      <w:pPr>
        <w:spacing w:after="100"/>
      </w:pPr>
      <w:r>
        <w:rPr>
          <w:b/>
          <w:bCs/>
        </w:rPr>
        <w:t xml:space="preserve">Objetivo a 12 meses (ponderado):</w:t>
      </w:r>
      <w:r>
        <w:t xml:space="preserve"> 420,50 EUR · rentabilidad +3,6 % (base +8,2 %) · señal Mantener.</w:t>
      </w:r>
    </w:p>
    <w:p>
      <w:pPr>
        <w:spacing w:after="100"/>
      </w:pPr>
      <w:r>
        <w:t xml:space="preserve">Para comparar, con la regla v2 (historia al cierre, mismo precio): 27,0x / 28,1x / 30,9x, 10,3 %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(13,60 EUR) y de 2027e (14,71) quedan un 0,7 % y un 1,6 % por debajo del consenso (13,70 y 14,95), que es de antes del 3T26 y probablemente suba; la diferencia sale de que no sumamos el resultado de Galderma. Nuestro precio base a 12 meses (439,52 EUR) queda un 5 % por encima del objetivo medio de los analistas (418 EUR) [D].</w:t>
      </w:r>
    </w:p>
    <w:p>
      <w:pPr>
        <w:keepNext/>
        <w:spacing w:after="100"/>
      </w:pPr>
      <w:r>
        <w:rPr>
          <w:b/>
          <w:bCs/>
        </w:rPr>
        <w:t xml:space="preserve">Del valor intrínseco al objetivo a 12 meses.</w:t>
      </w:r>
    </w:p>
    <w:p>
      <w:pPr>
        <w:spacing w:after="100"/>
      </w:pPr>
      <w:r>
        <w:t xml:space="preserve">El objetivo a 12 meses ponderado (≈420 EUR; base 439,52) queda muy por encima del valor intrínseco (291,66 EUR): la rentabilidad a 12 meses viene de crecer el BPA un 7-8 % al año con el mercado pagando unas 28 veces el beneficio; el valor intrínseco dice que con un 4,8 % de crecimiento a largo plazo la acción vale menos de 300 EUR. Con la historia al cierre (v2, control) la rentabilidad es del +10,2 %.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del consenso tras el 3T26 (+7,2 % comparable, un 3 % por encima de las ventas esperadas)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BPA de 2026e-2027e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año (21,3 % en el 1S26) y primer año con Kering Beauté</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1-jul-2027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de la licencia de belleza de Gucci (hoy de Coty)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punto de crecimiento anual en 2027-2028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Nestlé sobre su 20,2 % (Pablo Isla entra en el consejo como vicepresidente propuesto por Nestlé)</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recompra por L’Oréal subiría el BPA; una colocación presionaría el precio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Vuelta del comercio de viaje en Asia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Norte de Asia ya crece un 7,8 % en el 3T26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la prima de crecimiento (la belleza vuelve al 3-4 %)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 a 12 meses (bajista: 312,20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creciente: +6,9 % frente a un mercado del ≈4,5-5 %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comparable por debajo del 5 % dos trimestres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Gran Consumo se frena (+3,8 % en el 3T26) y Latinoamérica cae (−1,0 % comparable, México)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Profesionales y Dermatológica crecen un 14 %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 Consumo por debajo del 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caras (Kering Beauté, Galderma, Gucci) y fondo de comercio del 71 % del patrimonio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a 50 años; Galderma vale más que lo pagado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(provisión de 458 M sobre Aesop en las cuentas individuales de 2025)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en EE. UU. (≈11.800 demandas por alisadores, ≈620 por talco) y la liquidación de IPI en Brasil (673 M, provisionados 45 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provisión material: la empresa defiende que no hay relación causal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juicios con jurado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 −3 % del BPA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local; a los tipos de septiembre la divisa resta solo un 0,3 % en 2026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 por encima de 1,20 USD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 de Nestlé en el mercado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a −10 % temporal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ya recompró a Nestlé en 2021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 en el pacto o en el consejo</w:t>
            </w:r>
          </w:p>
        </w:tc>
      </w:tr>
    </w:tbl>
    <w:p>
      <w:pPr>
        <w:spacing w:after="160" w:before="0"/>
      </w:pPr>
    </w:p>
    <w:p>
      <w:pPr>
        <w:pStyle w:val="Heading2"/>
      </w:pPr>
      <w:r>
        <w:t xml:space="preserve">Pre-mortem</w:t>
      </w:r>
    </w:p>
    <w:p>
      <w:pPr>
        <w:spacing w:after="100"/>
      </w:pPr>
      <w:r>
        <w:t xml:space="preserve">Octubre de 2028: la acción vale 310 EUR. En 2027 el mercado de belleza creció un 3 %, Gran Consumo se estancó y Gucci aportó menos de lo esperado; el mercado dejó de pagar 28 veces el beneficio y bajó a 22, el PER de los años de crecimiento lento. La señal: crecimiento comparable por debajo del 5 % en dos trimestres seguidos.</w:t>
      </w:r>
    </w:p>
    <w:p>
      <w:pPr>
        <w:pStyle w:val="Heading1"/>
      </w:pPr>
      <w:r>
        <w:t xml:space="preserve">26. ESG y controversias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AAA (clima, bosques y agua), décimo año seguido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16,6, 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89/100, medalla de platino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 (decimoquinto año seguido)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r>
    </w:tbl>
    <w:p>
      <w:pPr>
        <w:spacing w:after="160" w:before="0"/>
      </w:pPr>
    </w:p>
    <w:p>
      <w:pPr>
        <w:pStyle w:val="Heading2"/>
      </w:pPr>
      <w:r>
        <w:t xml:space="preserve">Asuntos materiales</w:t>
      </w:r>
    </w:p>
    <w:p>
      <w:pPr>
        <w:spacing w:after="100"/>
      </w:pPr>
      <w:r>
        <w:t xml:space="preserve">Lo que más pesa en las cifras es el </w:t>
      </w:r>
      <w:r>
        <w:rPr>
          <w:b/>
        </w:rPr>
        <w:t xml:space="preserve">clima en la cadena de suministro</w:t>
      </w:r>
      <w:r>
        <w:t xml:space="preserve">: L’Oréal ya ha reducido sus emisiones directas y de energía (alcances 1 y 2) un 58 % frente a 2019, por encima de su objetivo del 57 % para 2030, con el 100 % de energía renovable en sus centros; pero las emisiones de compras, transporte y viajes (alcance 3) han subido un 5 % frente a 2019 cuando el objetivo es bajarlas un 28 % en 2030 [5]. El </w:t>
      </w:r>
      <w:r>
        <w:rPr>
          <w:b/>
        </w:rPr>
        <w:t xml:space="preserve">plástico virgen</w:t>
      </w:r>
      <w:r>
        <w:t xml:space="preserve"> de los envases ha bajado un 37 %, frente a un objetivo del 50 % [5]. La </w:t>
      </w:r>
      <w:r>
        <w:rPr>
          <w:b/>
        </w:rPr>
        <w:t xml:space="preserve">seguridad de los ingredientes</w:t>
      </w:r>
      <w:r>
        <w:t xml:space="preserve"> es el tercer asunto: de ella dependen los litigios de EE. UU. [5].</w:t>
      </w:r>
    </w:p>
    <w:p>
      <w:pPr>
        <w:pStyle w:val="Heading2"/>
      </w:pPr>
      <w:r>
        <w:t xml:space="preserve">Controversias</w:t>
      </w:r>
    </w:p>
    <w:p>
      <w:pPr>
        <w:spacing w:after="100"/>
      </w:pPr>
      <w:r>
        <w:t xml:space="preserve">En EE. UU., a 31-dic-2025, unas 10.670 demandas federales agrupadas (MDL de Illinois) y unas 1.140 estatales por alisadores de pelo, más una acción colectiva, y unas 620 por talco con amianto; ninguna ha llegado a juicio y la empresa las rechaza [5]. En Francia, multa de competencia de 189,5 M EUR (higiene, hechos de principios de los 2000), confirmada en 2023 y pagada en 2015, con reclamaciones de distribuidores en curso [5].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+7,2 % comparable del 3T26 es calendario del cambio informático y cuánto demanda?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comparable y el ajustado se separan hasta 10 puntos en algunas zonas y trimestres [A].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Kering Beauté y Gucci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aporta Kering Beauté y qué ventas espera de Gucci desde julio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mitad del crecimiento extra de 2027-2028.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Nestlé</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conversaciones con Nestlé sobre su 20,2 %? ¿Lo recompraría L’Oréal con deuda o con Sanofi?</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el BPA y el balance.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recurrentes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hay partidas «no recurrentes» todos los años (302-681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BPA ajustado que usamos las excluye [A].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Aesop</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la provisión de 458 M sobre Aesop UK en las cuentas individuales y no en el consolidado?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Posible deterioro del fondo de comercio [B].</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L'Oréal: hilos de las ventas del 3T26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Reacción de la tarde del 22-oct: satisfacción de accionistas de largo plazo con líneas grandes, que ven a L'Oréal «aguantar la tienda» frente a la caída de la tecnología y del lujo; un participante confunde el +11,9 % publicado con el crecimiento comparable y otro le remite a la tabla del comunicado [15, 63, 64].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L'Oréal: «Opportunité», «Trop haut, trop vite» y «1ère capitalisation du CAC 40»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mediados de septiembre domina la idea de que la compresión del múltiplo ha tocado suelo y de que el valor puede volver a máximos en 2027; la única voz en contra es técnica (sobrecompra antes de resultados) y un comentario lee la primera capitalización de París como síntoma de la caída del lujo, no como mérito propio [65, 67, 68].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L'Oréal: hilo «Stagnation» (tras el 1S26)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y después de los resultados semestrales, frustración porque la acción no se mueve en cinco años mientras ventas y beneficio suben; unos piensan vender si no hay reacción y otros defienden mantener por el dividendo creciente [66].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inversores independientes)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último artículo de opinión (27-ago) mantiene «Mantener»: buen negocio, pero valoración «implacable» que solo se justifica con crecimiento medio-alto de un dígito sostenido; su autor esperaría a unos 300 EUR. La serie de títulos del año en la plataforma va de «no lo bastante barata» a «interesante otra vez» y vuelta a «aún no atractiva» [69, 70].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Stocktwits (LRLCY)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Poco debate propio: titulares de resultados y mensajes de otros valores (Coty, e.l.f.) que especulan con que L'Oréal sea comprador; ningún análisis de la acción [71].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Aceleración del 3T y L'Oréal como valor refugio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en la tendencia: el comunicado da un crecimiento comparable ajustado del +7,7 % en el 3T26 y del +6,9 % en nueve meses, con las cuatro divisiones en positivo (Productos Profesionales y Belleza Dermatológica +13,9 % ajustado en el trimestre). Pero el +11,9 % publicado que circula incluye compras (efecto perímetro de +2,0 % en nueve meses) y Latinoamérica cayó un −3,0 % ajustado en el 3T [17].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cotización no acompaña al negocio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a cinco años: la acción sube un 0,9 % anual frente al 3,3 % del CAC 40 (solo precio); a diez años, 9,3 % frente a 5,7 %. En 2026 se ha dado la vuelta: +10,7 % en el año frente al −2,8 % del índice hasta el 21-oct [41]. La lectura de que el múltiplo ya se ha comprimido es la que pone a prueba la sección de valoración.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objeción de los inversores que escriben análisis (Seeking Alpha) y no la del foro francés [70]; el informe la contrasta con su DCF y con la historia del PER, no con las cifras que circulan en los foros.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Sobrecompra técnica antes de resultados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temor a una corrección antes del 22-oct no se cumplió: el comunicado batió lo esperado y la conversación pasó a la reacción al alza [15, 17, 65].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y rumores de compras (Gucci, Armani, Coty, e.l.f.)</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 oficial es la licencia de Gucci y el cierre de la compra de la mayoría de Innovist en India; lo de Coty y e.l.f. son rumores sin respaldo en ningún comunicado y la participación del 15 % en Armani solo aparece como titular de prensa [17, 69, 71].</w:t>
            </w:r>
          </w:p>
        </w:tc>
      </w:tr>
    </w:tbl>
    <w:p>
      <w:pPr>
        <w:spacing w:after="160" w:before="0"/>
      </w:pPr>
    </w:p>
    <w:p>
      <w:pPr>
        <w:spacing w:after="100"/>
      </w:pPr>
      <w:r>
        <w:t xml:space="preserve">El foro francés, de accionistas de largo plazo, pasa de la frustración del verano («cinco años sin moverse») a la satisfacción tras el 3T26, sin llegar a la euforia: se habla de recuperar máximos, no de cifras desorbitadas. Los inversores que publican análisis en inglés siguen en «Mantener» por valoración. El sentimiento va con los datos del trimestre, pero mezcla el crecimiento publicado (con compras) con el comparable y no repara en la caída de Latinoamérica. Hay poco debate y muy concentrado en pocos participantes, así que su valor es limitado: confirma que el riesgo percibido es el precio y no el negocio. No cambia la decisión.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22 controles correctos y 2 explicados. Fuentes: 71 (45 primarias); citas distintas en el texto: 67.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15,6 % en 2035e frente al 14,7 %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7,5 % frente a 7,5 % real: genera una variación de circulante de 252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0,27: el crecimiento no explica los múltiplos de estos comparables; no uses el valor de la regresión. Explicación: Con ocho grupos de belleza y gran consumo de márgenes muy distintos (4-28 %) el crecimiento solo explica el 27 % del múltiplo;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11,7x a 15,0x según qué comparable se quite (246,75 a 321,94 por acción): la muestra es frágil; explícalo y no le des mucho peso. Explicación: Coty y Shiseido (en reestructuración) y P&amp;G mueven la mediana: por eso los comparables pesan un 15 %.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71 fuentes (45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43, 45, 48, 49.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del 4T24-2T26 y cifra del consenso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de L’Oréal: no citan consenso; 2) búsqueda web «L’Oréal third quarter 2026 sales analysts expected» y «nine-month sales October 22 2026 Reuters»: sin resultados de 2026; 3) foros de Boursorama: reproducen el consenso de Bloomberg y Vara Research, pero no es fuente válida para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(3T26 marcado «Superior» solo cualitativamente; el consenso, a la nota D)</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los analistas en las conferencias del 1S26 y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loreal-finance.com: solo la retransmisión, sin transcripción; 2) presentaciones del consejero delegado y del director financiero: sin preguntas; 3) búsqueda web: sin transcripción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de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ESEF 2022: reservas con 8.940 M de autocartera aún sin amortizar (no comparable); 2) documento de registro 2025: solo desde 2023; 3) nota de prensa 2021: sin estado de patrimonio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competidores.margen_ebit_pct (Unilever, belleza y cuidado personal)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Resumen de cifras del 4T25 de Unilever por grupo de negocio: solo ventas y crecimiento, margen del grupo; 2) informe de Unilever de este repositorio (unilever-2026-10-14): resultado por segmento sin dato; 3) no se deriva: el margen del grupo (17,9 %) mezcla hogar y alimentación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voto_remuneracion_contra_libre_pct (voto en contra sobre el capital libre presente)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Síntesis de votos de 2026: permite calcularlo (8,1 % en contra de la remuneración del consejero delegado excluyendo a la familia; 14,3 % excluyendo también a Nestlé), pero no es el peor año; 2) síntesis de votos de 2025 y 2024 en loreal-finance.com: no publicadas en la web (solo hasta 2023 y 2026); 3) URD 2025 y 2024: solo dan el % a favor sobre votos emitidos (87,74 % y 93,11 %), sin número de votos ni quórum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motor puntúa con el voto en contra sobre votos emitidos (12,26 %). Con un quórum como el de 2026, el 12,26 % de 2025 equivaldría a un ~21 % del capital libre presente (estimación propia)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de Christophe Babule y Barbara Lavernos; fecha de nombramiento de Lavernos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cap. 1 y 2: solo se publican las acciones de los consejeros; 2) URD 2024 y 2023: igual; 3) BDIF de la AMF: sin declaraciones suyas en los últimos 12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de 2028e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(www, ca e in): 403, 500 y 502 el 23-oct; 2) Stock Analysis: 2027-2028 solo para suscriptores; Boursorama/FactSet y Yahoo solo llegan a 2027e; 3) Simply Wall St (fuente del informe anterior):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 (registro oficial)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«n/a»; 2) búsqueda del conjunto de posiciones cortas netas de la AMF en data.gouv.fr: sin resultados; 3) Boursorama: no publica posiciones cortas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fecha de los resultados anuales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Calendario financiero de L’Oréal: solo hasta el 22-oct-2026; 2) comunicado del 3T: no la da; 3) Stock Analysis: «27-oct-2026», una estimación automática equivocada (ya se publicaron las ventas)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(los de 2025 fueron el 12-feb-2026)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(Reddit, Investing.com, ABC Bourse)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JSON de Reddit sobre L'Oréal: 403; 2) comentarios de Investing.com Francia: 403, y foro de ABC Bourse: 404; 3) narrativas de Simply Wall St: la única de L'Oréal la genera un modelo de lenguaje a partir del consenso y no tiene comentarios, así que se descarta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Boursorama, Seeking Alpha y Stocktwits</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Annual Results (nota de prensa con cuentas completas, 12-feb-2026)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https://www.loreal-finance.com/system/files/2026-02/CPFY25ENv12.02%2017.00.pdf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 Half-Year Results (nota de prensa, 29-jul-2026)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https://www.loreal-finance.com/eng/press-release/2026-half-year-results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Financial Report 2026 (estados financieros intermedios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https://www.loreal-finance.com/system/files/2026-07/LOREAL_RFS_2026_UK.pdf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 at 30 September 2026 (nota de prensa, 22-oct-2026)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https://www.loreal-finance.com/system/files/2026-10/CP_9M26_EN%2022.10%2016h.pdf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Universal Registration Document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https://www.loreal-finance.com/system/files/2026-03/LOREAL_DEU_2025_EN.pdf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quarter 2026 sales (nota de prensa, 22-abr-2026)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https://www.loreal-finance.com/eng/press-release/first-quarter-2026-sales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Annual Results (nota de prensa, 6-feb-2025)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https://www.loreal-finance.com/eng/press-release/2024-annual-results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 Annual Results (nota de prensa, 8-feb-2024)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https://www.loreal-finance.com/eng/news-release/2023-annual-results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 Annual Results (nota de prensa, 9-feb-2022)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https://www.loreal-finance.com/eng/news-release/2021-annual-results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 d’enregistrement universel 2022, versión ESEF (cuentas consolidadas 2022 y 2021: amortizaciones, segmentos,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(repositorio ESEF de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https://filings.xbrl.org/529900JI1GG6F7RKVI53/2022-12-31/ESEF/FR/0/loreal-2022-12-31-fr/reports/loreal-2022-12-31-fr.xhtml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 d’enregistrement universel 2023, versión ESEF (flujos por cambios de perímetro 2021-2023)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(repositorio ESEF de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https://filings.xbrl.org/529900JI1GG6F7RKVI53/2023-12-31/ESEF/FR/0/loreal-2023-12-31AR/reports/loreal-2023-12-31AR.xhtml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Half-Year Results: presentación del consejero delegado (estimación del mercado de belleza)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https://www.loreal-finance.com/system/files/2026-07/LOREAL_NH_HALF_YEAR_RESULTS_30072026_8H.pdf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sales growth lags but US and China show recovery (3T25 frente al 4,9 % esperado)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 Care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https://www.personalcareinsights.com/news/loreal-q3-2025-finances.html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Sales Disappoint as Weaker US Outweighs China Pickup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(BGOV)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https://news.bgov.com/international-trade/loreal-sales-disappoint-as-us-weakness-outweighs-china-pickup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L’Oréal: «Résultats exceptionnels du T3» (reproduce noticias sobre el 3T26 frente al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https://www.boursorama.com/bourse/forum/1rPOR/detail/468592474/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Annual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https://www.loreal-finance.com/eng/press-release/2025-annual-results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 at 30 September 2026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https://www.loreal-finance.com/eng/press-release/sales-30-september-2026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enters a 50-year exclusive worldwide beauty licence with Kering for the Gucci brand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https://www.loreal-finance.com/eng/press-release/loreal-enters-50-year-exclusive-worldwide-beauty-licence-kering-gucci-brand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to acquire a majority stake in Innovist, a leading digital-first Indian personal care house of brands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https://www.loreal-finance.com/eng/press-release/loreal-acquire-majority-stake-innovist-leading-digital-first-indian-personal-care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détrône LVMH: la première capitalisation française change de mains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France Épargne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https://www.france-epargne.fr/news/loreal-detrone-lvmh-la-premiere-capitalisation-francaise-change-de-mains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Estée Lauder Companies, datos XBRL del formulario 10-K (ejercicio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https://data.sec.gov/api/xbrl/companyfacts/CIK0001001250.json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Coty Inc., datos XBRL del formulario 10-K (ejercicio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https://data.sec.gov/api/xbrl/companyfacts/CIK0001024305.json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Documents - December 31, 2025 (información por segmentos)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https://lvmh-com.cdn.prismic.io/lvmh-com/aXjqHgIvOtkhB_8I_Financialdocuments-December31%2C2025.pdf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Beiersdorf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https://www.beiersdorf.com/~/media/Beiersdorf/investors/financial-publication/2026/annual-report/Beiersdorf-2025-Annual-Report.pdf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Results and FY2026 Outlook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Shiseido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https://corp.shiseido.com/en/ir/pdf/ir20260210_244.pdf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Accounts and Consolidated Management Report 2025 (XBRL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https://uploads.puig.com/uploads/PUIG_BRANDS_Consolidated_Annual_Accounts_2025_eng_33d2988396.pdf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2025 highlights: key figures by Business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https://www.unilever.com/files/ir-q4-2025-highlights.pdf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 diario (medias de 2025 y de jul-2025 a 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Générale 2026 – Synthèse des votes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https://www.loreal-finance.com/system/files/2026-04/Assemble%CC%81e%20Ge%CC%81ne%CC%81rale%202026%20-%20Synthe%CC%80se%20des%20votes_MEL.pdf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of 24 April 2026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https://www.loreal-finance.com/system/files/2026-04/Annual%20General%20Meeting%20of%2024%20April%202026_MEL%20vde%CC%81f.pdf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Universal Registration Document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https://www.loreal-finance.com/system/files/2025-03/LOREAL_DEU_2024_UK.pdf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Universal Registration Document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https://www.loreal-finance.com/system/files/migrate-files/LOREAL_Document_Enregistrement_Universel_2023_en.pdf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Universal Registration Document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https://www.loreal-finance.com/system/files/migrate-files/LOREAL_2022_Universal_Registration_Document_en.pdf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Articles of association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https://www.loreal-finance.com/system/files/2026-10/Articles%20of%20association%2014.10.2026.pdf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 des dirigeants 2025DD1074444 (N. Hieronimus, venta 11-dic-2025)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https://bdif.amf-france.org/back/api/v1/documents/2025/2025DD1074444/8F2A6686DAA056F38C31A7BBC2506B1E5F378C3660D6F2D0FF8BB2585843DAAC.pdf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 des dirigeants 2026DD1096806 (J.-P. Agon, venta 20-feb-2026)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https://bdif.amf-france.org/back/api/v1/documents/2026/2026DD1096806/C77ECA5745CD32AE046F57F8004E781E9B35BBB472802CC2735652DFD6D00378.pdf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 des dirigeants 2026DD1131221 (J.-P. Agon, venta 30-jul-2026)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https://bdif.amf-france.org/back/api/v1/documents/2026/2026DD1131221/CDF80F7B9B7A66141A96035A9B7C49DE3E8F398F6C4966F1DCBD2A1815AFEBA4.pdf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 des dirigeants 2026DD1134807 (N. Hieronimus, venta 3-ago-2026)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https://bdif.amf-france.org/back/api/v1/documents/2026/2026DD1134807/FAD8BE569E895BCAB89BEDB61EE5E6C09969FE8CACAD40D70727023C0F194C60.pdf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Important appointments within L’Oréal’s Executive Committee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https://loreal-finance.com/eng/news-release/important-appointments-within-loreals-executive-committee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(FR0000120321, XPAR): cotizaciones diarias oct-2025 a oct-2026 (cierre del 22-oct-2026: 413,00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https://live.euronext.com/en/product/equities/FR0000120321-XPAR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OR.PA, ^FCHI y GLUX.PA (bolsa.mjs y movimiento.mjs), hasta el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https://finance.yahoo.com/quote/OR.PA/history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Universal Registration Document (cifras 2020-2025, nota 11.4 y accionariado)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https://www.loreal-finance.com/eng/2025-universal-registration-document/en/article/23/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2019 Annual Results (BPA diluido sin no recurrentes 2017-2019)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https://echanges.dila.gouv.fr/OPENDATA/AMF/MKW/2020/02/FCMKW117380_20200206.pdf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(EPA:OR) Stock Forecast &amp; Price Targets (S&amp;P Global y TipRanks, act.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https://stockanalysis.com/quote/epa/OR/forecast/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(EPA:OR)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https://stockanalysis.com/quote/epa/OR/statistics/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consensus des analystes (FactSet), prévisions au 23/10/2026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https://www.boursorama.com/cours/consensus/1rPOR/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OR.PA: estimaciones de ventas y BPA por periodo y su evolución (earningsTrend)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https://finance.yahoo.com/quote/OR.PA/analysis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serie BBSIS diaria (22-oct-2026: 3,44 %)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(22-oct-2026: 1,1205 USD, 175,97 JPY, 0,8377 GBP y 0,9211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https://www.ecb.europa.eu/stats/eurofxref/eurofxref-hist-90d.xml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de higiene personal y cosmética: comparables al cierre del 14-oct-2026 (Unilever, Procter &amp; Gamble, Estée Lauder, Beiersdorf)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(repositorio;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sectores/higiene-cosmetica-2026-10-14-comparables.json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Páginas de finanzas de Coty, Interparfums SA, Shiseido y Puig (9-oct-2026), recogidas en los informes de Puig e Interparfums de este repositorio (21-oct)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https://www.marketscreener.com/quote/stock/INTERPARFUMS-5204/finances/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and L’Oréal forge an alliance in beauty and wellness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https://www.loreal-finance.com/eng/press-release/kering-and-loreal-forge-alliance-beauty-and-wellness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calendar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https://www.loreal-finance.com/eng/financial-calendar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Actualización de ventas del 3T26 (otra información relevante: compra del 50 % de ISDIN)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https://www.cnmv.es/webservices/verdocumento/ver?t=%7b06bc9655-7d60-4153-a993-2025dac7fb9d%7d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monte à 100 % dans ISDIN, AlphaValue voit des risques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(BFM)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https://www.tradingsat.com/actualites/informations-societes/puig-monte-a-100-dans-isdin-alphavalue-voit-des-risques-1170133.html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e.l.f. Beauty to acquire rhode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e.l.f. Beauty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https://www.sec.gov/Archives/edgar/data/1600033/000160003325000013/er991glazemasterpressrelea.htm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Kering’s acquisition of Creed is reportedly valued at 3.5 billion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https://fashionunited.uk/news/business/kering-s-acquisition-of-creed-is-reportedly-valued-at-3-5-billion-euros/2023071070464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signs agreement with Natura &amp;Co to acquire Aēsop (comunicado a la AMF)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https://echanges.dila.gouv.fr/OPENDATA/AMF/MKW/2023/04/FCMKW112074_20230403.pdf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Estée Lauder Companies to acquire the TOM FORD brand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Estée Lauder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https://www.sec.gov/Archives/edgar/data/1001250/000100125022000199/tfbexhibit991.htm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Special Purpose Consolidated Financial Statements 2023, 2022 and 2021 (nota 4.1, Byredo)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https://uploads.puig.com/uploads/PUIG_Special_Purpose_Financial_Statements_2023_2022_2021_1_3cef8099a7.pdf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Coty announces strategic partnership with KKR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https://www.sec.gov/Archives/edgar/data/1024305/000102430520000048/exhibit991-earningsrel.htm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L'OREAL: listado de mensajes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L'OREAL: T3 2026 CA en hausse de 11,9 % (hilo)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https://www.boursorama.com/bourse/forum/1rPOR/detail/468592881/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L'OREAL: Trop haut, trop vite (hilo)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https://www.boursorama.com/bourse/forum/1rPOR/detail/468568830/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L'OREAL: STAGNATION (hilo, 12 respuestas)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https://www.boursorama.com/bourse/forum/1rPOR/detail/468092147/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L'OREAL: OPPORTUNITE, página 5 (hilo, 178 respuestas)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https://www.boursorama.com/bourse/forum/1rPOR/detail/466037367/page-5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L'OREAL: 1ère Capitalisation du CAC 40! (hilo)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https://www.boursorama.com/bourse/forum/1rPOR/detail/468455274/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Canal RSS de L'Oréal (LRLCY): artículos y noticias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https://seekingalpha.com/api/sa/combined/LRLCY.xml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L'Oreal: Solid Growth, Unforgiving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https://seekingalpha.com/article/4940854-loreal-solid-growth-unforgiving-valuation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Stream del símbolo LRLCY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https://api.stocktwits.com/api/2/streams/symbol/LRLCY.json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89,7 %</w:t>
      </w:r>
      <w:r>
        <w:t xml:space="preserve"> · Secciones con menos del 60 % de campos cubiertos: </w:t>
      </w:r>
      <w:r>
        <w:rPr>
          <w:b/>
          <w:bCs/>
        </w:rPr>
        <w:t xml:space="preserve">riesgos</w:t>
      </w:r>
      <w:r>
        <w:t xml:space="preserve"> · Generado el 23 oct 2026.</w:t>
      </w:r>
    </w:p>
    <w:p>
      <w:pPr>
        <w:pStyle w:val="Nota"/>
        <w:spacing w:after="100"/>
      </w:pPr>
      <w:r>
        <w:t xml:space="preserve">Se valora la acción de L’Oréal en Euronext París (OR), en euros, al cierre del 22-oct-2026 (413,00 EUR, Euronext), anterior a las ventas del 3T26, publicadas ese día tras el cierre; la reacción del 23-oct no estaba aún al hacer el corte [D]. Acciones: 533,9 M diluidas [D]. Cuentas NIIF-UE de los documentos de registro, los comunicados anuales y el ESEF; el BPA y el beneficio son los «sin partidas no recurrentes» que publica la empresa, que excluyen cada año entre 302 y 681 M de deterioros y reestructuraciones [A]. L’Oréal solo publica ventas en el 1T y el 3T. El puente es el balance de 30-jun-2026; Galderma (20 %) va a precio de mercado y Sanofi (7,27 %) fuera de la deuda [A, D]. El consenso (FactSet) es anterior a las ventas del 3T26 [D]. El análisis del 14-oct se hizo sin fuentes primarias; este lo sustituye.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23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L’Oréal S.A. (OR.PA)</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413,00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(338,85 – 413,20)</c:v>
                </c:pt>
                <c:pt idx="1">
                  <c:v>Precio objetivo de los analistas (340,00 – 460,00)</c:v>
                </c:pt>
                <c:pt idx="2">
                  <c:v>Comparables: EV/EBITDA NTM (218,27 – 343,01)</c:v>
                </c:pt>
                <c:pt idx="3">
                  <c:v>Comparables: PER NTM (303,11 – 411,62)</c:v>
                </c:pt>
                <c:pt idx="4">
                  <c:v>Transacciones precedentes (EV/ventas) (294,51 – 379,46)</c:v>
                </c:pt>
                <c:pt idx="5">
                  <c:v>DCF (WACC y g ± 0,5) (248,29 – 349,97)</c:v>
                </c:pt>
                <c:pt idx="6">
                  <c:v>Escenarios (bajista – alcista) (209,42 – 339,35)</c:v>
                </c:pt>
                <c:pt idx="7">
                  <c:v>DCF con la prima implícita del mercado (4,2 %)</c:v>
                </c:pt>
                <c:pt idx="8">
                  <c:v>Precio actual (413,00)</c:v>
                </c:pt>
              </c:strCache>
            </c:strRef>
          </c:cat>
          <c:val>
            <c:numRef>
              <c:f>Hoja1!$B$2:$B$10</c:f>
              <c:numCache>
                <c:formatCode>#,##0</c:formatCode>
                <c:ptCount val="9"/>
                <c:pt idx="0">
                  <c:v>338.85</c:v>
                </c:pt>
                <c:pt idx="1">
                  <c:v>340</c:v>
                </c:pt>
                <c:pt idx="2">
                  <c:v>218.27</c:v>
                </c:pt>
                <c:pt idx="3">
                  <c:v>303.11</c:v>
                </c:pt>
                <c:pt idx="4">
                  <c:v>294.51</c:v>
                </c:pt>
                <c:pt idx="5">
                  <c:v>248.29</c:v>
                </c:pt>
                <c:pt idx="6">
                  <c:v>209.42</c:v>
                </c:pt>
                <c:pt idx="7">
                  <c:v>325.99</c:v>
                </c:pt>
                <c:pt idx="8">
                  <c:v>410.94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(338,85 – 413,20)</c:v>
                </c:pt>
                <c:pt idx="1">
                  <c:v>Precio objetivo de los analistas (340,00 – 460,00)</c:v>
                </c:pt>
                <c:pt idx="2">
                  <c:v>Comparables: EV/EBITDA NTM (218,27 – 343,01)</c:v>
                </c:pt>
                <c:pt idx="3">
                  <c:v>Comparables: PER NTM (303,11 – 411,62)</c:v>
                </c:pt>
                <c:pt idx="4">
                  <c:v>Transacciones precedentes (EV/ventas) (294,51 – 379,46)</c:v>
                </c:pt>
                <c:pt idx="5">
                  <c:v>DCF (WACC y g ± 0,5) (248,29 – 349,97)</c:v>
                </c:pt>
                <c:pt idx="6">
                  <c:v>Escenarios (bajista – alcista) (209,42 – 339,35)</c:v>
                </c:pt>
                <c:pt idx="7">
                  <c:v>DCF con la prima implícita del mercado (4,2 %)</c:v>
                </c:pt>
                <c:pt idx="8">
                  <c:v>Precio actual (413,00)</c:v>
                </c:pt>
              </c:strCache>
            </c:strRef>
          </c:cat>
          <c:val>
            <c:numRef>
              <c:f>Hoja1!$C$2:$C$10</c:f>
              <c:numCache>
                <c:formatCode>#,##0</c:formatCode>
                <c:ptCount val="9"/>
                <c:pt idx="0">
                  <c:v>74.34999999999997</c:v>
                </c:pt>
                <c:pt idx="1">
                  <c:v>120</c:v>
                </c:pt>
                <c:pt idx="2">
                  <c:v>124.73999999999998</c:v>
                </c:pt>
                <c:pt idx="3">
                  <c:v>108.50999999999999</c:v>
                </c:pt>
                <c:pt idx="4">
                  <c:v>84.94999999999999</c:v>
                </c:pt>
                <c:pt idx="5">
                  <c:v>101.68000000000004</c:v>
                </c:pt>
                <c:pt idx="6">
                  <c:v>129.93000000000004</c:v>
                </c:pt>
                <c:pt idx="7">
                  <c:v>93.01999999999998</c:v>
                </c:pt>
                <c:pt idx="8">
                  <c:v>4.1200000000000045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Productos Profesionales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3783.9</c:v>
                </c:pt>
                <c:pt idx="1">
                  <c:v>4476.8</c:v>
                </c:pt>
                <c:pt idx="2">
                  <c:v>4653.9</c:v>
                </c:pt>
                <c:pt idx="3">
                  <c:v>4886.2</c:v>
                </c:pt>
                <c:pt idx="4">
                  <c:v>5163</c:v>
                </c:pt>
              </c:numCache>
            </c:numRef>
          </c:val>
        </c:ser>
        <c:ser>
          <c:idx val="1"/>
          <c:order val="1"/>
          <c:tx>
            <c:strRef>
              <c:f>Hoja1!$C$1</c:f>
              <c:strCache>
                <c:ptCount val="1"/>
                <c:pt idx="0">
                  <c:v>Gran Consumo</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12233.5</c:v>
                </c:pt>
                <c:pt idx="1">
                  <c:v>14021.3</c:v>
                </c:pt>
                <c:pt idx="2">
                  <c:v>15172.7</c:v>
                </c:pt>
                <c:pt idx="3">
                  <c:v>15982.4</c:v>
                </c:pt>
                <c:pt idx="4">
                  <c:v>16089.7</c:v>
                </c:pt>
              </c:numCache>
            </c:numRef>
          </c:val>
        </c:ser>
        <c:ser>
          <c:idx val="2"/>
          <c:order val="2"/>
          <c:tx>
            <c:strRef>
              <c:f>Hoja1!$D$1</c:f>
              <c:strCache>
                <c:ptCount val="1"/>
                <c:pt idx="0">
                  <c:v>L’Oréal Luxe</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12346.2</c:v>
                </c:pt>
                <c:pt idx="1">
                  <c:v>14638.1</c:v>
                </c:pt>
                <c:pt idx="2">
                  <c:v>14924</c:v>
                </c:pt>
                <c:pt idx="3">
                  <c:v>15591.1</c:v>
                </c:pt>
                <c:pt idx="4">
                  <c:v>15595.1</c:v>
                </c:pt>
              </c:numCache>
            </c:numRef>
          </c:val>
        </c:ser>
        <c:ser>
          <c:idx val="3"/>
          <c:order val="3"/>
          <c:tx>
            <c:strRef>
              <c:f>Hoja1!$E$1</c:f>
              <c:strCache>
                <c:ptCount val="1"/>
                <c:pt idx="0">
                  <c:v>Belleza Dermatológica</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3924</c:v>
                </c:pt>
                <c:pt idx="1">
                  <c:v>5124.5</c:v>
                </c:pt>
                <c:pt idx="2">
                  <c:v>6432</c:v>
                </c:pt>
                <c:pt idx="3">
                  <c:v>7027.1</c:v>
                </c:pt>
                <c:pt idx="4">
                  <c:v>7204.1</c:v>
                </c:pt>
              </c:numCache>
            </c:numRef>
          </c:val>
        </c:ser>
        <c:ser>
          <c:idx val="4"/>
          <c:order val="4"/>
          <c:tx>
            <c:strRef>
              <c:f>Hoja1!$F$1</c:f>
              <c:strCache>
                <c:ptCount val="1"/>
                <c:pt idx="0">
                  <c:v>No asignados</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Productos Profesionales</c:v>
                </c:pt>
                <c:pt idx="1">
                  <c:v>Gran Consumo</c:v>
                </c:pt>
                <c:pt idx="2">
                  <c:v>L’Oréal Luxe</c:v>
                </c:pt>
                <c:pt idx="3">
                  <c:v>Belleza Dermatológica</c:v>
                </c:pt>
                <c:pt idx="4">
                  <c:v>No asignados</c:v>
                </c:pt>
              </c:strCache>
            </c:strRef>
          </c:cat>
          <c:val>
            <c:numRef>
              <c:f>Hoja1!$B$2:$B$6</c:f>
              <c:numCache>
                <c:formatCode>General</c:formatCode>
                <c:ptCount val="5"/>
                <c:pt idx="0">
                  <c:v>11.7</c:v>
                </c:pt>
                <c:pt idx="1">
                  <c:v>36.5</c:v>
                </c:pt>
                <c:pt idx="2">
                  <c:v>35.4</c:v>
                </c:pt>
                <c:pt idx="3">
                  <c:v>16.4</c:v>
                </c:pt>
                <c:pt idx="4">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Europa</c:v>
                </c:pt>
                <c:pt idx="1">
                  <c:v>Norteamérica</c:v>
                </c:pt>
                <c:pt idx="2">
                  <c:v>Norte de Asia</c:v>
                </c:pt>
                <c:pt idx="3">
                  <c:v>SAPMENA-SSA</c:v>
                </c:pt>
                <c:pt idx="4">
                  <c:v>Latinoamérica</c:v>
                </c:pt>
              </c:strCache>
            </c:strRef>
          </c:cat>
          <c:val>
            <c:numRef>
              <c:f>Hoja1!$B$2:$B$6</c:f>
              <c:numCache>
                <c:formatCode>0"%"</c:formatCode>
                <c:ptCount val="5"/>
                <c:pt idx="0">
                  <c:v>33.74</c:v>
                </c:pt>
                <c:pt idx="1">
                  <c:v>26.6</c:v>
                </c:pt>
                <c:pt idx="2">
                  <c:v>22.87</c:v>
                </c:pt>
                <c:pt idx="3">
                  <c:v>9.34</c:v>
                </c:pt>
                <c:pt idx="4">
                  <c:v>7.45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2019</c:v>
                </c:pt>
                <c:pt idx="1">
                  <c:v>2020</c:v>
                </c:pt>
                <c:pt idx="2">
                  <c:v>2021</c:v>
                </c:pt>
                <c:pt idx="3">
                  <c:v>2022</c:v>
                </c:pt>
                <c:pt idx="4">
                  <c:v>2023</c:v>
                </c:pt>
                <c:pt idx="5">
                  <c:v>2024</c:v>
                </c:pt>
                <c:pt idx="6">
                  <c:v>2025</c:v>
                </c:pt>
                <c:pt idx="7">
                  <c:v>2026e</c:v>
                </c:pt>
              </c:strCache>
            </c:strRef>
          </c:cat>
          <c:val>
            <c:numRef>
              <c:f>Hoja1!$B$2:$B$9</c:f>
              <c:numCache>
                <c:formatCode>#,##0</c:formatCode>
                <c:ptCount val="8"/>
                <c:pt idx="0">
                  <c:v>244000</c:v>
                </c:pt>
                <c:pt idx="1">
                  <c:v>224000</c:v>
                </c:pt>
                <c:pt idx="2">
                  <c:v>242000</c:v>
                </c:pt>
                <c:pt idx="3">
                  <c:v>257000</c:v>
                </c:pt>
                <c:pt idx="4">
                  <c:v>278000</c:v>
                </c:pt>
                <c:pt idx="5">
                  <c:v>290000</c:v>
                </c:pt>
                <c:pt idx="6">
                  <c:v>300000</c:v>
                </c:pt>
                <c:pt idx="7">
                  <c:v>314000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1</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L’Oréal</c:v>
                </c:pt>
                <c:pt idx="1">
                  <c:v>Unilever (Belleza y Bienestar y Cuidado Personal)</c:v>
                </c:pt>
                <c:pt idx="2">
                  <c:v>Estée Lauder Companies</c:v>
                </c:pt>
                <c:pt idx="3">
                  <c:v>LVMH Perfumes y Cosméticos</c:v>
                </c:pt>
                <c:pt idx="4">
                  <c:v>Beiersdorf</c:v>
                </c:pt>
                <c:pt idx="5">
                  <c:v>Shiseido</c:v>
                </c:pt>
                <c:pt idx="6">
                  <c:v>Coty</c:v>
                </c:pt>
                <c:pt idx="7">
                  <c:v>Puig</c:v>
                </c:pt>
              </c:strCache>
            </c:strRef>
          </c:cat>
          <c:val>
            <c:numRef>
              <c:f>Hoja1!$B$2:$B$9</c:f>
              <c:numCache>
                <c:formatCode>0.0"%"</c:formatCode>
                <c:ptCount val="8"/>
                <c:pt idx="0">
                  <c:v>20.2</c:v>
                </c:pt>
                <c:pt idx="2">
                  <c:v>5.2</c:v>
                </c:pt>
                <c:pt idx="3">
                  <c:v>8.9</c:v>
                </c:pt>
                <c:pt idx="4">
                  <c:v>13.4</c:v>
                </c:pt>
                <c:pt idx="5">
                  <c:v>-3</c:v>
                </c:pt>
                <c:pt idx="6">
                  <c:v>-1.4</c:v>
                </c:pt>
                <c:pt idx="7">
                  <c:v>16.1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5</c:v>
                </c:pt>
                <c:pt idx="3">
                  <c:v>4</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32287.6</c:v>
                </c:pt>
                <c:pt idx="1">
                  <c:v>38260.6</c:v>
                </c:pt>
                <c:pt idx="2">
                  <c:v>41182.5</c:v>
                </c:pt>
                <c:pt idx="3">
                  <c:v>43486.8</c:v>
                </c:pt>
                <c:pt idx="4">
                  <c:v>44052</c:v>
                </c:pt>
                <c:pt idx="5">
                  <c:v>47576</c:v>
                </c:pt>
                <c:pt idx="6">
                  <c:v>50669</c:v>
                </c:pt>
                <c:pt idx="7">
                  <c:v>53962</c:v>
                </c:pt>
                <c:pt idx="8">
                  <c:v>56930</c:v>
                </c:pt>
                <c:pt idx="9">
                  <c:v>59776</c:v>
                </c:pt>
                <c:pt idx="10">
                  <c:v>62765</c:v>
                </c:pt>
                <c:pt idx="11">
                  <c:v>65590</c:v>
                </c:pt>
                <c:pt idx="12">
                  <c:v>68213</c:v>
                </c:pt>
                <c:pt idx="13">
                  <c:v>70601</c:v>
                </c:pt>
                <c:pt idx="14">
                  <c:v>72719</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7619.4</c:v>
                </c:pt>
                <c:pt idx="1">
                  <c:v>8931.1</c:v>
                </c:pt>
                <c:pt idx="2">
                  <c:v>9573</c:v>
                </c:pt>
                <c:pt idx="3">
                  <c:v>10274.2</c:v>
                </c:pt>
                <c:pt idx="4">
                  <c:v>10544.3</c:v>
                </c:pt>
                <c:pt idx="5">
                  <c:v>11561</c:v>
                </c:pt>
                <c:pt idx="6">
                  <c:v>12414</c:v>
                </c:pt>
                <c:pt idx="7">
                  <c:v>13329</c:v>
                </c:pt>
                <c:pt idx="8">
                  <c:v>14176</c:v>
                </c:pt>
                <c:pt idx="9">
                  <c:v>14944</c:v>
                </c:pt>
                <c:pt idx="10">
                  <c:v>15754</c:v>
                </c:pt>
                <c:pt idx="11">
                  <c:v>16529</c:v>
                </c:pt>
                <c:pt idx="12">
                  <c:v>17258</c:v>
                </c:pt>
                <c:pt idx="13">
                  <c:v>17862</c:v>
                </c:pt>
                <c:pt idx="14">
                  <c:v>18398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73.9</c:v>
                </c:pt>
                <c:pt idx="1">
                  <c:v>72.4</c:v>
                </c:pt>
                <c:pt idx="2">
                  <c:v>73.9</c:v>
                </c:pt>
                <c:pt idx="3">
                  <c:v>74.2</c:v>
                </c:pt>
                <c:pt idx="4">
                  <c:v>74.3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23.6</c:v>
                </c:pt>
                <c:pt idx="1">
                  <c:v>23.3</c:v>
                </c:pt>
                <c:pt idx="2">
                  <c:v>23.2</c:v>
                </c:pt>
                <c:pt idx="3">
                  <c:v>23.6</c:v>
                </c:pt>
                <c:pt idx="4">
                  <c:v>23.9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19.1</c:v>
                </c:pt>
                <c:pt idx="1">
                  <c:v>19.5</c:v>
                </c:pt>
                <c:pt idx="2">
                  <c:v>19.8</c:v>
                </c:pt>
                <c:pt idx="3">
                  <c:v>20</c:v>
                </c:pt>
                <c:pt idx="4">
                  <c:v>20.2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15.3</c:v>
                </c:pt>
                <c:pt idx="1">
                  <c:v>15.8</c:v>
                </c:pt>
                <c:pt idx="2">
                  <c:v>15.8</c:v>
                </c:pt>
                <c:pt idx="3">
                  <c:v>15.6</c:v>
                </c:pt>
                <c:pt idx="4">
                  <c:v>15.5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4.5</c:v>
                </c:pt>
                <c:pt idx="1">
                  <c:v>4.4</c:v>
                </c:pt>
                <c:pt idx="2">
                  <c:v>-1.3</c:v>
                </c:pt>
                <c:pt idx="3">
                  <c:v>0.5</c:v>
                </c:pt>
                <c:pt idx="4">
                  <c:v>1.5</c:v>
                </c:pt>
                <c:pt idx="5">
                  <c:v>3.6</c:v>
                </c:pt>
                <c:pt idx="6">
                  <c:v>8.2</c:v>
                </c:pt>
                <c:pt idx="7">
                  <c:v>11.9</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Hoja1!$C$2:$C$9</c:f>
              <c:numCache>
                <c:formatCode>0.0"%"</c:formatCode>
                <c:ptCount val="8"/>
                <c:pt idx="0">
                  <c:v>2.5</c:v>
                </c:pt>
                <c:pt idx="1">
                  <c:v>3.5</c:v>
                </c:pt>
                <c:pt idx="2">
                  <c:v>2.4</c:v>
                </c:pt>
                <c:pt idx="3">
                  <c:v>4.2</c:v>
                </c:pt>
                <c:pt idx="4">
                  <c:v>6</c:v>
                </c:pt>
                <c:pt idx="5">
                  <c:v>7.6</c:v>
                </c:pt>
                <c:pt idx="6">
                  <c:v>6</c:v>
                </c:pt>
                <c:pt idx="7">
                  <c:v>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45</c:v>
                </c:pt>
                <c:pt idx="1">
                  <c:v>45</c:v>
                </c:pt>
                <c:pt idx="2">
                  <c:v>45</c:v>
                </c:pt>
                <c:pt idx="3">
                  <c:v>47</c:v>
                </c:pt>
                <c:pt idx="4">
                  <c:v>46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137</c:v>
                </c:pt>
                <c:pt idx="1">
                  <c:v>141</c:v>
                </c:pt>
                <c:pt idx="2">
                  <c:v>152</c:v>
                </c:pt>
                <c:pt idx="3">
                  <c:v>151</c:v>
                </c:pt>
                <c:pt idx="4">
                  <c:v>147</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263</c:v>
                </c:pt>
                <c:pt idx="1">
                  <c:v>219</c:v>
                </c:pt>
                <c:pt idx="2">
                  <c:v>215</c:v>
                </c:pt>
                <c:pt idx="3">
                  <c:v>210</c:v>
                </c:pt>
                <c:pt idx="4">
                  <c:v>217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5256.8</c:v>
                </c:pt>
                <c:pt idx="1">
                  <c:v>4488.200000000001</c:v>
                </c:pt>
                <c:pt idx="2">
                  <c:v>5685.3</c:v>
                </c:pt>
                <c:pt idx="3">
                  <c:v>6170</c:v>
                </c:pt>
                <c:pt idx="4">
                  <c:v>6707.999999999999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4938.5</c:v>
                </c:pt>
                <c:pt idx="1">
                  <c:v>6054.1</c:v>
                </c:pt>
                <c:pt idx="2">
                  <c:v>6486.6</c:v>
                </c:pt>
                <c:pt idx="3">
                  <c:v>6786.3</c:v>
                </c:pt>
                <c:pt idx="4">
                  <c:v>6806.4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17.3</c:v>
                </c:pt>
                <c:pt idx="1">
                  <c:v>20</c:v>
                </c:pt>
                <c:pt idx="2">
                  <c:v>19.6</c:v>
                </c:pt>
                <c:pt idx="3">
                  <c:v>18.7</c:v>
                </c:pt>
                <c:pt idx="4">
                  <c:v>18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7.8</c:v>
                </c:pt>
                <c:pt idx="1">
                  <c:v>7.8</c:v>
                </c:pt>
                <c:pt idx="2">
                  <c:v>7.8</c:v>
                </c:pt>
                <c:pt idx="3">
                  <c:v>7.8</c:v>
                </c:pt>
                <c:pt idx="4">
                  <c:v>7.8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20.9</c:v>
                </c:pt>
                <c:pt idx="1">
                  <c:v>23.9</c:v>
                </c:pt>
                <c:pt idx="2">
                  <c:v>23.1</c:v>
                </c:pt>
                <c:pt idx="3">
                  <c:v>21.8</c:v>
                </c:pt>
                <c:pt idx="4">
                  <c:v>20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0.47</c:v>
                </c:pt>
                <c:pt idx="1">
                  <c:v>0.34</c:v>
                </c:pt>
                <c:pt idx="2">
                  <c:v>0.46</c:v>
                </c:pt>
                <c:pt idx="3">
                  <c:v>0.43</c:v>
                </c:pt>
                <c:pt idx="4">
                  <c:v>0.19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jul-26 a jun-27</c:v>
                </c:pt>
                <c:pt idx="1">
                  <c:v>2S27</c:v>
                </c:pt>
                <c:pt idx="2">
                  <c:v>2028</c:v>
                </c:pt>
                <c:pt idx="3">
                  <c:v>2029</c:v>
                </c:pt>
                <c:pt idx="4">
                  <c:v>2030</c:v>
                </c:pt>
                <c:pt idx="5">
                  <c:v>2031+</c:v>
                </c:pt>
              </c:strCache>
            </c:strRef>
          </c:cat>
          <c:val>
            <c:numRef>
              <c:f>Hoja1!$B$2:$B$7</c:f>
              <c:numCache>
                <c:formatCode>#,##0</c:formatCode>
                <c:ptCount val="6"/>
                <c:pt idx="0">
                  <c:v>4549.7</c:v>
                </c:pt>
                <c:pt idx="1">
                  <c:v>1611.9</c:v>
                </c:pt>
                <c:pt idx="2">
                  <c:v>1652.3</c:v>
                </c:pt>
                <c:pt idx="3">
                  <c:v>1723.1</c:v>
                </c:pt>
                <c:pt idx="4">
                  <c:v>1013.7</c:v>
                </c:pt>
                <c:pt idx="5">
                  <c:v>3894.9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455.7</c:v>
                </c:pt>
                <c:pt idx="1">
                  <c:v>746.9</c:v>
                </c:pt>
                <c:pt idx="2">
                  <c:v>2497.2</c:v>
                </c:pt>
                <c:pt idx="3">
                  <c:v>2075.9</c:v>
                </c:pt>
                <c:pt idx="4">
                  <c:v>2426.6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2352.1</c:v>
                </c:pt>
                <c:pt idx="1">
                  <c:v>2689.9</c:v>
                </c:pt>
                <c:pt idx="2">
                  <c:v>3425.6</c:v>
                </c:pt>
                <c:pt idx="3">
                  <c:v>3614.9</c:v>
                </c:pt>
                <c:pt idx="4">
                  <c:v>3917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10060.9</c:v>
                </c:pt>
                <c:pt idx="1">
                  <c:v>502.3</c:v>
                </c:pt>
                <c:pt idx="2">
                  <c:v>503.3</c:v>
                </c:pt>
                <c:pt idx="3">
                  <c:v>497.5</c:v>
                </c:pt>
                <c:pt idx="4">
                  <c:v>501.5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Otro externo</c:v>
                </c:pt>
                <c:pt idx="1">
                  <c:v>Ejecutivo</c:v>
                </c:pt>
                <c:pt idx="2">
                  <c:v>Dominical</c:v>
                </c:pt>
                <c:pt idx="3">
                  <c:v>Independiente</c:v>
                </c:pt>
              </c:strCache>
            </c:strRef>
          </c:cat>
          <c:val>
            <c:numRef>
              <c:f>Hoja1!$B$2:$B$5</c:f>
              <c:numCache>
                <c:formatCode>0</c:formatCode>
                <c:ptCount val="4"/>
                <c:pt idx="0">
                  <c:v>3</c:v>
                </c:pt>
                <c:pt idx="1">
                  <c:v>1</c:v>
                </c:pt>
                <c:pt idx="2">
                  <c:v>5</c:v>
                </c:pt>
                <c:pt idx="3">
                  <c:v>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Familia Bettencourt Meyers (Téthys SAS, Financière L’Arcouest SAS y miembros de la familia)</c:v>
                </c:pt>
                <c:pt idx="1">
                  <c:v>Nestlé (a través de Nestlé Equity Holdings Limited)</c:v>
                </c:pt>
                <c:pt idx="2">
                  <c:v>Empleados y antiguos empleados</c:v>
                </c:pt>
                <c:pt idx="3">
                  <c:v>Autocartera</c:v>
                </c:pt>
              </c:strCache>
            </c:strRef>
          </c:cat>
          <c:val>
            <c:numRef>
              <c:f>Hoja1!$B$2:$B$5</c:f>
              <c:numCache>
                <c:formatCode>0.0"%"</c:formatCode>
                <c:ptCount val="4"/>
                <c:pt idx="0">
                  <c:v>34.79</c:v>
                </c:pt>
                <c:pt idx="1">
                  <c:v>20.16</c:v>
                </c:pt>
                <c:pt idx="2">
                  <c:v>2.06</c:v>
                </c:pt>
                <c:pt idx="3">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10.2</c:v>
                </c:pt>
                <c:pt idx="1">
                  <c:v>6.7</c:v>
                </c:pt>
                <c:pt idx="2">
                  <c:v>8.8</c:v>
                </c:pt>
                <c:pt idx="3">
                  <c:v>31.2</c:v>
                </c:pt>
                <c:pt idx="4">
                  <c:v>17.7</c:v>
                </c:pt>
                <c:pt idx="5">
                  <c:v>34.2</c:v>
                </c:pt>
                <c:pt idx="6">
                  <c:v>-20</c:v>
                </c:pt>
                <c:pt idx="7">
                  <c:v>35.1</c:v>
                </c:pt>
                <c:pt idx="8">
                  <c:v>-24.1</c:v>
                </c:pt>
                <c:pt idx="9">
                  <c:v>7.2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c:v>
                </c:pt>
                <c:pt idx="1">
                  <c:v>9.3</c:v>
                </c:pt>
                <c:pt idx="2">
                  <c:v>-11</c:v>
                </c:pt>
                <c:pt idx="3">
                  <c:v>26.4</c:v>
                </c:pt>
                <c:pt idx="4">
                  <c:v>-7.1</c:v>
                </c:pt>
                <c:pt idx="5">
                  <c:v>28.9</c:v>
                </c:pt>
                <c:pt idx="6">
                  <c:v>-9.5</c:v>
                </c:pt>
                <c:pt idx="7">
                  <c:v>16.5</c:v>
                </c:pt>
                <c:pt idx="8">
                  <c:v>-2.2</c:v>
                </c:pt>
                <c:pt idx="9">
                  <c:v>10.4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5">
                  <c:v>31.1</c:v>
                </c:pt>
                <c:pt idx="6">
                  <c:v>20.4</c:v>
                </c:pt>
                <c:pt idx="7">
                  <c:v>25.7</c:v>
                </c:pt>
                <c:pt idx="8">
                  <c:v>18.3</c:v>
                </c:pt>
                <c:pt idx="9">
                  <c:v>18.8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19.6</c:v>
                </c:pt>
                <c:pt idx="1">
                  <c:v>19.6</c:v>
                </c:pt>
                <c:pt idx="2">
                  <c:v>19.6</c:v>
                </c:pt>
                <c:pt idx="3">
                  <c:v>19.6</c:v>
                </c:pt>
                <c:pt idx="4">
                  <c:v>19.6</c:v>
                </c:pt>
                <c:pt idx="5">
                  <c:v>19.6</c:v>
                </c:pt>
                <c:pt idx="6">
                  <c:v>19.6</c:v>
                </c:pt>
                <c:pt idx="7">
                  <c:v>19.6</c:v>
                </c:pt>
                <c:pt idx="8">
                  <c:v>19.6</c:v>
                </c:pt>
                <c:pt idx="9">
                  <c:v>19.6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L’Oréal</c:v>
                </c:pt>
                <c:pt idx="1">
                  <c:v>Estée Lauder</c:v>
                </c:pt>
                <c:pt idx="2">
                  <c:v>Coty</c:v>
                </c:pt>
                <c:pt idx="3">
                  <c:v>Interparfums SA</c:v>
                </c:pt>
                <c:pt idx="4">
                  <c:v>Shiseido</c:v>
                </c:pt>
                <c:pt idx="5">
                  <c:v>Beiersdorf</c:v>
                </c:pt>
                <c:pt idx="6">
                  <c:v>Puig</c:v>
                </c:pt>
                <c:pt idx="7">
                  <c:v>Unilever</c:v>
                </c:pt>
                <c:pt idx="8">
                  <c:v>Procter &amp; Gamble</c:v>
                </c:pt>
              </c:strCache>
            </c:strRef>
          </c:cat>
          <c:val>
            <c:numRef>
              <c:f>Hoja1!$B$2:$B$10</c:f>
              <c:numCache>
                <c:formatCode>0.0"x"</c:formatCode>
                <c:ptCount val="9"/>
                <c:pt idx="0">
                  <c:v>19</c:v>
                </c:pt>
                <c:pt idx="1">
                  <c:v>16.9</c:v>
                </c:pt>
                <c:pt idx="2">
                  <c:v>7.7</c:v>
                </c:pt>
                <c:pt idx="3">
                  <c:v>16.3</c:v>
                </c:pt>
                <c:pt idx="4">
                  <c:v>11.7</c:v>
                </c:pt>
                <c:pt idx="5">
                  <c:v>9.4</c:v>
                </c:pt>
                <c:pt idx="6">
                  <c:v>10.8</c:v>
                </c:pt>
                <c:pt idx="7">
                  <c:v>15</c:v>
                </c:pt>
                <c:pt idx="8">
                  <c:v>15.8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L’Oréal</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7.3</c:v>
                </c:pt>
              </c:numCache>
            </c:numRef>
          </c:xVal>
          <c:yVal>
            <c:numRef>
              <c:f>Hoja1!$C$2</c:f>
              <c:numCache>
                <c:formatCode>0.0"x"</c:formatCode>
                <c:ptCount val="1"/>
                <c:pt idx="0">
                  <c:v>19</c:v>
                </c:pt>
              </c:numCache>
            </c:numRef>
          </c:yVal>
          <c:smooth val="0"/>
        </c:ser>
        <c:ser>
          <c:idx val="1"/>
          <c:order val="1"/>
          <c:tx>
            <c:strRef>
              <c:f>Hoja1!$A$3</c:f>
              <c:strCache>
                <c:ptCount val="1"/>
                <c:pt idx="0">
                  <c:v>Estée Lauder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5.6</c:v>
                </c:pt>
              </c:numCache>
            </c:numRef>
          </c:xVal>
          <c:yVal>
            <c:numRef>
              <c:f>Hoja1!$C$3</c:f>
              <c:numCache>
                <c:formatCode>0.0"x"</c:formatCode>
                <c:ptCount val="1"/>
                <c:pt idx="0">
                  <c:v>16.9</c:v>
                </c:pt>
              </c:numCache>
            </c:numRef>
          </c:yVal>
          <c:smooth val="0"/>
        </c:ser>
        <c:ser>
          <c:idx val="2"/>
          <c:order val="2"/>
          <c:tx>
            <c:strRef>
              <c:f>Hoja1!$A$4</c:f>
              <c:strCache>
                <c:ptCount val="1"/>
                <c:pt idx="0">
                  <c:v>Coty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-3.1</c:v>
                </c:pt>
              </c:numCache>
            </c:numRef>
          </c:xVal>
          <c:yVal>
            <c:numRef>
              <c:f>Hoja1!$C$4</c:f>
              <c:numCache>
                <c:formatCode>0.0"x"</c:formatCode>
                <c:ptCount val="1"/>
                <c:pt idx="0">
                  <c:v>7.7</c:v>
                </c:pt>
              </c:numCache>
            </c:numRef>
          </c:yVal>
          <c:smooth val="0"/>
        </c:ser>
        <c:ser>
          <c:idx val="3"/>
          <c:order val="3"/>
          <c:tx>
            <c:strRef>
              <c:f>Hoja1!$A$5</c:f>
              <c:strCache>
                <c:ptCount val="1"/>
                <c:pt idx="0">
                  <c:v>Interparfums SA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1.5</c:v>
                </c:pt>
              </c:numCache>
            </c:numRef>
          </c:xVal>
          <c:yVal>
            <c:numRef>
              <c:f>Hoja1!$C$5</c:f>
              <c:numCache>
                <c:formatCode>0.0"x"</c:formatCode>
                <c:ptCount val="1"/>
                <c:pt idx="0">
                  <c:v>16.3</c:v>
                </c:pt>
              </c:numCache>
            </c:numRef>
          </c:yVal>
          <c:smooth val="0"/>
        </c:ser>
        <c:ser>
          <c:idx val="4"/>
          <c:order val="4"/>
          <c:tx>
            <c:strRef>
              <c:f>Hoja1!$A$6</c:f>
              <c:strCache>
                <c:ptCount val="1"/>
                <c:pt idx="0">
                  <c:v>Shiseido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3.8</c:v>
                </c:pt>
              </c:numCache>
            </c:numRef>
          </c:xVal>
          <c:yVal>
            <c:numRef>
              <c:f>Hoja1!$C$6</c:f>
              <c:numCache>
                <c:formatCode>0.0"x"</c:formatCode>
                <c:ptCount val="1"/>
                <c:pt idx="0">
                  <c:v>11.7</c:v>
                </c:pt>
              </c:numCache>
            </c:numRef>
          </c:yVal>
          <c:smooth val="0"/>
        </c:ser>
        <c:ser>
          <c:idx val="5"/>
          <c:order val="5"/>
          <c:tx>
            <c:strRef>
              <c:f>Hoja1!$A$7</c:f>
              <c:strCache>
                <c:ptCount val="1"/>
                <c:pt idx="0">
                  <c:v>Beiersdorf</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-1.8</c:v>
                </c:pt>
              </c:numCache>
            </c:numRef>
          </c:xVal>
          <c:yVal>
            <c:numRef>
              <c:f>Hoja1!$C$7</c:f>
              <c:numCache>
                <c:formatCode>0.0"x"</c:formatCode>
                <c:ptCount val="1"/>
                <c:pt idx="0">
                  <c:v>9.4</c:v>
                </c:pt>
              </c:numCache>
            </c:numRef>
          </c:yVal>
          <c:smooth val="0"/>
        </c:ser>
        <c:ser>
          <c:idx val="6"/>
          <c:order val="6"/>
          <c:tx>
            <c:strRef>
              <c:f>Hoja1!$A$8</c:f>
              <c:strCache>
                <c:ptCount val="1"/>
                <c:pt idx="0">
                  <c:v>Puig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7.4</c:v>
                </c:pt>
              </c:numCache>
            </c:numRef>
          </c:xVal>
          <c:yVal>
            <c:numRef>
              <c:f>Hoja1!$C$8</c:f>
              <c:numCache>
                <c:formatCode>0.0"x"</c:formatCode>
                <c:ptCount val="1"/>
                <c:pt idx="0">
                  <c:v>10.8</c:v>
                </c:pt>
              </c:numCache>
            </c:numRef>
          </c:yVal>
          <c:smooth val="0"/>
        </c:ser>
        <c:ser>
          <c:idx val="7"/>
          <c:order val="7"/>
          <c:tx>
            <c:strRef>
              <c:f>Hoja1!$A$9</c:f>
              <c:strCache>
                <c:ptCount val="1"/>
                <c:pt idx="0">
                  <c:v>Unilever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3.8</c:v>
                </c:pt>
              </c:numCache>
            </c:numRef>
          </c:xVal>
          <c:yVal>
            <c:numRef>
              <c:f>Hoja1!$C$9</c:f>
              <c:numCache>
                <c:formatCode>0.0"x"</c:formatCode>
                <c:ptCount val="1"/>
                <c:pt idx="0">
                  <c:v>15</c:v>
                </c:pt>
              </c:numCache>
            </c:numRef>
          </c:yVal>
          <c:smooth val="0"/>
        </c:ser>
        <c:ser>
          <c:idx val="8"/>
          <c:order val="8"/>
          <c:tx>
            <c:strRef>
              <c:f>Hoja1!$A$10</c:f>
              <c:strCache>
                <c:ptCount val="1"/>
                <c:pt idx="0">
                  <c:v>Procter &amp; Gamble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2.9</c:v>
                </c:pt>
              </c:numCache>
            </c:numRef>
          </c:xVal>
          <c:yVal>
            <c:numRef>
              <c:f>Hoja1!$C$10</c:f>
              <c:numCache>
                <c:formatCode>0.0"x"</c:formatCode>
                <c:ptCount val="1"/>
                <c:pt idx="0">
                  <c:v>15.8</c:v>
                </c:pt>
              </c:numCache>
            </c:numRef>
          </c:yVal>
          <c:smooth val="0"/>
        </c:ser>
        <c:axId val="10"/>
        <c:axId val="20"/>
      </c:scatterChart>
      <c:valAx>
        <c:axId val="10"/>
        <c:scaling>
          <c:orientation val="minMax"/>
          <c:max val="11"/>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Kering Beauté (Creed y licencias a 50 años de Gucci, Bottega Veneta y Balenciaga)</c:v>
                </c:pt>
                <c:pt idx="1">
                  <c:v>ISDIN (50 % restante)</c:v>
                </c:pt>
                <c:pt idx="2">
                  <c:v>Rhode</c:v>
                </c:pt>
                <c:pt idx="3">
                  <c:v>Creed</c:v>
                </c:pt>
                <c:pt idx="4">
                  <c:v>Aesop</c:v>
                </c:pt>
                <c:pt idx="5">
                  <c:v>Tom Ford (marca, con Tom Ford Beauty)</c:v>
                </c:pt>
                <c:pt idx="6">
                  <c:v>Byredo (77 %)</c:v>
                </c:pt>
                <c:pt idx="7">
                  <c:v>Wella, Clairol, OPI y ghd (60 %)</c:v>
                </c:pt>
              </c:strCache>
            </c:strRef>
          </c:cat>
          <c:val>
            <c:numRef>
              <c:f>Hoja1!$B$2:$B$9</c:f>
              <c:numCache>
                <c:formatCode>0.0"x"</c:formatCode>
                <c:ptCount val="8"/>
                <c:pt idx="7">
                  <c:v>12.3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6682</c:v>
                </c:pt>
                <c:pt idx="1">
                  <c:v>7229</c:v>
                </c:pt>
                <c:pt idx="2">
                  <c:v>7780</c:v>
                </c:pt>
                <c:pt idx="3">
                  <c:v>8331</c:v>
                </c:pt>
                <c:pt idx="4">
                  <c:v>8813</c:v>
                </c:pt>
                <c:pt idx="5">
                  <c:v>9300</c:v>
                </c:pt>
                <c:pt idx="6">
                  <c:v>9791</c:v>
                </c:pt>
                <c:pt idx="7">
                  <c:v>10257</c:v>
                </c:pt>
                <c:pt idx="8">
                  <c:v>10641</c:v>
                </c:pt>
                <c:pt idx="9">
                  <c:v>10985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59208</c:v>
                </c:pt>
                <c:pt idx="1">
                  <c:v>106048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413,00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209.42</c:v>
                </c:pt>
                <c:pt idx="1">
                  <c:v>289.72</c:v>
                </c:pt>
                <c:pt idx="2">
                  <c:v>339.35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413,00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(338,85 – 413,20)</c:v>
                </c:pt>
                <c:pt idx="1">
                  <c:v>Precio objetivo de los analistas (340,00 – 460,00)</c:v>
                </c:pt>
                <c:pt idx="2">
                  <c:v>Comparables: EV/EBITDA NTM (218,27 – 343,01)</c:v>
                </c:pt>
                <c:pt idx="3">
                  <c:v>Comparables: PER NTM (303,11 – 411,62)</c:v>
                </c:pt>
                <c:pt idx="4">
                  <c:v>Transacciones precedentes (EV/ventas) (294,51 – 379,46)</c:v>
                </c:pt>
                <c:pt idx="5">
                  <c:v>DCF (WACC y g ± 0,5) (248,29 – 349,97)</c:v>
                </c:pt>
                <c:pt idx="6">
                  <c:v>Escenarios (bajista – alcista) (209,42 – 339,35)</c:v>
                </c:pt>
                <c:pt idx="7">
                  <c:v>DCF con la prima implícita del mercado (4,2 %)</c:v>
                </c:pt>
                <c:pt idx="8">
                  <c:v>Precio actual (413,00)</c:v>
                </c:pt>
              </c:strCache>
            </c:strRef>
          </c:cat>
          <c:val>
            <c:numRef>
              <c:f>Hoja1!$B$2:$B$10</c:f>
              <c:numCache>
                <c:formatCode>#,##0</c:formatCode>
                <c:ptCount val="9"/>
                <c:pt idx="0">
                  <c:v>338.85</c:v>
                </c:pt>
                <c:pt idx="1">
                  <c:v>340</c:v>
                </c:pt>
                <c:pt idx="2">
                  <c:v>218.27</c:v>
                </c:pt>
                <c:pt idx="3">
                  <c:v>303.11</c:v>
                </c:pt>
                <c:pt idx="4">
                  <c:v>294.51</c:v>
                </c:pt>
                <c:pt idx="5">
                  <c:v>248.29</c:v>
                </c:pt>
                <c:pt idx="6">
                  <c:v>209.42</c:v>
                </c:pt>
                <c:pt idx="7">
                  <c:v>325.99</c:v>
                </c:pt>
                <c:pt idx="8">
                  <c:v>410.94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(338,85 – 413,20)</c:v>
                </c:pt>
                <c:pt idx="1">
                  <c:v>Precio objetivo de los analistas (340,00 – 460,00)</c:v>
                </c:pt>
                <c:pt idx="2">
                  <c:v>Comparables: EV/EBITDA NTM (218,27 – 343,01)</c:v>
                </c:pt>
                <c:pt idx="3">
                  <c:v>Comparables: PER NTM (303,11 – 411,62)</c:v>
                </c:pt>
                <c:pt idx="4">
                  <c:v>Transacciones precedentes (EV/ventas) (294,51 – 379,46)</c:v>
                </c:pt>
                <c:pt idx="5">
                  <c:v>DCF (WACC y g ± 0,5) (248,29 – 349,97)</c:v>
                </c:pt>
                <c:pt idx="6">
                  <c:v>Escenarios (bajista – alcista) (209,42 – 339,35)</c:v>
                </c:pt>
                <c:pt idx="7">
                  <c:v>DCF con la prima implícita del mercado (4,2 %)</c:v>
                </c:pt>
                <c:pt idx="8">
                  <c:v>Precio actual (413,00)</c:v>
                </c:pt>
              </c:strCache>
            </c:strRef>
          </c:cat>
          <c:val>
            <c:numRef>
              <c:f>Hoja1!$C$2:$C$10</c:f>
              <c:numCache>
                <c:formatCode>#,##0</c:formatCode>
                <c:ptCount val="9"/>
                <c:pt idx="0">
                  <c:v>74.34999999999997</c:v>
                </c:pt>
                <c:pt idx="1">
                  <c:v>120</c:v>
                </c:pt>
                <c:pt idx="2">
                  <c:v>124.73999999999998</c:v>
                </c:pt>
                <c:pt idx="3">
                  <c:v>108.50999999999999</c:v>
                </c:pt>
                <c:pt idx="4">
                  <c:v>84.94999999999999</c:v>
                </c:pt>
                <c:pt idx="5">
                  <c:v>101.68000000000004</c:v>
                </c:pt>
                <c:pt idx="6">
                  <c:v>129.93000000000004</c:v>
                </c:pt>
                <c:pt idx="7">
                  <c:v>93.01999999999998</c:v>
                </c:pt>
                <c:pt idx="8">
                  <c:v>4.1200000000000045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