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Diagnostyka S.A.</w:t>
      </w:r>
    </w:p>
    <w:p>
      <w:pPr>
        <w:spacing w:after="60"/>
        <w:rPr>
          <w:color w:val="52514E"/>
          <w:sz w:val="22"/>
          <w:szCs w:val="22"/>
        </w:rPr>
      </w:pPr>
      <w:r>
        <w:rPr>
          <w:color w:val="52514E"/>
          <w:sz w:val="22"/>
          <w:szCs w:val="22"/>
        </w:rPr>
        <w:t xml:space="preserve">DIA · Bolsa de Varsovia (GPW), mercado principal · ISIN PLDGNST00012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PLN</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159,00 PLN</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186,14 PLN</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+19,8 % (base +16,5 %)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119,47 PLN · mercado 138,75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5.367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Diagnostyka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DIA / PLDGNST00012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Varsovia (GPW), mercado principal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mWIG40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Proveedores y servicios sanitarios (laboratorios)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Cracovia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https://grupadiagnostyka.pl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146,40 – 208,00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5.367 M PLN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6.653 M PLN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4,5 M PLN/día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186,14 PLN</w:t>
      </w:r>
      <w:r>
        <w:t xml:space="preserve"> frente a 159,00 · Rentabilidad a 12 meses </w:t>
      </w:r>
      <w:r>
        <w:rPr>
          <w:b/>
          <w:bCs/>
        </w:rPr>
        <w:t xml:space="preserve">+19,8 % (base +16,5 %)</w:t>
      </w:r>
      <w:r>
        <w:t xml:space="preserve"> · Valor intrínseco 119,47 PLN · con la prima implícita del mercado: 138,75 (-12,7 %) · Alcista / bajista -15,6 % / -60,0 %</w:t>
      </w:r>
    </w:p>
    <w:p>
      <w:pPr>
        <w:spacing w:after="100"/>
      </w:pPr>
      <w:r>
        <w:rPr>
          <w:b/>
        </w:rPr>
        <w:t xml:space="preserve">La recomendación y por qué.</w:t>
      </w:r>
      <w:r>
        <w:t xml:space="preserve"> Mantener, con convicción media. El objetivo a 12 meses es de 186,14 PLN y la rentabilidad ponderada del 19,8 % (16,5 % en el base, con el dividendo del 2,8 %), con la regla v2 que elige el selector por tener un solo año de historia (la v3 daría un 25,5 %). Pero el valor intrínseco es de 119,47 PLN, un 24,9 % por debajo de los 159 PLN de hoy, y sin valor real no hay compra. El objetivo medio de los analistas, 196,39 PLN, queda por encima de nuestro base (180,89). La convicción es media porque las dos lecturas están lejos de sus umbrales; subiría a alta para comprar si el precio bajara del valor intrínseco, y bajaría si el margen del 3T26 (26-nov) quedara por debajo del 23 %.</w:t>
      </w:r>
    </w:p>
    <w:p>
      <w:pPr>
        <w:spacing w:after="100"/>
      </w:pPr>
      <w:r>
        <w:rPr>
          <w:b/>
        </w:rPr>
        <w:t xml:space="preserve">El negocio.</w:t>
      </w:r>
      <w:r>
        <w:t xml:space="preserve"> Es el mayor laboratorio de análisis clínicos de Polonia, con la mitad del mercado privado, 174 millones de pruebas al año y un ROIC del 21,3 % frente a un WACC del 10,23 % (30,4 % sin el fondo de comercio de las compras) [9]. </w:t>
      </w:r>
      <w:r>
        <w:rPr>
          <w:b/>
        </w:rPr>
        <w:t xml:space="preserve">Calidad: Sí</w:t>
      </w:r>
      <w:r>
        <w:t xml:space="preserve">: crea valor con unos 11 puntos de diferencia entre ROIC y WACC, Altman Z de 4,05 y Piotroski de 7. El foso es estrecho pero real: escala de laboratorios centrales y red de 1.300 puntos que un rival tarda años en replicar, y un margen EBITDA del 24 % frente al 11-21 % de las grandes redes cotizadas [13]. La sostenibilidad del crecimiento es «Sí»: proyectamos un 9,3 % anual, la mitad del histórico, con un precio que sube un 10 % al año sin perder volumen [4]; lo que no está garantizado es el margen.</w:t>
      </w:r>
    </w:p>
    <w:p>
      <w:pPr>
        <w:spacing w:after="100"/>
      </w:pPr>
      <w:r>
        <w:rPr>
          <w:b/>
        </w:rPr>
        <w:t xml:space="preserve">Finanzas.</w:t>
      </w:r>
      <w:r>
        <w:t xml:space="preserve"> Ventas de 2.410 M PLN en 2025 (+23,6 %, 17,9 % orgánico) y 2.585 M en los últimos doce meses [1, 5]. El margen EBITDA recurrente bajó del 26,1 % en 2024 al 24,3 % en 2025 y al 22,6 % en el 2T26 (SAP, ajuste de inventario, imagen y salarios) [4]. La deuda neta con arrendamientos es de 1.204 M, 2,0 veces el EBITDA, y el dividendo de 148,5 M superó el flujo libre tras arrendamientos e intereses [3, 4].</w:t>
      </w:r>
    </w:p>
    <w:p>
      <w:pPr>
        <w:spacing w:after="100"/>
      </w:pPr>
      <w:r>
        <w:rPr>
          <w:b/>
        </w:rPr>
        <w:t xml:space="preserve">Equipo y gobierno.</w:t>
      </w:r>
      <w:r>
        <w:t xml:space="preserve"> Resta algo: los dos fundadores y el CEO tienen el 47 % del capital y el 64 % de los votos con acciones de voto doble, y cuatro de seis consejeros son dominicales [10]. Suma que el equipo es propietario, cumplió el crecimiento prometido en la OPV y ha fichado como director financiero al ex-CFO de LUX MED [10].</w:t>
      </w:r>
    </w:p>
    <w:p>
      <w:pPr>
        <w:spacing w:after="100"/>
      </w:pPr>
      <w:r>
        <w:rPr>
          <w:b/>
        </w:rPr>
        <w:t xml:space="preserve">Valoración.</w:t>
      </w:r>
      <w:r>
        <w:t xml:space="preserve"> El DCF da 111,10 PLN y la síntesis 119,47 (138,75 con la prima del mercado). El DCF inverso pide un crecimiento del 15,3 % anual hasta 2032, frente al 8,5 % de nuestro base, o un margen del 28,3 %; la rentabilidad implícita (8,7 %) no cubre el coste de capital en PLN. Los comparables dan más (162 PLN por PER) porque son laboratorios de países con tipos 2-3 puntos menores. Discrepamos del consenso en el margen: su BPA de 2027 (10,10) supone volver al 25-26 %; el nuestro (8,98), al 24 %.</w:t>
      </w:r>
    </w:p>
    <w:p>
      <w:pPr>
        <w:spacing w:after="100"/>
      </w:pPr>
      <w:r>
        <w:rPr>
          <w:b/>
        </w:rPr>
        <w:t xml:space="preserve">Riesgos y catalizadores.</w:t>
      </w:r>
      <w:r>
        <w:t xml:space="preserve"> El mayor es que el margen no vuelva: el escenario bajista (margen −2 puntos, crecimiento −3) deja el DCF en 63,64 PLN. El segundo, los tipos polacos: con el bono al 6,2 %, cada medio punto de WACC mueve el valor un 8-10 %. Catalizadores: el 3T26 el 26-nov, la guía de 2027 en abril y la refinanciación del crédito que vence en septiembre de 2027. La IA afecta poco: abarata la lectura de imagen y la administración, no la prueba. Los particulares han pasado del entusiasmo de la OPV al escepticismo por el margen, que es también nuestra duda.</w:t>
      </w:r>
    </w:p>
    <w:p>
      <w:pPr>
        <w:spacing w:after="100"/>
      </w:pPr>
      <w:r>
        <w:rPr>
          <w:b/>
        </w:rPr>
        <w:t xml:space="preserve">Qué cambiaría la decisión.</w:t>
      </w:r>
      <w:r>
        <w:t xml:space="preserve"> Compraríamos por debajo de 119,47 PLN y venderíamos por encima de 211,71 PLN. Rebajaríamos el objetivo si el margen recurrente del 3T26 baja del 22,5 %, y subiríamos el valor intrínseco un 20 % si el bono polaco cae al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186,14 PLN</w:t>
      </w:r>
      <w:r>
        <w:t xml:space="preserve"> (rentabilidad +19,8 % (base +16,5 %)) · Valor intrínseco: 119,47 PLN (-24,9 % sobre 159,00) · con la prima implícita del mercado: 138,75 (-12,7 %)</w:t>
      </w:r>
    </w:p>
    <w:p>
      <w:pPr>
        <w:spacing w:after="100"/>
      </w:pPr>
      <w:r>
        <w:t xml:space="preserve">Diagnostyka es el mayor laboratorio de análisis clínicos de Polonia: 155 laboratorios, unos 1.300 puntos de extracción y 174 millones de pruebas al año, con la mitad del mercado privado [9]. Crece por encima del 15 % al año sobre todo de forma orgánica, sube precios un 10 % anual sin perder volumen y gana un ROIC del 21,3 % frente a un WACC del 10,23 % [4, 5].</w:t>
      </w:r>
    </w:p>
    <w:p>
      <w:pPr>
        <w:spacing w:after="100"/>
      </w:pPr>
      <w:r>
        <w:t xml:space="preserve">A 159 PLN el mercado paga 17,7 veces nuestro BPA de 2027 y unas 11 veces el EBITDA. El DCF inverso dice que el precio descuenta un crecimiento del 15,3 % anual hasta 2032 o un margen del 28,3 %, frente al 8,5 % y el 24,5 % de nuestro base; la rentabilidad implícita es del 8,7 %, menos que su coste de capital en PLN.</w:t>
      </w:r>
    </w:p>
    <w:p>
      <w:pPr>
        <w:spacing w:after="100"/>
      </w:pPr>
      <w:r>
        <w:t xml:space="preserve">El mercado acierta en que es un negocio excelente y se equivoca, a nuestro juicio, en que puede mantener el ritmo de 2023-2025: el volumen crece ya al 2,6 % y el margen baja desde 2024. Para invertir hay que creer que el precio seguirá subiendo un 8-10 % al año durante años y que el margen volverá al 25 %, o que los tipos polacos bajarán.</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186,14 PLN</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8,16 = 122,40 · 17,7x × 10,22 = 180,89 · 23,0x × 11,32 = 260,36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 / 16,5 %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1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196,39 (nuestro base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119,47 PLN</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 -60,0 %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10,2 %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138,75 PLN</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frente a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financiable al ROIC actual: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119,47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119,47 y 211,71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211,71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119,47 PLN (valor intrínseco), pasaría a Comprar: ponderada y base a 12 meses por encima del 15 % y del 12 %.</w:t>
      </w:r>
    </w:p>
    <w:p>
      <w:pPr>
        <w:pStyle w:val="ListParagraph"/>
        <w:numPr>
          <w:ilvl w:val="0"/>
          <w:numId w:val="2"/>
        </w:numPr>
        <w:spacing w:after="60"/>
      </w:pPr>
      <w:r>
        <w:t xml:space="preserve">Si el precio sube por encima de 211,71 PLN, pasaría a Vender (ponderada a 12 meses ≤ −10 %).</w:t>
      </w:r>
    </w:p>
    <w:p>
      <w:pPr>
        <w:pStyle w:val="ListParagraph"/>
        <w:numPr>
          <w:ilvl w:val="0"/>
          <w:numId w:val="2"/>
        </w:numPr>
        <w:spacing w:after="60"/>
      </w:pPr>
      <w:r>
        <w:t xml:space="preserve">Si el margen EBITDA recurrente del 3T26 baja del 22,5 %, rebajaríamos el BPA de 2028 en torno a un 8 % y el objetivo con él.</w:t>
      </w:r>
    </w:p>
    <w:p>
      <w:pPr>
        <w:pStyle w:val="ListParagraph"/>
        <w:numPr>
          <w:ilvl w:val="0"/>
          <w:numId w:val="2"/>
        </w:numPr>
        <w:spacing w:after="60"/>
      </w:pPr>
      <w:r>
        <w:t xml:space="preserve">Si el bono polaco a 10 años baja al 5 % o menos, el valor intrínseco subiría en torno a un 20 % y revisaríamos la señal.</w:t>
      </w:r>
    </w:p>
    <w:p>
      <w:pPr>
        <w:pStyle w:val="Heading2"/>
      </w:pPr>
      <w:r>
        <w:t xml:space="preserve">Dónde discrepamos del mercado</w:t>
      </w:r>
    </w:p>
    <w:p>
      <w:pPr>
        <w:keepNext/>
        <w:spacing w:after="100"/>
      </w:pPr>
      <w:r>
        <w:rPr>
          <w:b/>
          <w:bCs/>
        </w:rPr>
        <w:t xml:space="preserve">Lo que descuenta el precio.</w:t>
      </w:r>
    </w:p>
    <w:p>
      <w:pPr>
        <w:spacing w:after="100"/>
      </w:pPr>
      <w:r>
        <w:t xml:space="preserve">Que Diagnostyka seguirá creciendo a doble dígito durante seis años (15,3 % anual implícito) o que su margen subirá al 28 %, con la calidad de un laboratorio americano pero en un país con el bono al 6,2 %. El consenso de BPA de 2027 (10,10) supone que el margen vuelve al 25-26 %.</w:t>
      </w:r>
    </w:p>
    <w:p>
      <w:pPr>
        <w:keepNext/>
        <w:spacing w:after="100"/>
      </w:pPr>
      <w:r>
        <w:rPr>
          <w:b/>
          <w:bCs/>
        </w:rPr>
        <w:t xml:space="preserve">Lo que creemos nosotros.</w:t>
      </w:r>
    </w:p>
    <w:p>
      <w:pPr>
        <w:spacing w:after="100"/>
      </w:pPr>
      <w:r>
        <w:t xml:space="preserve">Creemos que el crecimiento bajará hacia el del mercado (9-11 %) y que el margen se quedará en torno al 24-24,5 %: BPA de 8,98 en 2027 y 10,22 en 2028. A 12 meses, si el múltiplo aguanta, el precio puede subir un 16-20 %; a largo plazo el valor intrínseco es de 119,47 PLN.</w:t>
      </w:r>
    </w:p>
    <w:p>
      <w:pPr>
        <w:keepNext/>
        <w:spacing w:after="100"/>
      </w:pPr>
      <w:r>
        <w:rPr>
          <w:b/>
          <w:bCs/>
        </w:rPr>
        <w:t xml:space="preserve">Por qué podemos tener razón.</w:t>
      </w:r>
    </w:p>
    <w:p>
      <w:pPr>
        <w:spacing w:after="100"/>
      </w:pPr>
      <w:r>
        <w:t xml:space="preserve">El volumen se ha frenado tras el fin del programa público 40 PLUS, el precio no puede subir un 10 % para siempre con el mercado previendo un 4-5 %, y la ley de salarios sanitarios sube el coste cada año. El 2T26 lo mostró: ventas +16 % y EBITDA +1 %. Podemos estar equivocados si la externalización de los hospitales públicos acelera el volumen.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PLN) · precio actual 15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la mitad del mercado privado</w:t>
      </w:r>
      <w:r>
        <w:t xml:space="preserve">: 174 M de pruebas en 2025 y 1.300 puntos de extracción [9, 10].</w:t>
      </w:r>
    </w:p>
    <w:p>
      <w:pPr>
        <w:pStyle w:val="ListParagraph"/>
        <w:numPr>
          <w:ilvl w:val="0"/>
          <w:numId w:val="2"/>
        </w:numPr>
        <w:spacing w:after="60"/>
      </w:pPr>
      <w:r>
        <w:rPr>
          <w:b/>
        </w:rPr>
        <w:t xml:space="preserve">Poder de precios demostrado</w:t>
      </w:r>
      <w:r>
        <w:t xml:space="preserve">: precio medio de laboratorio +9,5 % en 2025 y +10,0 % en el 1S26 con el volumen al alza [4, 5].</w:t>
      </w:r>
    </w:p>
    <w:p>
      <w:pPr>
        <w:pStyle w:val="ListParagraph"/>
        <w:numPr>
          <w:ilvl w:val="0"/>
          <w:numId w:val="2"/>
        </w:numPr>
        <w:spacing w:after="60"/>
      </w:pPr>
      <w:r>
        <w:rPr>
          <w:b/>
        </w:rPr>
        <w:t xml:space="preserve">Rentabilidad alta</w:t>
      </w:r>
      <w:r>
        <w:t xml:space="preserve">: ROIC del 21,3 % frente a un WACC del 10,23 % (30,4 % sin fondo de comercio).</w:t>
      </w:r>
    </w:p>
    <w:p>
      <w:pPr>
        <w:pStyle w:val="ListParagraph"/>
        <w:numPr>
          <w:ilvl w:val="0"/>
          <w:numId w:val="2"/>
        </w:numPr>
        <w:spacing w:after="60"/>
      </w:pPr>
      <w:r>
        <w:rPr>
          <w:b/>
        </w:rPr>
        <w:t xml:space="preserve">Crecimiento orgánico</w:t>
      </w:r>
      <w:r>
        <w:t xml:space="preserve">: 17,9 % orgánico en 2025; las compras suman 2-4 puntos [5].</w:t>
      </w:r>
    </w:p>
    <w:p>
      <w:pPr>
        <w:pStyle w:val="ListParagraph"/>
        <w:numPr>
          <w:ilvl w:val="0"/>
          <w:numId w:val="2"/>
        </w:numPr>
        <w:spacing w:after="60"/>
      </w:pPr>
      <w:r>
        <w:rPr>
          <w:b/>
        </w:rPr>
        <w:t xml:space="preserve">A 12 meses, rentabilidad del 19,8 % ponderada y 16,5 % en el base</w:t>
      </w:r>
      <w:r>
        <w:t xml:space="preserve"> si el mercado mantiene el PER de hoy.</w:t>
      </w:r>
    </w:p>
    <w:p>
      <w:pPr>
        <w:pStyle w:val="Heading2"/>
      </w:pPr>
      <w:r>
        <w:t xml:space="preserve">En contra</w:t>
      </w:r>
    </w:p>
    <w:p>
      <w:pPr>
        <w:pStyle w:val="ListParagraph"/>
        <w:numPr>
          <w:ilvl w:val="0"/>
          <w:numId w:val="2"/>
        </w:numPr>
        <w:spacing w:after="60"/>
      </w:pPr>
      <w:r>
        <w:rPr>
          <w:b/>
        </w:rPr>
        <w:t xml:space="preserve">Valor intrínseco de 119,47 PLN</w:t>
      </w:r>
      <w:r>
        <w:t xml:space="preserve">, un 24,9 % por debajo del precio con tipos polacos.</w:t>
      </w:r>
    </w:p>
    <w:p>
      <w:pPr>
        <w:pStyle w:val="ListParagraph"/>
        <w:numPr>
          <w:ilvl w:val="0"/>
          <w:numId w:val="2"/>
        </w:numPr>
        <w:spacing w:after="60"/>
      </w:pPr>
      <w:r>
        <w:rPr>
          <w:b/>
        </w:rPr>
        <w:t xml:space="preserve">Margen a la baja</w:t>
      </w:r>
      <w:r>
        <w:t xml:space="preserve">: EBITDA recurrente del 26,1 % en 2024, 24,3 % en 2025 y 22,6 % en el 2T26 [4, 5].</w:t>
      </w:r>
    </w:p>
    <w:p>
      <w:pPr>
        <w:pStyle w:val="ListParagraph"/>
        <w:numPr>
          <w:ilvl w:val="0"/>
          <w:numId w:val="2"/>
        </w:numPr>
        <w:spacing w:after="60"/>
      </w:pPr>
      <w:r>
        <w:rPr>
          <w:b/>
        </w:rPr>
        <w:t xml:space="preserve">Volumen frenado</w:t>
      </w:r>
      <w:r>
        <w:t xml:space="preserve">: +2,6 % en el 1S26 frente al +8,1 % de 2025 [4].</w:t>
      </w:r>
    </w:p>
    <w:p>
      <w:pPr>
        <w:pStyle w:val="ListParagraph"/>
        <w:numPr>
          <w:ilvl w:val="0"/>
          <w:numId w:val="2"/>
        </w:numPr>
        <w:spacing w:after="60"/>
      </w:pPr>
      <w:r>
        <w:rPr>
          <w:b/>
        </w:rPr>
        <w:t xml:space="preserve">Dividendo pagado en parte con deuda</w:t>
      </w:r>
      <w:r>
        <w:t xml:space="preserve">: 148,5 M pagados frente a unos 113 M de flujo libre tras arrendamientos e intereses [3].</w:t>
      </w:r>
    </w:p>
    <w:p>
      <w:pPr>
        <w:pStyle w:val="ListParagraph"/>
        <w:numPr>
          <w:ilvl w:val="0"/>
          <w:numId w:val="2"/>
        </w:numPr>
        <w:spacing w:after="60"/>
      </w:pPr>
      <w:r>
        <w:rPr>
          <w:b/>
        </w:rPr>
        <w:t xml:space="preserve">Fundadores con el 64 % de los votos</w:t>
      </w:r>
      <w:r>
        <w:t xml:space="preserve"> por acciones de voto doble [10].</w:t>
      </w:r>
    </w:p>
    <w:p>
      <w:pPr>
        <w:pStyle w:val="ListParagraph"/>
        <w:numPr>
          <w:ilvl w:val="0"/>
          <w:numId w:val="2"/>
        </w:numPr>
        <w:spacing w:after="60"/>
      </w:pPr>
      <w:r>
        <w:rPr>
          <w:b/>
        </w:rPr>
        <w:t xml:space="preserve">Historia bursátil de 20 meses</w:t>
      </w:r>
      <w:r>
        <w:t xml:space="preserve">: el múltiplo de referencia es de un solo cierre.</w:t>
      </w:r>
    </w:p>
    <w:p>
      <w:pPr>
        <w:pStyle w:val="Heading2"/>
      </w:pPr>
      <w:r>
        <w:t xml:space="preserve">Qué tiene que pasar para que la tesis funcione</w:t>
      </w:r>
    </w:p>
    <w:p>
      <w:pPr>
        <w:spacing w:after="100"/>
      </w:pPr>
      <w:r>
        <w:t xml:space="preserve">La tesis depende del margen: si el EBITDA recurrente vuelve al 24-25 % en el 3T26 y en 2026 completo, el BPA de 2027 se acercará al consenso y el múltiplo de hoy se sostendrá. Señal de que no se cumple: margen recurrente por debajo del 23 % en el 3T26 (26-nov) o un precio medio de laboratorio subiendo menos del 7 % mientras el coste de personal crece por encima del 15 %.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 (1S26); 22,6 %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23 % en el 3T26 o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BPA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prueba de laboratorio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tercios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pruebas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(1S26); +4,1 %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volumen el precio no basta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2,2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2027 y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Días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72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Calidad del circulante tras SAP</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16,5x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Diagnostyka nació en 1998 como sociedad civil en Cracovia y abrió su primer laboratorio ese año [9]. Creció comprando laboratorios locales (Medica, ODM Kielce, Top-Lab) y en 2011 entró el fondo Mid Europa Partners y se fusionó con la red de Marcin Fryda, lo que la llevó a todas las regiones en 2012 [9]. En 2014 abrió en Cracovia su laboratorio central, el mayor del país, y desde 2013-2019 añadió histopatología y genética [9]. En la pandemia fue el gran laboratorio de pruebas COVID: 716 M PLN de ingresos COVID en 2021 [6]. En 2024-2025 entró en imagen médica comprando centros con contrato del NFZ, y en febrero de 2025 salió a bolsa en Varsovia a 105 PLN por acción con la venta de toda la participación de Mid Europa; los fundadores conservan el control con acciones de voto doble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Cracovia y primer laboratorio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Mid Europa Partners y fusión con la red de Marcin Fryda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Medis y Alpha Medical: presencia en todas las regiones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 central de Cracovia, el mayor de Polonia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Genesis (genética) y Vitalabo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COVID: 1.843 M PLN de ingresos y 808 M de EBITDA recurrente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diagnóstico por imagen (Livmed, Wyrobek y otros)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GPW (febrero) a 105 PLN; venta total de Mid Europa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a SAP; nuevo director financiero; contrato ampliado con Penta Hospitals [10]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Diagnostyka es la mayor red de laboratorios de análisis clínicos de Polonia: 155 laboratorios, unas 1.300 tomas de muestra propias, más de 4.300 pruebas en catálogo y 174,4 millones de pruebas vendidas en 2025 [9, 10]. Hace análisis de rutina (bioquímica, hematología), especializados, genética, histopatología y, desde 2024-2025, diagnóstico por imagen (resonancia y TAC, 25 centros) [9]. Atiende a dos tipos de cliente: pacientes que pagan de su bolsillo en sus puntos de extracción o en su tienda en línea (B2C, 37,3 % de los ingresos de 2025) y clientes institucionales (B2B, 62,4 %): consultas de atención primaria, clínicas y hospitales públicos y privados que le encargan las pruebas, tanto con contratos del NFZ (el fondo público de salud) como en régimen privado [9]. La red funciona en estrella: laboratorios centrales en Cracovia y Varsovia, regionales y satélites, unidos por una red propia de mensajería [9]. Todo el negocio está en Polonia [1].</w:t>
      </w:r>
    </w:p>
    <w:p>
      <w:pPr>
        <w:pStyle w:val="Heading2"/>
      </w:pPr>
      <w:r>
        <w:t xml:space="preserve">Cómo gana dinero</w:t>
      </w:r>
    </w:p>
    <w:p>
      <w:pPr>
        <w:spacing w:after="100"/>
      </w:pPr>
      <w:r>
        <w:t xml:space="preserve">Cobra por prueba. En 2025 el precio medio en análisis clínicos (MLT) fue de 13,1 PLN y en imagen de 209,1 PLN [5]. Casi todo el ingreso es recurrente en el sentido de que la demanda se repite (crónicos, chequeos, embarazo), pero no hay contratos plurianuales con volumen garantizado: el B2B se negocia con cada cliente y el B2C se paga en ventanilla [9]. El margen depende de llenar los laboratorios centrales (coste fijo de equipos y personal) y del precio: el personal es el 38 % de los ingresos y los reactivos y la energía el 21 % [4]. La empresa sube precios cada año por encima de la inflación (+9,5 % en MLT en 2025, +10,0 % en el 1S26) [4, 5], porque la mayor parte de sus precios no están fijados por el NFZ sino negociados con sus clientes o fijados en su tarifa al público [9]. El cuarto trimestre es el más flojo (margen EBITDA recurrente del 19,4 % en el 4T25 frente al 24,3 % del año)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institucionales (B2B)</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particulares (B2C)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mercancías (reactivos)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PL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institucionales (B2B)</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particulares (B2C)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mercancías (reactivos)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muy repartida: los dos mayores clientes sumaron unos 228 M PLN en 2025, el 9,4 % de las ventas (178 M y 9 % en 2024) [1]; el contrato con Penta Hospitals, el mayor grupo hospitalario privado del país, se renovó y amplió por concurso en julio de 2026 [10]. Los particulares (37 % de los ingresos) diversifican el riesgo de precio frente a los grandes clientes institucionales [9]. El poder de precios está demostrado con datos: el precio medio por prueba subió un 7,3 % en 2024 con una inflación del 3,7 %, un 9,5 % en MLT en 2025 y un 10,0 % en el 1S26, mientras el volumen seguía creciendo (+14,8 %, +7,8 % y +2,6 %) [4, 5, 6]. La exposición directa al NFZ es pequeña en laboratorio (programas de cribado como el de cáncer de cuello de útero) y mayor en imagen, donde los centros comprados tienen contratos con las delegaciones regionales del NFZ [9]. Hasta abril de 2025 el programa público «Profilaktyka 40 PLUS» generó un volumen alto de pruebas que dejó una base de comparación exigente en el 1T26 [10].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Pruebas vendidas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MLT +7,8 %; 1S26: 91,3 M (+2,6 %)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prueba MLT (PLN)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14,0 (+10,0 %)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 por prueba de imagen (PLN)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teleradiología barata; 1S26: 219,7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imagen (DI) en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centros con contrato NFZ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Laboratorios / puntos de extracción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~1.200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puntos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laborales y civiles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análisis clínicos hechos por laboratorios privados en Polonia (pruebas encargadas por particulares, clínicas privadas, consultas con contrato del NFZ y hospitales que externalizan), que Bain &amp; Company estima para Diagnostyka en 0,7 mil millones de EUR en 2023 [9]. No incluye los laboratorios propios de los hospitales públicos, que la empresa ve como cuota a ganar por externalización. Usamos la cifra de Bain (la única con serie) y la contrastamos con el tamaño de la empresa: Diagnostyka facturó 1.588 M PLN en 2023 (unos 0,37 mil millones de EUR), la mitad del mercado así definido. La imagen médica (TAC y resonancia), 6 % de los ingresos, es un mercado aparte y no entra en la cuota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0,7 mil millones de EUR (≈ 3.000 M PLN) en 2023; ≈ 1,4 mil millones de EUR previstos en 2030 (Bain &amp; Company)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por habitante muy bajo frente a Europa occidental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 EUR por habitante en Polonia en 2023 frente a 126 en Alemania y 113 en Francia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más pruebas por paciente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prevé un volumen de pruebas generales +5 % anual en 2023-2030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mezcla hacia pruebas especializadas y traslado de los salarios sanitarios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precio medio +4-5 % anual; Diagnostyka subió un 9,5 % en MLT en 2025 [4,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los laboratorios hospitalarios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privados ganan cuota a los públicos según Bain; contrato ampliado con Penta Hospitals en 2026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públicos de cribado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fin de «Profilaktyka 40 PLUS» (abril de 2025) frenó el volumen al +1,2 % en el 1T26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Salario mínimo sanitario por ley</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de salarios mínimos en sanidad sube cada julio el coste de personal (38 % de los ingresos) [4,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redes nacionales (Diagnostyka, ALAB, Synevo-Medicover, LUX MED con laboratorio propio) y cientos de locales; el precio sube un 10 % al año, señal de rivalidad contenida [4,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B2B 62 % de las ventas, con grandes redes y hospitales que licitan; los dos mayores clientes son el 9,4 %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fabricantes de analizadores y reactivos (Roche, Abbott, Siemens); el personal sanitario es escaso y su salario lo fija la ley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red de extracción, mensajería y laboratorios centrales automatizados: la escala de 174 M de pruebas al año no se replica rápido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Pruebas en el punto de atención y en casa existen pero no sustituyen a la bioquímica de rutina; la IA ayuda a leer, no a hacer la prueba [9]</w:t>
            </w:r>
          </w:p>
        </w:tc>
      </w:tr>
    </w:tbl>
    <w:p>
      <w:pPr>
        <w:spacing w:after="160" w:before="0"/>
      </w:pPr>
    </w:p>
    <w:p>
      <w:pPr>
        <w:pStyle w:val="Heading2"/>
      </w:pPr>
      <w:r>
        <w:t xml:space="preserve">Ciclo</w:t>
      </w:r>
    </w:p>
    <w:p>
      <w:pPr>
        <w:spacing w:after="100"/>
      </w:pPr>
      <w:r>
        <w:t xml:space="preserve">La demanda de análisis clínicos es poco cíclica: en 2009 los laboratorios europeos siguieron creciendo y en 2022-2023, con inflación del 14 % y 12 % en Polonia, Diagnostyka creció un 12 % y un 21 % orgánico subiendo precios [6]. 2020-2022 fue un ciclo propio: COVID infló 2021 y la normalización hundió los ingresos de 1.843 M a 1.436 M en 2022 [6]. Hoy el mercado crece en torno al 10 % anual (Bain) y la empresa algo más; los indicadores son el volumen de pruebas y el precio medio que publica cada trimestre [4, 9].</w:t>
      </w:r>
    </w:p>
    <w:p>
      <w:pPr>
        <w:pStyle w:val="Heading2"/>
      </w:pPr>
      <w:r>
        <w:t xml:space="preserve">Regulación</w:t>
      </w:r>
    </w:p>
    <w:p>
      <w:pPr>
        <w:spacing w:after="100"/>
      </w:pPr>
      <w:r>
        <w:t xml:space="preserve">El NFZ financia la atención primaria con una cápita que incluye las pruebas: la consulta paga al laboratorio, por eso la mayor parte de los precios de Diagnostyka se negocian y no están fijados por el NFZ [9]. Donde sí hay precio público es en los programas de cribado y en la imagen (contratos con las delegaciones del NFZ): en el 2T26 el NFZ sacó de los límites las resonancias y TAC de control oncológico, y la dirección dice que los cambios regulatorios en imagen le hacen más selectiva en compras [4]. La ley de salarios mínimos sanitarios sube el coste cada 1 de julio [10]. La ley de laboratorios (diagnostas) exige acreditación y supervisión de la Cámara Nacional de Diagnostas.</w:t>
      </w:r>
    </w:p>
    <w:p>
      <w:pPr>
        <w:pStyle w:val="Heading2"/>
      </w:pPr>
      <w:r>
        <w:t xml:space="preserve">Tendencias y disrupción</w:t>
      </w:r>
    </w:p>
    <w:p>
      <w:pPr>
        <w:spacing w:after="100"/>
      </w:pPr>
      <w:r>
        <w:t xml:space="preserve">Tres tendencias: (1) automatización de los laboratorios centrales (línea nueva en Poznań, laboratorios en construcción en Gdynia y Gliwice), que baja el coste por prueba y favorece al grande [9, 10]; (2) canal directo al paciente con pago de su bolsillo (B2C 37 %, aplicación móvil, paquetes de prevención), donde el precio es más alto [9]; (3) IA en lectura de imagen y en la validación de resultados, que Diagnostyka ya usa en imagen; reduce el coste de radiólogos y de validación pero no el de hacer la prueba [10]. Gana con las tres por escala.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análisis clínicos privados en Polonia (estimación propia: unos 2.265 M PLN de ingresos de laboratorio en 2025 frente a un mercado de ≈ 1,0 mil millones de EUR según la serie de Bain) [4,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Synevo (Medicover Diagnostic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 / 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MCOV-B.ST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red de laboratorios del país, dentro del grupo Medicover (margen EBITDA del grupo 11,3 %)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ALAB laboratoria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nacional privada sin cuentas públicas accesibles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LUX MED (Bupa)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sanitario con laboratorio propio para su red de abonados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Laboratorios de hospitales públicos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Polonia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que el sector privado gana por externalización [9]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Sonic Healthcare (referencia internacional)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SHL.AX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laboratorio privado de Europa y Australia; margen EBITDA 12,4 %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Eurofins (referencia internacional)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ERF.PA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Clínico y análisis; margen EBITDA 20,8 %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puntos de extracción atraen más pacientes y más clientes B2B, pero no hay efecto de red propiamente dicho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informática con las consultas que encargan pruebas (eLab/xLab); los hospitales licitan cada pocos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más reconocida del sector según la empresa; acreditación ISO/IEC 17025 desde 2010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24-26 % frente al 11-21 % de los grandes laboratorios cotizados; 174 M de pruebas al año en laboratorios centrales automatizados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1.300 puntos de extracción y mensajería propia; un rival nuevo necesita años de pérdidas para llenar un laboratorio central [5]</w:t>
            </w:r>
          </w:p>
        </w:tc>
      </w:tr>
    </w:tbl>
    <w:p>
      <w:pPr>
        <w:spacing w:after="160" w:before="0"/>
      </w:pPr>
    </w:p>
    <w:p>
      <w:pPr>
        <w:pStyle w:val="Heading2"/>
      </w:pPr>
      <w:r>
        <w:t xml:space="preserve">Amenazas</w:t>
      </w:r>
    </w:p>
    <w:p>
      <w:pPr>
        <w:spacing w:after="100"/>
      </w:pPr>
      <w:r>
        <w:t xml:space="preserve">Tres amenazas, de más a menos probable: (1) el coste de personal sube por ley más rápido que el precio que aceptan los grandes clientes B2B, y el margen va bajando (del 25,5 % al 24,4 % recurrente sin extraordinarios en dos años) [4]; (2) un competidor con dueño de capital riesgo o internacional (Medicover-Synevo, ALAB) compite por precio en los concursos hospitalarios; (3) el NFZ cambia la financiación de la imagen o pasa a pagar directamente las pruebas de atención primaria con tarifa. Probabilidad media de la primera, baja de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2022-2025: ingresos </w:t>
      </w:r>
      <w:r>
        <w:rPr>
          <w:b/>
          <w:bCs/>
        </w:rPr>
        <w:t xml:space="preserve">18,8 %</w:t>
      </w:r>
      <w:r>
        <w:t xml:space="preserve">, EBITDA </w:t>
      </w:r>
      <w:r>
        <w:rPr>
          <w:b/>
          <w:bCs/>
        </w:rPr>
        <w:t xml:space="preserve">16,1 %</w:t>
      </w:r>
      <w:r>
        <w:t xml:space="preserve">, BPA </w:t>
      </w:r>
      <w:r>
        <w:rPr>
          <w:b/>
          <w:bCs/>
        </w:rPr>
        <w:t xml:space="preserve">14,5 %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PLN,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por contratos con clientes pasaron de 1.588 M PLN en 2023 a 2.410 M en 2025 (+23,2 % anual) y a 2.585 M en los doce meses a junio de 2026 [1, 2, 3]. El crecimiento es sobre todo orgánico: +20,9 % en 2023, +20,7 % en 2024 y +17,9 % en 2025, con volumen y precio a partes casi iguales hasta 2024 y más precio desde 2025 [5, 6]; en el 1T26 el orgánico fue de en torno al 11 % [7]. Las compras (laboratorios regionales y centros de imagen) añadieron 2-4 puntos al año [5]. 2021 y 2022 no son comparables: en 2021 las pruebas de COVID dieron 716 M PLN de ingresos y un EBITDA recurrente de 808 M (43,8 % de margen) [6]. El margen EBITDA publicado fue del 24,0 % en 2023, 25,6 % en 2024 y 24,2 % en 2025; sin las revalorizaciones de participadas y el deterioro de 2025, el recurrente bajó del 25,5 % al 24,6 % por la imagen (menos margen), los servicios de TI y la subida de reactivos [5]. En el 2T26 cayó al 22,6 % por el arranque de SAP y el ajuste de inventarios [4]. La cuenta se presenta por naturaleza; en coste de ventas ponemos materiales, energía y mercancías vendidas.</w:t>
      </w:r>
    </w:p>
    <w:p>
      <w:pPr>
        <w:pStyle w:val="Heading2"/>
      </w:pPr>
      <w:r>
        <w:t xml:space="preserve">Ajustes y partidas no recurrentes</w:t>
      </w:r>
    </w:p>
    <w:p>
      <w:pPr>
        <w:spacing w:after="100"/>
      </w:pPr>
      <w:r>
        <w:t xml:space="preserve">Usamos las cifras publicadas. La empresa da un «EBITDA recurrente» que excluye los costes de la OPV y el plan de acciones ligado a ella: 9,1 M PLN en 2024 y 1,9 M en 2025, nada en el 1S26 [4, 5, 6]. Dentro del EBITDA publicado hay partidas que no se repiten y que no hemos quitado por ser pequeñas: revalorización de participaciones al tomar el control de centros de imagen (+11,5 M en el 4T24, +4,3 M en el 1S26) y un deterioro de 6,4 M en el 4T25 [4, 5]. En 2024 el resultado financiero lleva una valoración positiva de las coberturas de tipos (IRS) y en 2023 un deterioro de una asociada de 4,9 M [2]. El tipo efectivo de 2025 (17,4 %) es bajo frente al 19 % legal y al 20,3 % de 2024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(28-may) la dirección explicó el frenazo del volumen (+1,2 %) por la base alta del programa público 40 PLUS en 2025 y el mal tiempo, y defendió que el precio medio seguía subiendo un 10 % en laboratorio; el beneficio batió al consenso [7]. En el 2T26 (11-sep) el volumen volvió a acelerar (+4,1 %) y los ingresos crecieron un 16,1 %, pero el EBITDA recurrente solo subió un 1,0 % y el margen cayó al 22,6 % [4]. La dirección lo atribuyó a la puesta en marcha de SAP (inventario y ajuste de consumos de materiales «de una vez»), a servicios de TI y a más peso de la imagen; el beneficio atribuido cayó un 10,1 % y quedó por debajo del consenso de PAP (57,4 M frente a 63,6 M) [4]. Mantuvo la guía de 2026: ventas con crecimiento «low/mid teens», precio «high single digit», volumen «low/mid single digit» y margen EBITDA recurrente «cercano a 2025» [4]. Cambió el discurso de compras: más selectivas en imagen tras los cambios del NFZ, que en el 2T26 sacó de los límites las resonancias y TAC de control oncológico [4]. Nombró un director financiero nuevo, Jakub Tatak, ex-CFO de LUX MED, desde el 1-sep [10]. No cuantificó cuánto del gasto del 2T26 es de una sola vez ni cuándo volverá el margen del 24-25 %.</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subió de 1.062 M PLN a final de 2025 a 1.204 M en junio de 2026 (2,0 veces el EBITDA de doce meses), por más deuda bancaria (+115,6 M en un año) para pagar el dividendo de 148,5 M y las compras, y por los arrendamientos nuevos de SAP y equipos [4]. El circulante comercial subió a 243,5 M (+41 % en un año) porque los cobros se alargaron de 63 a 70 días [4]. La guía de deuda neta/EBITDA es de 1,7-2,0 veces [4]: el balance aguanta, pero el margen para compras grandes es pequeño y el crédito principal vence en septiembre de 2027.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PL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2023-2025: FCF </w:t>
      </w:r>
      <w:r>
        <w:rPr>
          <w:b/>
          <w:bCs/>
        </w:rPr>
        <w:t xml:space="preserve">359</w:t>
      </w:r>
      <w:r>
        <w:t xml:space="preserve">, conversión </w:t>
      </w:r>
      <w:r>
        <w:rPr>
          <w:b/>
          <w:bCs/>
        </w:rPr>
        <w:t xml:space="preserve">60 %</w:t>
      </w:r>
      <w:r>
        <w:t xml:space="preserve"> del beneficio neto; adquisiciones 278, dividendos 330, recompras 0.</w:t>
      </w:r>
    </w:p>
    <w:p>
      <w:pPr>
        <w:spacing w:after="100"/>
      </w:pPr>
      <w:r>
        <w:t xml:space="preserve">El flujo operativo es alto (551,8 M PLN en 2025, el 94 % del EBITDA) porque el circulante apenas consume y los impuestos pagados fueron bajos (40,8 M) [1]. Pero el flujo libre para el accionista es mucho menor: tras el capex (204,8 M), el principal de los arrendamientos (129,1 M) y los intereses pagados (67,4 M, clasificados en financiación) quedaron unos 150 M en 2025, y en los doce meses a junio de 2026 unos 113 M, menos que el dividendo de 148,5 M [1, 3]. El capex sin compras fue del 8,5 % de las ventas en 2025 por la construcción de laboratorios centrales en Łódź, Bydgoszcz, Gdynia y Gliwice y por la inversión en TI; la guía de 2026 es de 170-220 M (6-8 %) más 50-100 M de compras [4, 5]. La empresa no separa mantenimiento y crecimiento; estimación propia: el mantenimiento se parece a la depreciación del inmovilizado propio (unos 80 M, 3,3 % de las ventas), y el resto es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Audyt Polska sp. z o.o. sp.k.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consolidadas 2025 sin salvedades y revisó el semestral de 2026 [1, 3]. Lo que hay que vigilar: (1) los «otros ingresos operativos» incluyen revalorizaciones de participaciones al tomar el control de centros de imagen (11,5 M en el 4T24, 4,3 M en el 1S26), que inflan el EBITDA de esos trimestres [4, 5]; (2) el ajuste de inventarios por el cambio a SAP en el 2T26 sugiere que los consumos de materiales estaban mal medidos antes del cambio [4]; (3) los cobros se alargaron 7 días en un año (69,5 días en el 2T26) [4]; (4) el plan de acciones ligado a la OPV lo pagó el vendedor (LX Beta, de Mid Europa) pero pasó por la cuenta como gasto [9]; (5) las opciones de venta de minoritarios se cargan contra patrimonio y no contra resultados [1]. El motor da un Altman Z y un Piotroski F razonables para una empresa con deuda moderada; el Beneish M sale de solo tres años comparables y hay que leerlo con cuidado.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DSO de 62,7 a 69,5 días en un año; clientes +34 % en el semestre con ventas +15 %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 de inventario con el cambio a SAP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Consumos de materiales +26,5 % en el 2T26; la empresa lo llama ajuste de una vez sin cuantificarlo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Revalorizaciones de participadas en 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+11,5 M (4T24) y +4,3 M (1S26) por tomar el control de centros de imagen [4,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478 M en 2025 (el 30 % del capital invertido medio); ha subido más de un 5 % en 2 de 2 años: compra única grande. ROIC publicado 21,3 %; sin fondo de comercio, 30,4 %.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35,8 % · </w:t>
      </w:r>
      <w:r>
        <w:rPr>
          <w:b/>
          <w:bCs/>
        </w:rPr>
        <w:t xml:space="preserve">WACC</w:t>
      </w:r>
      <w:r>
        <w:t xml:space="preserve">: 10,2 %.</w:t>
      </w:r>
    </w:p>
    <w:p>
      <w:pPr>
        <w:spacing w:after="100"/>
      </w:pPr>
      <w:r>
        <w:t xml:space="preserve">Diagnostyka crea valor con holgura: el ROIC fue del 21,3 % en 2025 (21,9 % en 2024 y 16,1 % en 2023) frente a un WACC del 10,23 %, unos 11 puntos de diferencia; sin el fondo de comercio de las compras sería del 30,4 %. El ROIC sale del margen, no de una rotación especial: margen EBIT del 15,9 % en 2025 (las grandes redes cotizadas tienen márgenes EBITDA del 11-21 % [13]) y una rotación de 1,27 veces el capital, cargada de arrendamientos de laboratorios y puntos de extracción. El ROIC incremental de los últimos años es muy alto (35,8 %): con 394 M PLN más de capital invertido entre 2023 y 2025, el NOPAT creció en 141 M. Lo que lo puede bajar es la imagen médica, que necesita equipos caros y deja menos margen [4], y la deriva del margen de laboratorio por los salarios. Con el ROE del 53 % hay que tener en cuenta que el patrimonio es pequeño por el dividendo del 88 % del beneficio de 2021 [10].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17,6 M PLN a 30-jun-2026 y financiación disponible de 222,3 M (líneas de crédito no dispuestas) [4]. El grueso de la deuda bancaria es un crédito sindicado a plazo de 540 M y dos líneas renovables de 125 M cada una, a WIBOR 1M más margen, con vencimiento en septiembre de 2027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PL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crédito sindicado tiene covenants (deuda neta/EBITDA, entre otros) que la empresa cumple; EY calcula los ratios para los bancos [1, 9]. Los arrendamientos (NIIF 16) suman 478,8 M PLN a junio de 2026 (laboratorios, puntos de extracción, equipos de laboratorio en cesión, y desde 2026 la licencia de SAP) [3, 4]. «Otros pasivos financieros» suman 103,7 M a junio de 2026: sobre todo opciones de venta de los minoritarios de las filiales compradas (44,4 M reconocidos en 2025) y pagos aplazados de compras; los tratamos como deuda en el puente [1, 3]. Pensiones casi nulas (3,8 M a largo plazo). Las coberturas de tipos (IRS) vencieron o se liquidaron: 0 a junio de 2026 [3].</w:t>
      </w:r>
    </w:p>
    <w:p>
      <w:pPr>
        <w:pStyle w:val="Heading1"/>
      </w:pPr>
      <w:r>
        <w:t xml:space="preserve">12. Asignación de capital</w:t>
      </w:r>
    </w:p>
    <w:p>
      <w:pPr>
        <w:pStyle w:val="Confianza"/>
        <w:spacing w:after="100"/>
      </w:pPr>
      <w:r>
        <w:t xml:space="preserve">Confianza: Media</w:t>
      </w:r>
    </w:p>
    <w:p>
      <w:pPr>
        <w:spacing w:after="100"/>
      </w:pPr>
      <w:r>
        <w:t xml:space="preserve">La dirección quiere repartir el 50 % del beneficio atribuido, con más en años muy buenos: 3,31 PLN por acción con el beneficio de 2024 (50 %) y 4,40 PLN con el de 2025 (59 %, 148,5 M pagados en junio de 2026) [10]. No hay recompras. Las prioridades de caja son la red de laboratorios y puntos, la TI (SAP, nuevo sistema de laboratorio xLAB) y compras selectivas de laboratorios regionales y centros de imagen, con una deuda neta/EBITDA de 1,7-2,0 veces [4,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PL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regionales y participaciones en centros de imagen (varias)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4,9 M en una asociada en 2023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Livmed, Wyrobek y otros centros de imagen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Imagen pasa del 1,5 % al 6 % de los ingresos; margen menor que laboratorio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compras (laboratorio, genética de tumores en Toruń, imagen)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no monetario de 6,4 M en el 4T25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compras en laboratorio y 3 en imagen (1S26); Aidport (63,7 %) en agosto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Pronto para juzgar [4, 10]</w:t>
            </w:r>
          </w:p>
        </w:tc>
      </w:tr>
    </w:tbl>
    <w:p>
      <w:pPr>
        <w:spacing w:after="160" w:before="0"/>
      </w:pPr>
    </w:p>
    <w:p>
      <w:pPr>
        <w:spacing w:after="100"/>
      </w:pPr>
      <w:r>
        <w:t xml:space="preserve">La asignación de capital ha sido disciplinada en tamaño: las compras sumaron unos 280 M PLN en 2023-2025, el 5 % de las ventas acumuladas, y el fondo de comercio subió de 304 M a 478 M [1, 2]. El crecimiento sale de la red propia, que se financia con el flujo operativo. Lo discutible es la imagen: rinde menos margen que el laboratorio, depende de contratos del NFZ y ya obligó a un deterioro en 2025 [5]. El reparto del 59 % del beneficio en 2025 se pagó en parte con deuda: el flujo libre tras arrendamientos e intereses no lo cubrió [3]. Con el crédito principal venciendo en 2027, conviene que el dividendo vuelva al 50 %.</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Jakub Swadźba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administración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y tercer accionista; dirige la estrategia, las compras y la salida a bolsa de 2025. Desde la OPV los ingresos crecieron de 1.950 M PLN (2024) a 2.585 M en los doce meses a junio de 2026 [9, 10]. Elegido directivo del año 2022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Jakub Tatak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1-sep-2026. Fue director financiero y miembro del consejo de LUX MED (Bupa) desde 2018, con compras e integración de empresas; antes en First Data Polska y PolCard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Dariusz Zowczak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y en el consejo desde 2007; ventas, compras y red de puntos de extracción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Jaromir Pelczarski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consejo de administración; 5.000 acciones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Artur Olender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según la ley de auditores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+20 % o más; margen EBITDA recurrente mantenido (≈ 26 %)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+23,6 %; margen recurrente 24,3 % (24,6 % sin extraordinarios)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«low/mid teens»; precio «high single digit»; volumen «low/mid single digit»; margen cercano a 2025; DN/EBITDA 1,7-2,0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+14,8 %, precio +11,9 %, volumen +2,6 %, margen 24,7 %, DN/EBITDA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mucho capital propio: el CEO tiene el 9,4 % del capital y el 12,8 % de los votos, y dos fundadores del consejo de supervisión otro 37,8 % del capital [10]. Ha cumplido el crecimiento prometido desde la OPV pero no el margen: en 2025 cayó 1,8 puntos y el 2T26 decepcionó [4, 5]. El cambio de CFO en septiembre de 2026 trae a alguien con experiencia en grupos sanitarios grandes; [10]. No hay plan de sucesión público para el CEO.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 Olender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Jacek Prusek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Grzegorz Głownia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(desde jun-2025)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Marcin Fryda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Patrycja Swadźba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Paweł Leżański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Grzegorz Głownia (directamente y vía ACER Capital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acciones A de voto doble (25,65 %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bloqueo de venta hasta el 2-feb-2026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Jacek Prusek (directamente y vía ACACIA Capital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acciones B de voto doble (25,65 %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Jakub Swadźba (CEO)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acciones C de voto doble (12,83 %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Marcin Fryda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 y 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 Europa (LX Beta) vendió todo en la OPV de febrero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3,64 M PLN de la sociedad y 0,30 M de filiales en 2025, más 2,72 M de valoración del plan de incentivos ligado a la OPV, que pagó el vendedor (LX Beta, de Mid Europa) y no la empresa [9]. El nuevo plan a largo plazo (LTIP-Z y LTIP-P) da unidades convertibles en acciones; el informe de gestión no detalla métricas de rentabilidad sobre el capital, por eso marcamos que el variable no está ligado al ROIC [9]. La primera votación consultiva del informe de remuneraciones como cotizada fue en la junta de mayo de 2026; no hemos leído el acta.</w:t>
      </w:r>
    </w:p>
    <w:p>
      <w:pPr>
        <w:pStyle w:val="Heading2"/>
      </w:pPr>
      <w:r>
        <w:t xml:space="preserve">Operaciones vinculadas, estructura de control y defensas</w:t>
      </w:r>
    </w:p>
    <w:p>
      <w:pPr>
        <w:spacing w:after="100"/>
      </w:pPr>
      <w:r>
        <w:t xml:space="preserve">Los tres socios históricos (Głownia, Prusek y Swadźba) tienen el 47,2 % del capital y el 64,1 % de los votos porque sus acciones nominativas A, B y C votan doble [9, 10]. No hay un pacto de accionistas público, pero de hecho deciden la junta y el consejo de supervisión: cuatro de los seis consejeros son dominicales (dos fundadores, Marcin Fryda y Patrycja Swadźba) [10]. El bloqueo de venta de la OPV venció el 2-feb-2026 [9]. El comité de auditoría lo preside una independiente (Aniela Hejnowska en 2025) pero integra a un fundador [9]. Para el minoritario: el voto doble protege la estrategia de largo plazo pero impide una OPA hostil y deja la política de dividendos en manos de los fundadores, que cobran el 47 % del dividendo.</w:t>
      </w:r>
    </w:p>
    <w:p>
      <w:pPr>
        <w:pStyle w:val="Heading2"/>
      </w:pPr>
      <w:r>
        <w:t xml:space="preserve">Señales de alerta</w:t>
      </w:r>
    </w:p>
    <w:p>
      <w:pPr>
        <w:pStyle w:val="ListParagraph"/>
        <w:numPr>
          <w:ilvl w:val="0"/>
          <w:numId w:val="2"/>
        </w:numPr>
        <w:spacing w:after="60"/>
      </w:pPr>
      <w:r>
        <w:t xml:space="preserve">Rotación en la dirección financiera en 2026: entra Jakub Tatak (ex-LUX MED) el 1-sep-2026 [10]</w:t>
      </w:r>
    </w:p>
    <w:p>
      <w:pPr>
        <w:pStyle w:val="ListParagraph"/>
        <w:numPr>
          <w:ilvl w:val="0"/>
          <w:numId w:val="2"/>
        </w:numPr>
        <w:spacing w:after="60"/>
      </w:pPr>
      <w:r>
        <w:t xml:space="preserve">Acciones de voto doble de los fundadores y del CEO: 64 % de los votos con el 47 % del capital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publicada con los resultados de 2025 (abril) y confirmada el 11-sep-2026: ingresos con crecimiento «low/mid teens» (en torno al 12-15 %), precio medio por prueba «high single digit», volumen «low/mid single digit», margen EBITDA recurrente «cercano a 2025» (24,3 %), capex sin compras de 170-220 M PLN, compras de 50-100 M y deuda neta/EBITDA de 1,7-2,0 veces [4]. No hay plan a medio plazo con cifras; la empresa habla de seguir creciendo por encima del mercado (Bain: 9-11 % anual hasta 2030) con crecimiento orgánico y compras selectivas.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7 analistas [13]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176,00 – 215,00</w:t>
            </w:r>
          </w:p>
        </w:tc>
      </w:tr>
    </w:tbl>
    <w:p>
      <w:pPr>
        <w:spacing w:after="160" w:before="0"/>
      </w:pPr>
    </w:p>
    <w:p>
      <w:pPr>
        <w:pStyle w:val="Heading2"/>
      </w:pPr>
      <w:r>
        <w:t xml:space="preserve">Revisiones de estimaciones</w:t>
      </w:r>
    </w:p>
    <w:p>
      <w:pPr>
        <w:spacing w:after="100"/>
      </w:pPr>
      <w:r>
        <w:t xml:space="preserve">Los objetivos bajaron: en mayo la media de 6 analistas era de 211,6 PLN (rango 188-230) según PPCG, y hoy la de Yahoo es de 196,4 (176-215) con 7 analistas [13, 21]. El 2T26 quedó por debajo del consenso de PAP (beneficio 57,4 M frente a 63,6 M; EBITDA recurrente 154,4 M frente a 155,6 M) [18]. Solo hay una fuente gratuita con BPA de dos años (Yahoo); su BPA de 2027 (10,10) supone un salto del 29 % que exige recuperar un margen del 25-26 %, y no tenemos el desglose de EBITDA del consenso.</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7"/>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salió a bolsa a 105 PLN en febrero de 2025, subió hasta 208 PLN en enero de 2026 y cayó un 31,7 % hasta 146,4 PLN en abril de 2026 [2, 12]. Cotiza a 159 PLN, un 9,4 % menos que hace un año con dividendos, mientras el sector sanitario europeo sube un 2,5 % y el WIG20 con dividendos un 78 % desde la OPV [12]. Lo que explica el peor comportamiento es el margen: el EBITDA recurrente pasó de crecer un 15 % en 2025 a un 1 % en el 2T26, y el mercado castigó cada trimestre flojo (−6,3 % el 21-abr y −4 % el 11-sep) [12, 18]. La beta propia frente al WIG20TR, con solo 87 semanas, es de 0,56; usamos 0,85 (laboratorios cotizados), porque el índice polaco pesa mucho la banca.</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un cierre de ejercicio como cotizada (171 PLN el 30-dic-2025): 23,0 veces el BPA de 2025 y 22,5 veces nuestro BPA de 2026 [12]. En la OPV (105 PLN) cotizaba a 15,9 veces el BPA de 2024 y unas 9 veces el EBITDA. Hoy, a 159 PLN, está a 21,1 veces el BPA de los últimos doce meses y a 17,7 veces nuestro BPA de 2027: el mercado ha quitado la prima que pagaba en 2025 porque el margen ya no acompaña al crecimiento de las ventas. La historia es demasiado corta para hablar de prima o descuento estructural.</w:t>
      </w:r>
    </w:p>
    <w:p>
      <w:pPr>
        <w:pStyle w:val="Heading1"/>
      </w:pPr>
      <w:r>
        <w:t xml:space="preserve">18. Comparables cotizados</w:t>
      </w:r>
    </w:p>
    <w:p>
      <w:pPr>
        <w:pStyle w:val="Confianza"/>
        <w:spacing w:after="100"/>
      </w:pPr>
      <w:r>
        <w:t xml:space="preserve">Confianza: Media</w:t>
      </w:r>
    </w:p>
    <w:p>
      <w:pPr>
        <w:spacing w:after="100"/>
      </w:pPr>
      <w:r>
        <w:t xml:space="preserve">Grandes redes de laboratorios clínicos cotizadas: Quest y Labcorp (EE. UU.), Sonic y Australian Clinical Labs (Australia y Europa), Eurofins (clínico y análisis) y Medicover (dueño de Synevo, el segundo laboratorio de Polonia). No hay otra red de laboratorios cotizada en Polonia. Se excluyen Healius (en pérdidas) e Integrated Diagnostics (cifras de Yahoo en libras egipcias y dólares mezcladas). Todas con datos de Yahoo del 15-oct-2026, capitalización en PLN con el BCE del 14-oct; PER de los próximos 12 meses ponderando los dos ejercicios estimados; EV/EBITDA NTM estimado como el LTM dividido por (1 + crecimiento esperado de las ventas).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Diagnostyka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Quest Diagnostics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Eurofins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Sonic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Medicover (Synevo)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Australian Clinical Labs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12,6x / 14,0x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16,9x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Diagnostyka crece el doble o el triple que los grandes laboratorios (12-14 % frente al 4-8 %) y con más margen EBITDA (23-24 % frente al 11-21 %), pero cotiza a múltiplos parecidos: 15,7 veces el BPA de Yahoo de 2027 y unas 10 veces el EBITDA, frente a una mediana de 16,9 veces el PER y 12 veces el EV/EBITDA de los comparables [13]. Solo Medicover, también polaca y en plena expansión, cotiza claramente más cara (28 veces). El descuento se explica por el riesgo país (bono polaco al 6,2 %), la falta de historia como cotizada y el control de los fundadores; el crecimiento y el margen pedirían prima. Usaríamos el PER, que recoge la carga de arrendamientos e intereses mejor que el EV/EBITDA en una empresa con NIIF 16.</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Diagnostyka (OPV: venta del 100 % de Mid 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(OPV en la GPW)</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105 PLN × 33,76 M acciones + deuda neta con arrendamientos de 929 M a 31-dic-2024, sobre ventas y EBITDA publicados de 2024 [2]. No hay prima de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Laboratorios en Campinas (Brasil)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Fleury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R$ 130 M por R$ 116 M de ventas; 5,3x EV/EBITDA antes de sinergias; pasado a PLN a ≈ 0,68 PLN/BRL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Synlab (exclusión de bolsa)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Cinven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10 EUR (2023) con una prima del 42 % y exclusión a 11,09 EUR en 2024; múltiplo no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Hay pocas transacciones con múltiplo publicado. La referencia más útil es la propia OPV de Diagnostyka: el fondo vendedor aceptó unas 9 veces el EBITDA, por debajo de los 10-11 de hoy. Las compras de laboratorios pequeños se hacen a 5-6 veces el EBITDA (Fleury en Brasil; Diagnostyka no publica lo que paga). Con el 64 % de los votos en manos de los fundadores, una OPA no es probable sin su acuerdo; por eso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(ventas «low/mid teens»): 13,9 %, con el 1S26 en +14,8 % y un 2S26 al 13 % [4]. Luego 11 % en 2027 y una bajada de un punto al año hasta el 6 % de 2032. El histórico es mucho mayor (+20,9 %, +20,7 % y +17,9 % orgánico en 2023-2025 [5, 6]), pero el volumen se ha frenado al 2,6 % en el 1S26 y Bain prevé un mercado privado creciendo un 9-11 % anual hasta 2030 [9]. El consenso de ventas de 2026-2027 (2.744 M y 3.065 M [13]) coincide con el nuestro (2.746 M y 3.048 M).</w:t>
      </w:r>
    </w:p>
    <w:p>
      <w:pPr>
        <w:keepNext/>
        <w:spacing w:after="100"/>
      </w:pPr>
      <w:r>
        <w:rPr>
          <w:b/>
          <w:bCs/>
        </w:rPr>
        <w:t xml:space="preserve">Márgenes.</w:t>
      </w:r>
    </w:p>
    <w:p>
      <w:pPr>
        <w:spacing w:after="100"/>
      </w:pPr>
      <w:r>
        <w:t xml:space="preserve">Margen EBITDA del 23,3 % en 2026 (1S26 al 24,4 % sin la revalorización y un 2S estacionalmente más débil, con costes de SAP) y recuperación gradual al 24,5 % desde 2029, por debajo del 25,6 % de 2024 [4, 5]. No suponemos volver al 26 %: los salarios sanitarios suben por ley cada año y la imagen tiene menos margen. El consenso de BPA de 2027 (10,10) implica un margen de en torno al 26 %, más que el nuestro.</w:t>
      </w:r>
    </w:p>
    <w:p>
      <w:pPr>
        <w:keepNext/>
        <w:spacing w:after="100"/>
      </w:pPr>
      <w:r>
        <w:rPr>
          <w:b/>
          <w:bCs/>
        </w:rPr>
        <w:t xml:space="preserve">Inversión y circulante.</w:t>
      </w:r>
    </w:p>
    <w:p>
      <w:pPr>
        <w:spacing w:after="100"/>
      </w:pPr>
      <w:r>
        <w:t xml:space="preserve">Capex del 14,5 % de las ventas en 2026, que baja al 11 % en 2032: inversión en inmovilizado de la guía (170-220 M, ≈ 7 %), más las altas de derechos de uso (NIIF 16, ≈ 5,3 % por el principal de arrendamientos de 2025 [1]) y compras pequeñas (≈ 2 %). La amortización, del 8,6 % al 8,8 %, incluye la de los derechos de uso (122,6 M en 2025). Circulante comercial del 8 % de las ventas, el de 2025 (258 M de clientes más 69 M de existencias menos 135 M de proveedores).</w:t>
      </w:r>
    </w:p>
    <w:p>
      <w:pPr>
        <w:keepNext/>
        <w:spacing w:after="100"/>
      </w:pPr>
      <w:r>
        <w:rPr>
          <w:b/>
          <w:bCs/>
        </w:rPr>
        <w:t xml:space="preserve">Coste del capital.</w:t>
      </w:r>
    </w:p>
    <w:p>
      <w:pPr>
        <w:spacing w:after="100"/>
      </w:pPr>
      <w:r>
        <w:t xml:space="preserve">Tasa libre: el bono polaco a 10 años, 6,23 % en septiembre de 2026 (BCE) [15]; FRED daba un 5,50 % en julio [24]. Beta de 0,85: la propia frente al WIG20TR es de 0,56 con 87 semanas, poco representativa porque el índice es casi todo banca; usamos una beta de laboratorios cotizados. Prima de mercado del 5,5 % y prima adicional del 0,4 %: la prima de riesgo país de Damodaran para Polonia es del 1,10 %, pero 0,72 puntos ya están en el bono en PLN [16]. Coste de la deuda del 6,6 % (gastos financieros sobre deuda media), tipo fiscal del 19 % y 18 % de deuda a valor de mercado. WACC del 10,23 %.</w:t>
      </w:r>
    </w:p>
    <w:p>
      <w:pPr>
        <w:keepNext/>
        <w:spacing w:after="100"/>
      </w:pPr>
      <w:r>
        <w:rPr>
          <w:b/>
          <w:bCs/>
        </w:rPr>
        <w:t xml:space="preserve">Valor terminal.</w:t>
      </w:r>
    </w:p>
    <w:p>
      <w:pPr>
        <w:spacing w:after="100"/>
      </w:pPr>
      <w:r>
        <w:t xml:space="preserve">Crecimiento a perpetuidad del 3,5 % en PLN: objetivo de inflación del 2,5 % más un 1 % real, por debajo de la tasa libre menos medio punto. El valor terminal es el 73 % del valor. Como contraste, un múltiplo de salida de 10 veces el EBITDA (las grandes redes cotizan a 10-14 [13]) daría un valor mayor: el DCF de Gordon con tipos polacos es exigente con 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PL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PLN,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M (35 %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(ROIC 21,3 %)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 frente al 9,3 %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(histórico: 35,8 %)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 (hoy: 52,0 %)</w:t>
            </w:r>
          </w:p>
        </w:tc>
      </w:tr>
    </w:tbl>
    <w:p>
      <w:pPr>
        <w:spacing w:after="160" w:before="0"/>
      </w:pPr>
    </w:p>
    <w:p>
      <w:pPr>
        <w:spacing w:after="100"/>
      </w:pPr>
      <w:r>
        <w:t xml:space="preserve">La proyección reinvierte el 35 % del NOPAT. Con el ROIC del último ejercicio (21,3 %), eso financia un crecimiento del 7,5 % anual, frente al 9,3 % de ingresos proyectado. Supone que el capital nuevo rinde un 21,6 %, frente a un ROIC incremental histórico del 35,8 %; la cuota de mercado pasaría al 64,6 % desde el 52,0 %.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precio «high single digit» (1S26: +11,9 %, +10,0 % en laboratorio) y volumen «low/mid single digit» (1S26: +2,6 %); 1,9 puntos de compras (8 en laboratorio y 3 en imagen en el 1S26)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4 % sin la base alta de 40 PLUS; precio al 6 %, entre el 10 % de hoy y el 4-5 % que Bain prevé para el mercado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mercado al 5 % según Bain; precio al 5 % con el traslado de los salarios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del mercado privado (9-11 %)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cuota implícita del 64,6 % frente al 52 % de hoy</w:t>
            </w:r>
          </w:p>
        </w:tc>
      </w:tr>
    </w:tbl>
    <w:p>
      <w:pPr>
        <w:spacing w:after="160" w:before="0"/>
      </w:pPr>
    </w:p>
    <w:p>
      <w:pPr>
        <w:spacing w:after="100"/>
      </w:pPr>
      <w:r>
        <w:t xml:space="preserve">Sí. El crecimiento medio proyectado (9,3 %) es la mitad del histórico sin COVID (18,8 % anual 2022-2025 publicado, con 17,9-20,9 % orgánico) y está dentro del crecimiento del mercado privado según Bain (9-11 % anual) [5, 9, 26]. La empresa ha demostrado poder de precios: +7,3 %, +9,5 % y +10,0 % en el precio medio de laboratorio en 2024, 2025 y el 1S26, con el volumen todavía al alza [4, 5, 6]. La reinversión del 35 % del NOPAT financia un 7,5 % al ROIC actual (21,3 %), pero un 12,5 % al ROIC incremental histórico (35,8 %), y el capital nuevo solo tiene que rendir el 21,6 %; la cuota implícita sube del 52 % al 64,6 %, 1,24 veces la actual. Lo que no está garantizado es el margen, no el crecimiento: eso va en el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 (base: 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 (base: 24,5 %)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10,2 %)</w:t>
            </w:r>
          </w:p>
        </w:tc>
      </w:tr>
    </w:tbl>
    <w:p>
      <w:pPr>
        <w:spacing w:after="160" w:before="0"/>
      </w:pPr>
    </w:p>
    <w:p>
      <w:pPr>
        <w:spacing w:after="100"/>
      </w:pPr>
      <w:r>
        <w:t xml:space="preserve">El DCF da 111,10 PLN por acción, un 30,1 % por debajo del precio, con un WACC del 10,23 % y el 73 % del valor en el terminal. El DCF inverso dice que, para justificar 159 PLN, las ventas tendrían que crecer un 15,3 % anual en 2027-2032 (nuestro base: 8,5 %) o el margen EBITDA llegar al 28,3 % (base: 24,5 %); la rentabilidad implícita en el precio es del 8,7 %, por debajo de nuestro WACC (10,23 %) y del que pide el mercado con la prima implícita (9,3 %). Es exigente: supone mantener el crecimiento de 2023-2025, cuando el volumen ya se ha frenado al 2,6 % y el margen va a la baja. La diferencia con el precio es, sobre todo, de tipos: con el bono polaco al 6,2 % cada punto de crecimiento a largo plazo vale menos que en un laboratorio americano o europeo, que cotizan a WACC del 7-8 %. Con la prima implícita del mercado el valor sube a 138,75 PLN, todavía un 12,7 % por debajo del precio. Un comprador a este precio apuesta por que el crecimiento de dos dígitos dure hasta 2032 o por que bajen los tipos polacos.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salarios sanitarios suben por ley más que el precio que aceptan los grandes clientes y la imagen no rinde: el margen EBITDA se queda 2 puntos por debajo del base (22-22,5 %) y el crecimiento 3 puntos menos (8 % en 2027). Le pasó en 2025: el margen recurrente cayó 1,8 puntos con ventas +24 %.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+13,9 % en 2026 (guía) y crecimiento que baja del 11 % al 6 % en 2032 con precio y volumen a partes casi iguales; margen EBITDA que se recupera del 23,3 % al 24,5 % con la automatización y el fin de los costes de SAP.</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externalización hospitalaria y el B2C mantienen el volumen al 5-6 % y el precio sigue cerca del 8 %: crecimiento 1,5 puntos mayor y margen de vuelta al 25,5 %, como en 2024.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PLN) · precio actual 15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105,03 PLN (-33,9 %).</w:t>
      </w:r>
    </w:p>
    <w:p>
      <w:pPr>
        <w:spacing w:after="100"/>
      </w:pPr>
      <w:r>
        <w:t xml:space="preserve">El DCF de los tres escenarios (63,64, 111,10 y 134,27 PLN) queda por debajo del precio: el bajista pierde un 60 % y el alcista otro 15,6 %; la asimetría es negativa (−0,26). Es la consecuencia de descontar en PLN al 10,23 %: el precio solo se justifica con un crecimiento cercano al de 2023-2025. En cambio, a 12 meses, con el PER de hoy y el BPA de 2028, la asimetría es positiva (2,77): el bajista cae un 20 % y el alcista sube un 66 %. Las dos lecturas no compensan: el riesgo es que el mercado aplique al BPA el múltiplo que justifican los tipos y no el de hoy.</w:t>
      </w:r>
    </w:p>
    <w:p>
      <w:pPr>
        <w:pStyle w:val="Heading1"/>
      </w:pPr>
      <w:r>
        <w:t xml:space="preserve">22. Suma de partes</w:t>
      </w:r>
    </w:p>
    <w:p>
      <w:pPr>
        <w:pStyle w:val="Confianza"/>
        <w:spacing w:after="100"/>
      </w:pPr>
      <w:r>
        <w:t xml:space="preserve">Confianza: Media</w:t>
      </w:r>
    </w:p>
    <w:p>
      <w:pPr>
        <w:spacing w:after="100"/>
      </w:pPr>
      <w:r>
        <w:t xml:space="preserve">No aplica: la empresa publica un solo segmento operativo; la imagen médica (6 % de los ingresos) es demasiado pequeña para cambiar el valor con un múltiplo propio [1, 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PLN) · precio actual 15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119,47 PLN (-24,9 % sobre 159,00).</w:t>
      </w:r>
    </w:p>
    <w:p>
      <w:pPr>
        <w:spacing w:after="100"/>
      </w:pPr>
      <w:r>
        <w:t xml:space="preserve">Pesamos el DCF al 50 %, los escenarios al 30 % y los comparables al 20 %; las transacciones, a 0 (solo dos con múltiplo y ninguna de control). El DCF es el método más fiable para una empresa que crece por encima del 10 % y tiene todo el negocio en Polonia, porque recoge los tipos en PLN. Los comparables dan más (162 PLN por PER y 188 por EV/EBITDA, en el punto medio), pero son laboratorios de EE. UU., Europa y Australia con WACC 2-3 puntos menores: su múltiplo no es trasladable sin ajustar por el riesgo país. La síntesis queda en 119,47 PLN (−24,9 %); con la prima implícita del mercado, 138,75 PLN (−12,7 %). La dispersión entre métodos es grande, y toda en el mismo sentido: el precio de hoy pide comparables, no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+66,5 %</w:t>
            </w:r>
          </w:p>
        </w:tc>
      </w:tr>
    </w:tbl>
    <w:p>
      <w:pPr>
        <w:spacing w:after="160" w:before="0"/>
      </w:pPr>
    </w:p>
    <w:p>
      <w:pPr>
        <w:spacing w:after="100"/>
      </w:pPr>
      <w:r>
        <w:rPr>
          <w:b/>
          <w:bCs/>
        </w:rPr>
        <w:t xml:space="preserve">Objetivo a 12 meses (ponderado):</w:t>
      </w:r>
      <w:r>
        <w:t xml:space="preserve"> 186,14 PLN · rentabilidad +19,8 % (base +16,5 %) · señal Mantener.</w:t>
      </w:r>
    </w:p>
    <w:p>
      <w:pPr>
        <w:spacing w:after="100"/>
      </w:pPr>
      <w:r>
        <w:t xml:space="preserve">Para comparar, con la regla v2 (historia al cierre, mismo precio): 15,0x / 17,7x / 23,0x, 19,8 % Mantener; con el tope anterior del base (×1,3, 14-oct mediodía): 27,6 % Mantener; con la v3 sin el selector (tope ×1,1): 25,5 % Mantener. Decide la v2, elegida por el selector de método (historia adelantada de 1 años: decide la más baja de v3 y v2 (v2); METODO-VIGENTE.md).</w:t>
      </w:r>
    </w:p>
    <w:p>
      <w:pPr>
        <w:keepNext/>
        <w:spacing w:after="100"/>
      </w:pPr>
      <w:r>
        <w:rPr>
          <w:b/>
          <w:bCs/>
        </w:rPr>
        <w:t xml:space="preserve">Frente al consenso (solo contraste).</w:t>
      </w:r>
    </w:p>
    <w:p>
      <w:pPr>
        <w:spacing w:after="100"/>
      </w:pPr>
      <w:r>
        <w:t xml:space="preserve">Nuestro BPA de 2026 (7,59) está un 2,8 % por debajo del consenso de Yahoo (7,81) y el de 2027 (8,98), un 11 % por debajo (10,10) [13]. Las ventas coinciden (2.746 M y 3.048 M frente a 2.744 M y 3.065 M); la diferencia es de margen: el consenso supone que el EBITDA vuelve al 25-26 % en 2027, y nosotros al 24 %, porque el margen ha bajado en 2025 y en el 1S26 y la guía de 2026 es «cercano a 2025». Nuestro precio base a 12 meses (180,89 PLN) queda un 7,9 % por debajo del objetivo medio de los analistas (196,39), que bajó desde 211,6 en mayo.</w:t>
      </w:r>
    </w:p>
    <w:p>
      <w:pPr>
        <w:keepNext/>
        <w:spacing w:after="100"/>
      </w:pPr>
      <w:r>
        <w:rPr>
          <w:b/>
          <w:bCs/>
        </w:rPr>
        <w:t xml:space="preserve">Del valor intrínseco al objetivo a 12 meses.</w:t>
      </w:r>
    </w:p>
    <w:p>
      <w:pPr>
        <w:spacing w:after="100"/>
      </w:pPr>
      <w:r>
        <w:t xml:space="preserve">El objetivo a 12 meses (186,14 PLN ponderado) está un 56 % por encima del valor intrínseco (119,47 PLN). La distancia la explica el múltiplo: la regla aplica el PER de hoy (17,7 veces el BPA de 2027), y el DCF en PLN al 10,23 % solo justifica unas 12 veces. Para cerrarla haría falta una de dos cosas: que bajen los tipos polacos (cada punto de WACC menos sube el DCF en torno a un 15-20 %) o que el crecimiento de dos dígitos dure más de lo que proyectamos. Ninguna tiene fecha. Por eso la tesis no es de compra: la rentabilidad a 12 meses es buena si el mercado mantiene el múltiplo, pero el valor real no la respalda.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margen tras SAP: si el EBITDA recurrente vuelve al 24-25 %, se despeja la principal duda (fecha del calendario oficial [19]; el 3T25 dio un 25 % de margen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2026 frente al «cercano a 2025» de la guía; precio y volumen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anual del salario mínimo sanitario por ley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costes de personal (38 % de las ventas) en el 2S27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del crédito sindicado (540 M + 250 M de líneas)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y margen para compras y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con cargo a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reparto del 50 % (≈ 3,8 PLN) en vez del 59 % indicaría prudencia con la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del NFZ en la financiación de la imagen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y precio de los centros de resonancia y TAC (6 %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vuelve: los salarios sanitarios y los reactivos suben más que el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el escenario bajista del DCF (margen −2 puntos y crecimiento −3)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+10 % anual en laboratorio y automatización de los laboratorios centrales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recurrente por debajo del 23 % en el 3T26 o en 2026 completo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Freno del volumen: fin de programas públicos y base alta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por cada punto menos de crecimiento anual hasta 2032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B2C (37 %) y nuevos contratos hospitalarios (Penta)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pruebas por debajo del +2 %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polacos altos: el WACC en PLN deja el valor intrínseco por debajo del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el valor sube a 138,75 PLN; cada medio punto de WACC mueve el DCF en torno a un 8-10 %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variable WIBOR que baja si bajan los tipos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polaco a 10 años por encima del 6,5 %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del NFZ en imagen y cribados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si la imagen pierde volumen o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imagen es solo el 6 % de las ventas; en laboratorio los precios no los fija el NFZ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los límites o tarifas de resonancia y TAC del NFZ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Refinanciación de septiembre de 2027 y dividendo pagado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de 2,0 veces y flujo operativo de 520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por encima de 2,2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Fundadores con el 64 % de los votos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control frente a comparables; sin efecto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 con el 47 % del capital: sus intereses van con el minoritario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partes vinculadas o ventas grandes de los fundadores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contable: cobros más lentos y ajuste de inventario por SAP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audita; flujo operativo del 94 % del EBITDA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DSO por encima de 72 días</w:t>
            </w:r>
          </w:p>
        </w:tc>
      </w:tr>
    </w:tbl>
    <w:p>
      <w:pPr>
        <w:spacing w:after="160" w:before="0"/>
      </w:pPr>
    </w:p>
    <w:p>
      <w:pPr>
        <w:pStyle w:val="Heading2"/>
      </w:pPr>
      <w:r>
        <w:t xml:space="preserve">Pre-mortem</w:t>
      </w:r>
    </w:p>
    <w:p>
      <w:pPr>
        <w:spacing w:after="100"/>
      </w:pPr>
      <w:r>
        <w:t xml:space="preserve">Octubre de 2029: la acción vale 95 PLN, un 40 % menos. La historia más probable empieza en 2026: el margen del 2T26 no fue de una vez. La ley de salarios mínimos sanitarios subió el coste de personal un 12-15 % cada julio, los grandes clientes B2B (hospitales y redes privadas) negociaron subidas de precio del 4-5 % en vez del 10 %, y la imagen, que se compró para crecer, necesitó equipos nuevos y dio márgenes de un dígito. El margen EBITDA cayó al 21-22 % y el BPA se quedó en 7-8 PLN en 2027-2028 en vez de 9-10. Mientras, el bono polaco siguió por encima del 6 % y el mercado dejó de pagar 20 veces por una empresa que crecía en ventas pero no en beneficio: el PER bajó a 13 veces. En la refinanciación de 2027 los bancos pidieron más margen y el dividendo bajó al 40 %. Los indicadores que lo habrían anticipado: el margen del 3T26 por debajo del 23 %, el precio medio por prueba de laboratorio subiendo menos del 7 % y el coste de personal por encima del 38 % de las ventas.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 −5 % a 3-5 años (dentro del rango de los escenarios del DCF)</w:t>
      </w:r>
    </w:p>
    <w:p>
      <w:pPr>
        <w:spacing w:after="100"/>
      </w:pPr>
      <w:r>
        <w:t xml:space="preserve">La IA no hace la prueba: la extracción, el transporte y el análisis químico o genético siguen siendo físicos, y eso es lo que factura Diagnostyka. Donde sí entra es en la lectura de la imagen (radiólogos), la validación de resultados, la atención al paciente y la administración: la empresa ya usa IA en imagen y en la centralita, y eso puede bajar costes de personal, que son el 38 % de las ventas [4, 10]. La amenaza es indirecta: si la IA abarata la teleradiología, el precio de la lectura de imagen (6 % de las ventas) bajará para todos, y si los médicos de atención primaria piden menos pruebas por apoyo diagnóstico, el volumen crecería menos. En el otro sentido, la IA puede aumentar la demanda de pruebas genéticas y de seguimiento. Señal a vigilar: el precio medio de la imagen y el peso del personal en las ventas.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tres asuntos: (1) personal: 7.635 empleos a tiempo completo y un coste del 38 % de las ventas, con salario mínimo sanitario fijado por ley [4, 10]; (2) calidad y seguridad del paciente y protección de datos médicos (ISO 27001 desde 2016) [9]; (3) energía de los laboratorios y residuos médicos. Publica un informe de sostenibilidad con verificación de EY desde 2024 [9].</w:t>
      </w:r>
    </w:p>
    <w:p>
      <w:pPr>
        <w:pStyle w:val="Heading2"/>
      </w:pPr>
      <w:r>
        <w:t xml:space="preserve">Controversias</w:t>
      </w:r>
    </w:p>
    <w:p>
      <w:pPr>
        <w:spacing w:after="100"/>
      </w:pPr>
      <w:r>
        <w:t xml:space="preserve">No hemos encontrado sanciones ni litigios relevantes en los últimos tres años en los informes de gestión 2025 y 1S26; el único pleito citado es antiguo (PAAN Capital frente a Laboratoria RH+, en quiebra, por la compra de 2016) [9].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aumento de consumos de materiales del 2T26 (+26,5 %) fue ajuste de inventario de una vez y cuánto es estructural?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vuelve al 24-25 % (nuestro base) o se queda en el 22-23 %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subidas de precio han aceptado los grandes clientes B2B para 2027 frente al 10 %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explica dos tercios del crecimiento previsto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impacto tiene la subida del salario mínimo sanitario de julio de 2026 en el coste de personal del 2S26?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 38 %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Imagen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tiene la imagen y qué compras quedan con los cambios del NFZ?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hubo un deterioro de 6,4 M en 2025 y diluye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en qué condiciones se refinanciará el crédito que vence en septiembre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bancaria de 743 M; coste y covenants condicionan dividendo y 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días de cobro pasaron de 63 a 70 en un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ser cambio de mezcla de clientes o problemas de facturación con SAP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¿Volverá el reparto al 50 % del beneficio mientras la deuda neta esté en 2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de 2026 superó el flujo libre tras arrendamientos e intereses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xyz.pl / PAP Biznes (noticia del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un 3,8 % al abrir tras el 2T26, con el beneficio un 10 % por debajo del consenso y el margen en mínimos; recoge el mensaje de la dirección de que el crecimiento orgánico sigue fuerte [18].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Parkiet (prensa económica)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«Diagnostyka decepcionó»: caída del 4 % con mucho volumen, pero el semestre completo se ve mejor que el trimestre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PPCG (blog para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del 2T26 el discurso de los particulares era de compra: dividendo récord, consenso «comprar» y objetivos por encima de 211 PLN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la baja pese al crecimiento de ventas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margen recurrente del 26,1 % en 2024 al 24,3 % en 2025 y 22,6 % en el 2T26; parte es SAP y ajuste de inventario, parte es estructural (imagen y salarios) [18,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del 10 % al año sin perder volumen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hasta ahora: precio MLT +10 % y volumen +2,6 % en el 1S26 [18]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como apoyo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4,40 PLN de 2026 (2,8 %) se pagó en parte con deuda; sostenible al 50 % del beneficio [21]</w:t>
            </w:r>
          </w:p>
        </w:tc>
      </w:tr>
    </w:tbl>
    <w:p>
      <w:pPr>
        <w:spacing w:after="160" w:before="0"/>
      </w:pPr>
    </w:p>
    <w:p>
      <w:pPr>
        <w:spacing w:after="100"/>
      </w:pPr>
      <w:r>
        <w:t xml:space="preserve">No hay euforia ni capitulación: el ánimo de los particulares pasó de entusiasta tras la OPV (la acción duplicó el precio de salida) a escéptico tras dos trimestres de márgenes flojos. El tema que más preocupa, el margen, es el mismo que señala nuestro análisis y está en los riesgos. No añade un riesgo nuevo ni contradice a los analistas, que siguen mayoritariamente en «comprar» con objetivos más bajos. Con tan pocas fuentes de debate abiertas, no pesa en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26 (13 primarias); citas distintas en el texto: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21,6 % frente a un ROIC de 21,3 % y un incremental histórico de 35,8 %: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64,6 % en 2030e frente al 52,0 %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8,0 % real: genera una variación de circulante de 28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Los flujos van en PLN: objetivo de inflación del banco central polaco del 2,5 % más un 1 % real; la tasa libre es del 6,23 %, así que el 3,5 % queda por debajo de la tasa libre menos medio punto, como pide el método.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balance y flujos completos de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Repositorio ESEF de filings.xbrl.org (la entidad no está; LEI 259400TB69IYA2WJEU71); 2) web de inversores (la OPV es de 2025: solo hay cuentas consolidadas públicas desde 2024, con 2023 comparativo; el folleto está tras un aviso legal que no se puede abrir sin navegador); 3) presentación de 2024 y tabla de dividendos del informe semestral (ingresos, EBITDA recurrente, beneficio y dividendo)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ALAB, Synevo Polonia y LUX MED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de Diagnostyka (no da cifras de rivales); 2) Medicover: solo cifras del grupo en Yahoo; 3) prensa polaca (sin cifras de laboratorio)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del mercado polaco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 en el informe de gestión; 2) informe de gestión 1S26;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1S26 (no lo recoge); 2) relación de informes corrientes en la web de inversores (acta de la junta de mayo de 2026 no descargada por tiempo);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semestral: sin cambios en las participaciones de consejeros desde el 1T26; 2) informes corrientes art. 19 MAR en la web (no revisados uno a uno); 3) prensa (sin noticias de ventas tras el fin del bloqueo)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 2028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dos ejercicios); 2) MarketScreener (no abre la página de la empresa); 3) PPCG (solo objetivos y un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Synlab, Cerba, Unilabs y LADR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oferta de Cinven por Synlab (sin múltiplo); 2) prensa alemana (valoración de 2,22 mil millones, sin EBITDA); 3) búsqueda de operaciones europeas de laboratorios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del índice WIG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con WIG20.WA y WIG.WA (Yahoo devuelve una serie plana); 2) ETF WIG20TR (ETFBW20TR.WA, solo semanal para la beta); 3) stooq (bloqueo antibot)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inversores (Bankier, Stockwatch, StrefaInwestorów)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Foro de Bankier (la URL redirige a otra empresa); 2) Stockwatch (404) y StrefaInwestorów (404); 3) búsqueda web de debates (solo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 y EV/EBITDA históricos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(un solo cierre de ejercicio, 2025); 2) precio de la OPV (febrero de 2025, no es cierre de ejercicio); 3) sin cotización antes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Skonsolidowane sprawozdanie finansowe Grupy Diagnostyka za 2025 r. (cuentas consolidadas auditadas, NIIF-UE)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https://grupadiagnostyka.pl/app/uploads/2026/04/SSF_Diagnostyka_2025_ESEF_FV_2_27032026.pdf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Skonsolidowane sprawozdanie finansowe Grupy Diagnostyka za 2024 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https://grupadiagnostyka.pl/app/uploads/2025/04/SSF_Diagnostyka_2024_ESEF_FV_2.pdf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Półroczne skrócone skonsolidowane sprawozdanie finansowe za 1S26 (revisado por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https://grupadiagnostyka.pl/app/uploads/2026/09/SSF-JSF-DIAGNOSTYKA-HY26-sig-sig-sig-sig-sig-sig.pdf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Wyniki finansowe Grupy Diagnostyka za Q2 2026 r. (presentación de resultados, 11-sep-2026)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https://grupadiagnostyka.pl/app/uploads/2026/09/Prezentacja-wynikowa_Q2-2026-Diagnostyka.pdf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Prezentacja wynikowa Q4 2025 (resultados 2025 y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https://grupadiagnostyka.pl/app/uploads/2026/04/Prezentacja-wynikowa_Diagnostyka_Q4-2025.pdf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Wyniki finansowe 2024 (presentación; serie 2021-2024 con y sin COVID)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https://grupadiagnostyka.pl/app/uploads/2025/04/Diagnostyka_wyniki_finansowe_prezentacja_24_04_PL.pdf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https://grupadiagnostyka.pl/app/uploads/2026/05/Diagnostyka-Results-Presentation-Q1-2026.pdf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presentation for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https://grupadiagnostyka.pl/app/uploads/2025/11/Financial-results-presentation-for-Q3-2025-1.pdf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Sprawozdanie Zarządu z działalności Diagnostyka S.A. oraz Grupy Diagnostyka za 2025 rok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https://grupadiagnostyka.pl/app/uploads/2026/05/Sprawozdanie-Zarzadu-Grupy-Diagnostyka-za-rok-2025.pdf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Sprawozdanie Zarządu Grupy Diagnostyka za I półrocze 2026 (informe de gestión semestral)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https://grupadiagnostyka.pl/app/uploads/2026/09/Sprawozdanie-Zarzadu-Grupy-Diagnostyka-H1-2026-sig-sig-sig-sig-sig.pdf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Medicover AB, Sonic Healthcare, Quest Diagnostics, Labcorp, Eurofins, Australian Clinical Labs: datos financieros y estimaciones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https://finance.yahoo.com/quote/MCOV-B.ST/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DIA.WA, WIG20TR (ETFBW20TR.WA), STOXX Europe 600 Health Care (EXV4.DE): históricos diarios y semanales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https://finance.yahoo.com/quote/DIA.WA/history/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(DIA.WA), Quest, Labcorp, Eurofins, Sonic, Australian Clinical Labs, Medicover: estimaciones, recomendaciones y múltiplos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https://finance.yahoo.com/quote/DIA.WA/analysis/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14-oct-2026 (PLN 4,3658; USD 1,1195; AUD 1,5971; SEK 11,158)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Poland, 10 años (IRS.M.PL.L.L40.CI.0000.PLN.N.Z): 6,23 % en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https://data.ecb.europa.eu/data/datasets/IRS/IRS.M.PL.L.L40.CI.0000.PLN.N.Z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(Polonia: A2, prima de riesgo país 1,10 %)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Kurs Diagnostyki mocno w dół po publikacji wyników (PAP Biznes: consenso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xyz.pl / PAP Biznes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https://xyz.pl/?p=248340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Terminy publikacji raportów okresowych Diagnostyka S.A. w 2026 r. (3T26: 26-nov-2026)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https://grupadiagnostyka.pl/raporty-biezace/terminy-publikacji-raportow-okresowych-diagnostyka-s-a-w-2026-r/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Fleury (FLRY3) conclui aquisição de laboratórios por R$ 130 milhões (5,3x EV/EBITDA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https://financenews.com.br/2025/06/fleury-flry3-conclui-aquisicao-de-laboratorios-por-r-130-milhoes/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(DIA) akcje – rekomendacje, prognozy, dywidenda 2026 (6 analistas, objetivo medio 211,6 PLN)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PPCG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https://ppcg.com.pl/diagnostyka-akcje/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rozczarowała, akcje tanieją</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Parkiet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https://www.parkiet.com/medycyna-i-zdrowie/art45128551-diagnostyka-rozczarowala-akcje-tanieja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Group Quarterly Report for 1Q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Diagnostyka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https://grupadiagnostyka.pl/app/uploads/2026/05/Diagnostyka-Group-Quarterly-Report-for-1Q-2026.pdf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Main (Including Benchmark) for Poland (IRLTLT01PLM156N): 5,50 % en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OCDE vía 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https://fred.stlouisfed.org/series/IRLTLT01PLM156N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LEI de Diagnostyka Spółka Akcyjna (259400TB69IYA2WJEU71)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GLEIF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https://api.gleif.org/api/v1/lei-records?filter[entity.legalName]=DIAGNOSTYKA%20SP%C3%93%C5%81KA%20AKCYJNA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laboratorios clínicos (perímetro, tamaño,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sectores/laboratorios-clinicos-2026-10-15.md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86,2 %</w:t>
      </w:r>
      <w:r>
        <w:t xml:space="preserve"> · Secciones con menos del 60 % de campos cubiertos: </w:t>
      </w:r>
      <w:r>
        <w:rPr>
          <w:b/>
          <w:bCs/>
        </w:rPr>
        <w:t xml:space="preserve">ninguna</w:t>
      </w:r>
      <w:r>
        <w:t xml:space="preserve"> · Generado el 15 oct 2026.</w:t>
      </w:r>
    </w:p>
    <w:p>
      <w:pPr>
        <w:pStyle w:val="Nota"/>
        <w:spacing w:after="100"/>
      </w:pPr>
      <w:r>
        <w:t xml:space="preserve">Diagnostyka salió a bolsa en febrero de 2025: solo hay cuentas consolidadas públicas desde 2024 (con 2023 comparativo) y el informe semestral de 2026; no está en el repositorio ESEF de filings.xbrl.org, así que las cuentas se copiaron de los PDF oficiales y no del XBRL (la entidad está registrada con el LEI 259400TB69IYA2WJEU71 [25]); el 1T26 sale del informe trimestral [23]. 2022 lleva solo ingresos, EBITDA recurrente, beneficio y dividendo (presentación de 2024 e informe semestral); 2021 se deja fuera por las pruebas de COVID (716 M PLN de ingresos COVID). El precio es el cierre del 14-oct-2026 en Yahoo (159,00 PLN): la sesión del 15-oct seguía abierta y Yahoo no trae volumen del 5 al 13-oct. Una acción vale unos 36,42 EUR (BCE: 4,3658 PLN/EUR [14]), lejos del 7 % de una cartera de 30.000 EUR. Comparables con datos de Yahoo convertidos a PLN con el BCE del 14-oct. Historia del PER de un solo cierre como cotizada (2025). Foros polacos sin acceso: sentimiento con prensa y blogs.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Diagnostyka S.A. (DIA)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(PLN) · precio actual 159,00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(146,40 – 208,00)</c:v>
                </c:pt>
                <c:pt idx="1">
                  <c:v>Precio objetivo de los analistas (176,00 – 215,00)</c:v>
                </c:pt>
                <c:pt idx="2">
                  <c:v>Comparables: PER NTM (146,66 – 183,93)</c:v>
                </c:pt>
                <c:pt idx="3">
                  <c:v>DCF (WACC y g ± 0,5) (93,39 – 134,93)</c:v>
                </c:pt>
                <c:pt idx="4">
                  <c:v>Escenarios (bajista – alcista) (63,64 – 134,27)</c:v>
                </c:pt>
                <c:pt idx="5">
                  <c:v>DCF con la prima implícita del mercado (4,2 %)</c:v>
                </c:pt>
                <c:pt idx="6">
                  <c:v>Precio actual (159,00)</c:v>
                </c:pt>
              </c:strCache>
            </c:strRef>
          </c:cat>
          <c:val>
            <c:numRef>
              <c:f>Hoja1!$B$2:$B$8</c:f>
              <c:numCache>
                <c:formatCode>#,##0</c:formatCode>
                <c:ptCount val="7"/>
                <c:pt idx="0">
                  <c:v>146.4</c:v>
                </c:pt>
                <c:pt idx="1">
                  <c:v>176</c:v>
                </c:pt>
                <c:pt idx="2">
                  <c:v>146.66</c:v>
                </c:pt>
                <c:pt idx="3">
                  <c:v>93.39</c:v>
                </c:pt>
                <c:pt idx="4">
                  <c:v>63.64</c:v>
                </c:pt>
                <c:pt idx="5">
                  <c:v>121.24</c:v>
                </c:pt>
                <c:pt idx="6">
                  <c:v>158.21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(146,40 – 208,00)</c:v>
                </c:pt>
                <c:pt idx="1">
                  <c:v>Precio objetivo de los analistas (176,00 – 215,00)</c:v>
                </c:pt>
                <c:pt idx="2">
                  <c:v>Comparables: PER NTM (146,66 – 183,93)</c:v>
                </c:pt>
                <c:pt idx="3">
                  <c:v>DCF (WACC y g ± 0,5) (93,39 – 134,93)</c:v>
                </c:pt>
                <c:pt idx="4">
                  <c:v>Escenarios (bajista – alcista) (63,64 – 134,27)</c:v>
                </c:pt>
                <c:pt idx="5">
                  <c:v>DCF con la prima implícita del mercado (4,2 %)</c:v>
                </c:pt>
                <c:pt idx="6">
                  <c:v>Precio actual (159,00)</c:v>
                </c:pt>
              </c:strCache>
            </c:strRef>
          </c:cat>
          <c:val>
            <c:numRef>
              <c:f>Hoja1!$C$2:$C$8</c:f>
              <c:numCache>
                <c:formatCode>#,##0</c:formatCode>
                <c:ptCount val="7"/>
                <c:pt idx="0">
                  <c:v>61.599999999999994</c:v>
                </c:pt>
                <c:pt idx="1">
                  <c:v>39</c:v>
                </c:pt>
                <c:pt idx="2">
                  <c:v>37.27000000000001</c:v>
                </c:pt>
                <c:pt idx="3">
                  <c:v>41.540000000000006</c:v>
                </c:pt>
                <c:pt idx="4">
                  <c:v>70.63000000000001</c:v>
                </c:pt>
                <c:pt idx="5">
                  <c:v>31.67</c:v>
                </c:pt>
                <c:pt idx="6">
                  <c:v>1.579999999999984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(PLN, millones)</a:t>
            </a:r>
          </a:p>
        </c:rich>
      </c:tx>
      <c:overlay val="0"/>
    </c:title>
    <c:autoTitleDeleted val="0"/>
    <c:plotArea>
      <c:layout/>
      <c:barChart>
        <c:barDir val="col"/>
        <c:grouping val="stacked"/>
        <c:varyColors val="0"/>
        <c:ser>
          <c:idx val="0"/>
          <c:order val="0"/>
          <c:tx>
            <c:strRef>
              <c:f>Hoja1!$B$1</c:f>
              <c:strCache>
                <c:ptCount val="1"/>
                <c:pt idx="0">
                  <c:v>Clientes institucionales (B2B)</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1174.6</c:v>
                </c:pt>
                <c:pt idx="1">
                  <c:v>1504.4</c:v>
                </c:pt>
              </c:numCache>
            </c:numRef>
          </c:val>
        </c:ser>
        <c:ser>
          <c:idx val="1"/>
          <c:order val="1"/>
          <c:tx>
            <c:strRef>
              <c:f>Hoja1!$C$1</c:f>
              <c:strCache>
                <c:ptCount val="1"/>
                <c:pt idx="0">
                  <c:v>Clientes particulares (B2C)</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766.6</c:v>
                </c:pt>
                <c:pt idx="1">
                  <c:v>900.1</c:v>
                </c:pt>
              </c:numCache>
            </c:numRef>
          </c:val>
        </c:ser>
        <c:ser>
          <c:idx val="2"/>
          <c:order val="2"/>
          <c:tx>
            <c:strRef>
              <c:f>Hoja1!$D$1</c:f>
              <c:strCache>
                <c:ptCount val="1"/>
                <c:pt idx="0">
                  <c:v>Venta de mercancías (reactivos)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9</c:v>
                </c:pt>
                <c:pt idx="1">
                  <c:v>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Clientes institucionales (B2B)</c:v>
                </c:pt>
                <c:pt idx="1">
                  <c:v>Clientes particulares (B2C)</c:v>
                </c:pt>
                <c:pt idx="2">
                  <c:v>Venta de mercancías (reactivos)</c:v>
                </c:pt>
              </c:strCache>
            </c:strRef>
          </c:cat>
          <c:val>
            <c:numRef>
              <c:f>Hoja1!$B$2:$B$4</c:f>
              <c:numCache>
                <c:formatCode>General</c:formatCode>
                <c:ptCount val="3"/>
                <c:pt idx="0">
                  <c:v>62.4</c:v>
                </c:pt>
                <c:pt idx="1">
                  <c:v>37.3</c:v>
                </c:pt>
                <c:pt idx="2">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Polonia</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2022</c:v>
                </c:pt>
                <c:pt idx="2">
                  <c:v>2023</c:v>
                </c:pt>
                <c:pt idx="3">
                  <c:v>2025e</c:v>
                </c:pt>
                <c:pt idx="4">
                  <c:v>2027e</c:v>
                </c:pt>
                <c:pt idx="5">
                  <c:v>2030e</c:v>
                </c:pt>
              </c:strCache>
            </c:strRef>
          </c:cat>
          <c:val>
            <c:numRef>
              <c:f>Hoja1!$B$2:$B$7</c:f>
              <c:numCache>
                <c:formatCode>#,##0</c:formatCode>
                <c:ptCount val="6"/>
                <c:pt idx="0">
                  <c:v>0.6</c:v>
                </c:pt>
                <c:pt idx="1">
                  <c:v>0.7</c:v>
                </c:pt>
                <c:pt idx="2">
                  <c:v>0.7</c:v>
                </c:pt>
                <c:pt idx="3">
                  <c:v>0.9</c:v>
                </c:pt>
                <c:pt idx="4">
                  <c:v>1.1</c:v>
                </c:pt>
                <c:pt idx="5">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Diagnostyka</c:v>
                </c:pt>
                <c:pt idx="1">
                  <c:v>Synevo (Medicover Diagnostic Services)</c:v>
                </c:pt>
                <c:pt idx="2">
                  <c:v>ALAB laboratoria</c:v>
                </c:pt>
                <c:pt idx="3">
                  <c:v>LUX MED (Bupa)</c:v>
                </c:pt>
                <c:pt idx="4">
                  <c:v>Laboratorios de hospitales públicos</c:v>
                </c:pt>
                <c:pt idx="5">
                  <c:v>Sonic Healthcare (referencia internacional)</c:v>
                </c:pt>
                <c:pt idx="6">
                  <c:v>Eurofins (referencia internacional)</c:v>
                </c:pt>
              </c:strCache>
            </c:strRef>
          </c:cat>
          <c:val>
            <c:numRef>
              <c:f>Hoja1!$B$2:$B$8</c:f>
              <c:numCache>
                <c:formatCode>0.0"%"</c:formatCode>
                <c:ptCount val="7"/>
                <c:pt idx="0">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(PLN,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2022</c:v>
                </c:pt>
                <c:pt idx="1">
                  <c:v>2023</c:v>
                </c:pt>
                <c:pt idx="2">
                  <c:v>2024</c:v>
                </c:pt>
                <c:pt idx="3">
                  <c:v>2025</c:v>
                </c:pt>
                <c:pt idx="4">
                  <c:v>2026e</c:v>
                </c:pt>
                <c:pt idx="5">
                  <c:v>2027e</c:v>
                </c:pt>
                <c:pt idx="6">
                  <c:v>2028e</c:v>
                </c:pt>
                <c:pt idx="7">
                  <c:v>2029e</c:v>
                </c:pt>
                <c:pt idx="8">
                  <c:v>2030e</c:v>
                </c:pt>
                <c:pt idx="9">
                  <c:v>2031e</c:v>
                </c:pt>
                <c:pt idx="10">
                  <c:v>2032e</c:v>
                </c:pt>
              </c:strCache>
            </c:strRef>
          </c:cat>
          <c:val>
            <c:numRef>
              <c:f>Hoja1!$B$2:$B$12</c:f>
              <c:numCache>
                <c:formatCode>#,##0</c:formatCode>
                <c:ptCount val="11"/>
                <c:pt idx="0">
                  <c:v>1436</c:v>
                </c:pt>
                <c:pt idx="1">
                  <c:v>1588</c:v>
                </c:pt>
                <c:pt idx="2">
                  <c:v>1950.1</c:v>
                </c:pt>
                <c:pt idx="3">
                  <c:v>2410.5</c:v>
                </c:pt>
                <c:pt idx="4">
                  <c:v>2746</c:v>
                </c:pt>
                <c:pt idx="5">
                  <c:v>3048</c:v>
                </c:pt>
                <c:pt idx="6">
                  <c:v>3352</c:v>
                </c:pt>
                <c:pt idx="7">
                  <c:v>3654</c:v>
                </c:pt>
                <c:pt idx="8">
                  <c:v>3946</c:v>
                </c:pt>
                <c:pt idx="9">
                  <c:v>4223</c:v>
                </c:pt>
                <c:pt idx="10">
                  <c:v>4476</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2022</c:v>
                </c:pt>
                <c:pt idx="1">
                  <c:v>2023</c:v>
                </c:pt>
                <c:pt idx="2">
                  <c:v>2024</c:v>
                </c:pt>
                <c:pt idx="3">
                  <c:v>2025</c:v>
                </c:pt>
                <c:pt idx="4">
                  <c:v>2026e</c:v>
                </c:pt>
                <c:pt idx="5">
                  <c:v>2027e</c:v>
                </c:pt>
                <c:pt idx="6">
                  <c:v>2028e</c:v>
                </c:pt>
                <c:pt idx="7">
                  <c:v>2029e</c:v>
                </c:pt>
                <c:pt idx="8">
                  <c:v>2030e</c:v>
                </c:pt>
                <c:pt idx="9">
                  <c:v>2031e</c:v>
                </c:pt>
                <c:pt idx="10">
                  <c:v>2032e</c:v>
                </c:pt>
              </c:strCache>
            </c:strRef>
          </c:cat>
          <c:val>
            <c:numRef>
              <c:f>Hoja1!$C$2:$C$12</c:f>
              <c:numCache>
                <c:formatCode>#,##0</c:formatCode>
                <c:ptCount val="11"/>
                <c:pt idx="0">
                  <c:v>373.1</c:v>
                </c:pt>
                <c:pt idx="1">
                  <c:v>381.5</c:v>
                </c:pt>
                <c:pt idx="2">
                  <c:v>499.5</c:v>
                </c:pt>
                <c:pt idx="3">
                  <c:v>584.5</c:v>
                </c:pt>
                <c:pt idx="4">
                  <c:v>640</c:v>
                </c:pt>
                <c:pt idx="5">
                  <c:v>731</c:v>
                </c:pt>
                <c:pt idx="6">
                  <c:v>815</c:v>
                </c:pt>
                <c:pt idx="7">
                  <c:v>895</c:v>
                </c:pt>
                <c:pt idx="8">
                  <c:v>967</c:v>
                </c:pt>
                <c:pt idx="9">
                  <c:v>1035</c:v>
                </c:pt>
                <c:pt idx="10">
                  <c:v>1097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1">
                  <c:v>77.3</c:v>
                </c:pt>
                <c:pt idx="2">
                  <c:v>78.5</c:v>
                </c:pt>
                <c:pt idx="3">
                  <c:v>79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26</c:v>
                </c:pt>
                <c:pt idx="1">
                  <c:v>24</c:v>
                </c:pt>
                <c:pt idx="2">
                  <c:v>25.6</c:v>
                </c:pt>
                <c:pt idx="3">
                  <c:v>24.2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1">
                  <c:v>14.8</c:v>
                </c:pt>
                <c:pt idx="2">
                  <c:v>17.3</c:v>
                </c:pt>
                <c:pt idx="3">
                  <c:v>15.9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Hoja1!$A$2:$A$5</c:f>
              <c:strCache>
                <c:ptCount val="4"/>
                <c:pt idx="0">
                  <c:v>2022</c:v>
                </c:pt>
                <c:pt idx="1">
                  <c:v>2023</c:v>
                </c:pt>
                <c:pt idx="2">
                  <c:v>2024</c:v>
                </c:pt>
                <c:pt idx="3">
                  <c:v>2025</c:v>
                </c:pt>
              </c:strCache>
            </c:strRef>
          </c:cat>
          <c:val>
            <c:numRef>
              <c:f>Hoja1!$E$2:$E$5</c:f>
              <c:numCache>
                <c:formatCode>0"%"</c:formatCode>
                <c:ptCount val="4"/>
                <c:pt idx="0">
                  <c:v>11.7</c:v>
                </c:pt>
                <c:pt idx="1">
                  <c:v>7.8</c:v>
                </c:pt>
                <c:pt idx="2">
                  <c:v>11.5</c:v>
                </c:pt>
                <c:pt idx="3">
                  <c:v>10.4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23.1</c:v>
                </c:pt>
                <c:pt idx="3">
                  <c:v>22.4</c:v>
                </c:pt>
                <c:pt idx="4">
                  <c:v>26.6</c:v>
                </c:pt>
                <c:pt idx="5">
                  <c:v>22.4</c:v>
                </c:pt>
                <c:pt idx="6">
                  <c:v>13.4</c:v>
                </c:pt>
                <c:pt idx="7">
                  <c:v>16.1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19.9</c:v>
                </c:pt>
                <c:pt idx="6">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2023</c:v>
                </c:pt>
                <c:pt idx="1">
                  <c:v>2024</c:v>
                </c:pt>
                <c:pt idx="2">
                  <c:v>2025</c:v>
                </c:pt>
              </c:strCache>
            </c:strRef>
          </c:cat>
          <c:val>
            <c:numRef>
              <c:f>Hoja1!$B$2:$B$4</c:f>
              <c:numCache>
                <c:formatCode>0</c:formatCode>
                <c:ptCount val="3"/>
                <c:pt idx="0">
                  <c:v>36</c:v>
                </c:pt>
                <c:pt idx="1">
                  <c:v>42</c:v>
                </c:pt>
                <c:pt idx="2">
                  <c:v>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2023</c:v>
                </c:pt>
                <c:pt idx="1">
                  <c:v>2024</c:v>
                </c:pt>
                <c:pt idx="2">
                  <c:v>2025</c:v>
                </c:pt>
              </c:strCache>
            </c:strRef>
          </c:cat>
          <c:val>
            <c:numRef>
              <c:f>Hoja1!$C$2:$C$4</c:f>
              <c:numCache>
                <c:formatCode>0</c:formatCode>
                <c:ptCount val="3"/>
                <c:pt idx="0">
                  <c:v>12</c:v>
                </c:pt>
                <c:pt idx="1">
                  <c:v>11</c:v>
                </c:pt>
                <c:pt idx="2">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2023</c:v>
                </c:pt>
                <c:pt idx="1">
                  <c:v>2024</c:v>
                </c:pt>
                <c:pt idx="2">
                  <c:v>2025</c:v>
                </c:pt>
              </c:strCache>
            </c:strRef>
          </c:cat>
          <c:val>
            <c:numRef>
              <c:f>Hoja1!$D$2:$D$4</c:f>
              <c:numCache>
                <c:formatCode>0</c:formatCode>
                <c:ptCount val="3"/>
                <c:pt idx="0">
                  <c:v>24</c:v>
                </c:pt>
                <c:pt idx="1">
                  <c:v>25</c:v>
                </c:pt>
                <c:pt idx="2">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(PLN,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98.49999999999999</c:v>
                </c:pt>
                <c:pt idx="1">
                  <c:v>110.49999999999999</c:v>
                </c:pt>
                <c:pt idx="2">
                  <c:v>150.49999999999994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123.4</c:v>
                </c:pt>
                <c:pt idx="1">
                  <c:v>223.3</c:v>
                </c:pt>
                <c:pt idx="2">
                  <c:v>251.6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1">
                  <c:v>16.1</c:v>
                </c:pt>
                <c:pt idx="2">
                  <c:v>21.9</c:v>
                </c:pt>
                <c:pt idx="3">
                  <c:v>21.3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10.2</c:v>
                </c:pt>
                <c:pt idx="1">
                  <c:v>10.2</c:v>
                </c:pt>
                <c:pt idx="2">
                  <c:v>10.2</c:v>
                </c:pt>
                <c:pt idx="3">
                  <c:v>10.2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1">
                  <c:v>38</c:v>
                </c:pt>
                <c:pt idx="2">
                  <c:v>60.1</c:v>
                </c:pt>
                <c:pt idx="3">
                  <c:v>53.1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0.0"x"</c:formatCode>
                <c:ptCount val="3"/>
                <c:pt idx="0">
                  <c:v>1.98</c:v>
                </c:pt>
                <c:pt idx="1">
                  <c:v>1.86</c:v>
                </c:pt>
                <c:pt idx="2">
                  <c:v>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(PLN,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6</c:v>
                </c:pt>
                <c:pt idx="1">
                  <c:v>543</c:v>
                </c:pt>
                <c:pt idx="2">
                  <c:v>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(PLN,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93.4</c:v>
                </c:pt>
                <c:pt idx="1">
                  <c:v>102.2</c:v>
                </c:pt>
                <c:pt idx="2">
                  <c:v>82.3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112.1</c:v>
                </c:pt>
                <c:pt idx="1">
                  <c:v>105.7</c:v>
                </c:pt>
                <c:pt idx="2">
                  <c:v>111.7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1</c:v>
                </c:pt>
                <c:pt idx="1">
                  <c:v>4</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Grzegorz Głownia (directamente y vía ACER Capital Partners)</c:v>
                </c:pt>
                <c:pt idx="1">
                  <c:v>Jacek Prusek (directamente y vía ACACIA Capital Partners)</c:v>
                </c:pt>
                <c:pt idx="2">
                  <c:v>Jakub Swadźba (CEO)</c:v>
                </c:pt>
                <c:pt idx="3">
                  <c:v>Marcin Fryda</c:v>
                </c:pt>
                <c:pt idx="4">
                  <c:v>Resto (flotante)</c:v>
                </c:pt>
              </c:strCache>
            </c:strRef>
          </c:cat>
          <c:val>
            <c:numRef>
              <c:f>Hoja1!$B$2:$B$6</c:f>
              <c:numCache>
                <c:formatCode>0.0"%"</c:formatCode>
                <c:ptCount val="5"/>
                <c:pt idx="0">
                  <c:v>18.88</c:v>
                </c:pt>
                <c:pt idx="1">
                  <c:v>18.88</c:v>
                </c:pt>
                <c:pt idx="2">
                  <c:v>9.44</c:v>
                </c:pt>
                <c:pt idx="3">
                  <c:v>4.21</c:v>
                </c:pt>
                <c:pt idx="4">
                  <c:v>48.59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Diagnostyka</c:v>
                </c:pt>
                <c:pt idx="1">
                  <c:v>Quest Diagnostics</c:v>
                </c:pt>
                <c:pt idx="2">
                  <c:v>Labcorp</c:v>
                </c:pt>
                <c:pt idx="3">
                  <c:v>Eurofins Scientific</c:v>
                </c:pt>
                <c:pt idx="4">
                  <c:v>Sonic Healthcare</c:v>
                </c:pt>
                <c:pt idx="5">
                  <c:v>Medicover (Synevo)</c:v>
                </c:pt>
                <c:pt idx="6">
                  <c:v>Australian Clinical Labs</c:v>
                </c:pt>
              </c:strCache>
            </c:strRef>
          </c:cat>
          <c:val>
            <c:numRef>
              <c:f>Hoja1!$B$2:$B$8</c:f>
              <c:numCache>
                <c:formatCode>0.0"x"</c:formatCode>
                <c:ptCount val="7"/>
                <c:pt idx="1">
                  <c:v>13.3</c:v>
                </c:pt>
                <c:pt idx="2">
                  <c:v>13.3</c:v>
                </c:pt>
                <c:pt idx="3">
                  <c:v>10.7</c:v>
                </c:pt>
                <c:pt idx="4">
                  <c:v>10.2</c:v>
                </c:pt>
                <c:pt idx="5">
                  <c:v>16.4</c:v>
                </c:pt>
                <c:pt idx="6">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Quest Diagnostics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4.6</c:v>
                </c:pt>
              </c:numCache>
            </c:numRef>
          </c:xVal>
          <c:yVal>
            <c:numRef>
              <c:f>Hoja1!$C$2</c:f>
              <c:numCache>
                <c:formatCode>0.0"x"</c:formatCode>
                <c:ptCount val="1"/>
                <c:pt idx="0">
                  <c:v>13.3</c:v>
                </c:pt>
              </c:numCache>
            </c:numRef>
          </c:yVal>
          <c:smooth val="0"/>
        </c:ser>
        <c:ser>
          <c:idx val="1"/>
          <c:order val="1"/>
          <c:tx>
            <c:strRef>
              <c:f>Hoja1!$A$3</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4.8</c:v>
                </c:pt>
              </c:numCache>
            </c:numRef>
          </c:xVal>
          <c:yVal>
            <c:numRef>
              <c:f>Hoja1!$C$3</c:f>
              <c:numCache>
                <c:formatCode>0.0"x"</c:formatCode>
                <c:ptCount val="1"/>
                <c:pt idx="0">
                  <c:v>13.3</c:v>
                </c:pt>
              </c:numCache>
            </c:numRef>
          </c:yVal>
          <c:smooth val="0"/>
        </c:ser>
        <c:ser>
          <c:idx val="2"/>
          <c:order val="2"/>
          <c:tx>
            <c:strRef>
              <c:f>Hoja1!$A$4</c:f>
              <c:strCache>
                <c:ptCount val="1"/>
                <c:pt idx="0">
                  <c:v>Eurofins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10.7</c:v>
                </c:pt>
              </c:numCache>
            </c:numRef>
          </c:yVal>
          <c:smooth val="0"/>
        </c:ser>
        <c:ser>
          <c:idx val="3"/>
          <c:order val="3"/>
          <c:tx>
            <c:strRef>
              <c:f>Hoja1!$A$5</c:f>
              <c:strCache>
                <c:ptCount val="1"/>
                <c:pt idx="0">
                  <c:v>Sonic Healthcare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4.1</c:v>
                </c:pt>
              </c:numCache>
            </c:numRef>
          </c:xVal>
          <c:yVal>
            <c:numRef>
              <c:f>Hoja1!$C$5</c:f>
              <c:numCache>
                <c:formatCode>0.0"x"</c:formatCode>
                <c:ptCount val="1"/>
                <c:pt idx="0">
                  <c:v>10.2</c:v>
                </c:pt>
              </c:numCache>
            </c:numRef>
          </c:yVal>
          <c:smooth val="0"/>
        </c:ser>
        <c:ser>
          <c:idx val="4"/>
          <c:order val="4"/>
          <c:tx>
            <c:strRef>
              <c:f>Hoja1!$A$6</c:f>
              <c:strCache>
                <c:ptCount val="1"/>
                <c:pt idx="0">
                  <c:v>Medicover (Synevo)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8.4</c:v>
                </c:pt>
              </c:numCache>
            </c:numRef>
          </c:xVal>
          <c:yVal>
            <c:numRef>
              <c:f>Hoja1!$C$6</c:f>
              <c:numCache>
                <c:formatCode>0.0"x"</c:formatCode>
                <c:ptCount val="1"/>
                <c:pt idx="0">
                  <c:v>16.4</c:v>
                </c:pt>
              </c:numCache>
            </c:numRef>
          </c:yVal>
          <c:smooth val="0"/>
        </c:ser>
        <c:ser>
          <c:idx val="5"/>
          <c:order val="5"/>
          <c:tx>
            <c:strRef>
              <c:f>Hoja1!$A$7</c:f>
              <c:strCache>
                <c:ptCount val="1"/>
                <c:pt idx="0">
                  <c:v>Australian Clinical Labs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c:v>
                </c:pt>
              </c:numCache>
            </c:numRef>
          </c:xVal>
          <c:yVal>
            <c:numRef>
              <c:f>Hoja1!$C$7</c:f>
              <c:numCache>
                <c:formatCode>0.0"x"</c:formatCode>
                <c:ptCount val="1"/>
                <c:pt idx="0">
                  <c:v>9.9</c:v>
                </c:pt>
              </c:numCache>
            </c:numRef>
          </c:yVal>
          <c:smooth val="0"/>
        </c:ser>
        <c:axId val="10"/>
        <c:axId val="20"/>
      </c:scatterChart>
      <c:valAx>
        <c:axId val="10"/>
        <c:scaling>
          <c:orientation val="minMax"/>
          <c:max val="10"/>
          <c:min val="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Diagnostyka (OPV: venta del 100 % de Mid Europa)</c:v>
                </c:pt>
                <c:pt idx="1">
                  <c:v>Laboratorios en Campinas (Brasil)</c:v>
                </c:pt>
                <c:pt idx="2">
                  <c:v>Synlab (exclusión de bolsa)</c:v>
                </c:pt>
              </c:strCache>
            </c:strRef>
          </c:cat>
          <c:val>
            <c:numRef>
              <c:f>Hoja1!$B$2:$B$4</c:f>
              <c:numCache>
                <c:formatCode>0.0"x"</c:formatCode>
                <c:ptCount val="3"/>
                <c:pt idx="0">
                  <c:v>9</c:v>
                </c:pt>
                <c:pt idx="1">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(PLN,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129</c:v>
                </c:pt>
                <c:pt idx="1">
                  <c:v>197</c:v>
                </c:pt>
                <c:pt idx="2">
                  <c:v>244</c:v>
                </c:pt>
                <c:pt idx="3">
                  <c:v>293</c:v>
                </c:pt>
                <c:pt idx="4">
                  <c:v>339</c:v>
                </c:pt>
                <c:pt idx="5">
                  <c:v>388</c:v>
                </c:pt>
                <c:pt idx="6">
                  <c:v>436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(PLN,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1373</c:v>
                </c:pt>
                <c:pt idx="1">
                  <c:v>3663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(PLN) · precio actual 159,00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63.64</c:v>
                </c:pt>
                <c:pt idx="1">
                  <c:v>111.1</c:v>
                </c:pt>
                <c:pt idx="2">
                  <c:v>134.27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(PLN) · precio actual 159,00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(146,40 – 208,00)</c:v>
                </c:pt>
                <c:pt idx="1">
                  <c:v>Precio objetivo de los analistas (176,00 – 215,00)</c:v>
                </c:pt>
                <c:pt idx="2">
                  <c:v>Comparables: PER NTM (146,66 – 183,93)</c:v>
                </c:pt>
                <c:pt idx="3">
                  <c:v>DCF (WACC y g ± 0,5) (93,39 – 134,93)</c:v>
                </c:pt>
                <c:pt idx="4">
                  <c:v>Escenarios (bajista – alcista) (63,64 – 134,27)</c:v>
                </c:pt>
                <c:pt idx="5">
                  <c:v>DCF con la prima implícita del mercado (4,2 %)</c:v>
                </c:pt>
                <c:pt idx="6">
                  <c:v>Precio actual (159,00)</c:v>
                </c:pt>
              </c:strCache>
            </c:strRef>
          </c:cat>
          <c:val>
            <c:numRef>
              <c:f>Hoja1!$B$2:$B$8</c:f>
              <c:numCache>
                <c:formatCode>#,##0</c:formatCode>
                <c:ptCount val="7"/>
                <c:pt idx="0">
                  <c:v>146.4</c:v>
                </c:pt>
                <c:pt idx="1">
                  <c:v>176</c:v>
                </c:pt>
                <c:pt idx="2">
                  <c:v>146.66</c:v>
                </c:pt>
                <c:pt idx="3">
                  <c:v>93.39</c:v>
                </c:pt>
                <c:pt idx="4">
                  <c:v>63.64</c:v>
                </c:pt>
                <c:pt idx="5">
                  <c:v>121.24</c:v>
                </c:pt>
                <c:pt idx="6">
                  <c:v>158.21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(146,40 – 208,00)</c:v>
                </c:pt>
                <c:pt idx="1">
                  <c:v>Precio objetivo de los analistas (176,00 – 215,00)</c:v>
                </c:pt>
                <c:pt idx="2">
                  <c:v>Comparables: PER NTM (146,66 – 183,93)</c:v>
                </c:pt>
                <c:pt idx="3">
                  <c:v>DCF (WACC y g ± 0,5) (93,39 – 134,93)</c:v>
                </c:pt>
                <c:pt idx="4">
                  <c:v>Escenarios (bajista – alcista) (63,64 – 134,27)</c:v>
                </c:pt>
                <c:pt idx="5">
                  <c:v>DCF con la prima implícita del mercado (4,2 %)</c:v>
                </c:pt>
                <c:pt idx="6">
                  <c:v>Precio actual (159,00)</c:v>
                </c:pt>
              </c:strCache>
            </c:strRef>
          </c:cat>
          <c:val>
            <c:numRef>
              <c:f>Hoja1!$C$2:$C$8</c:f>
              <c:numCache>
                <c:formatCode>#,##0</c:formatCode>
                <c:ptCount val="7"/>
                <c:pt idx="0">
                  <c:v>61.599999999999994</c:v>
                </c:pt>
                <c:pt idx="1">
                  <c:v>39</c:v>
                </c:pt>
                <c:pt idx="2">
                  <c:v>37.27000000000001</c:v>
                </c:pt>
                <c:pt idx="3">
                  <c:v>41.540000000000006</c:v>
                </c:pt>
                <c:pt idx="4">
                  <c:v>70.63000000000001</c:v>
                </c:pt>
                <c:pt idx="5">
                  <c:v>31.67</c:v>
                </c:pt>
                <c:pt idx="6">
                  <c:v>1.579999999999984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