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Waste Connections, Inc.</w:t>
      </w:r>
    </w:p>
    <w:p>
      <w:pPr>
        <w:spacing w:after="60"/>
        <w:rPr>
          <w:color w:val="52514E"/>
          <w:sz w:val="22"/>
          <w:szCs w:val="22"/>
        </w:rPr>
      </w:pPr>
      <w:r>
        <w:rPr>
          <w:color w:val="52514E"/>
          <w:sz w:val="22"/>
          <w:szCs w:val="22"/>
        </w:rPr>
        <w:t xml:space="preserve">WCN · NYSE (también TSX) · ISIN CA94106B1013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26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186,60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193,05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+4,2 % (base +9,8 %)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130,95 USD · mercado 151,44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46.669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17,2x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2,9x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Waste Connections,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WCN / CA94106B1013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 (también TSX)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Servicios medioambientales y de instalaciones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Woodbridge (Ontario, Canadá) y The Woodlands (Texas, EE. UU.) · 1997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https://www.wasteconnections.com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186,60 (23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146,89 – 187,27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46.669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56.190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239 M USD/día en NYSE (1,46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feb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193,05 USD</w:t>
      </w:r>
      <w:r>
        <w:t xml:space="preserve"> frente a 186,60 · Rentabilidad a 12 meses </w:t>
      </w:r>
      <w:r>
        <w:rPr>
          <w:b/>
          <w:bCs/>
        </w:rPr>
        <w:t xml:space="preserve">+4,2 % (base +9,8 %)</w:t>
      </w:r>
      <w:r>
        <w:t xml:space="preserve"> · Valor intrínseco 130,95 USD · con la prima implícita del mercado: 151,44 (-18,8 %) · Alcista / bajista -28,3 % / -59,6 %</w:t>
      </w:r>
    </w:p>
    <w:p>
      <w:pPr>
        <w:spacing w:after="100"/>
      </w:pPr>
      <w:r>
        <w:rPr>
          <w:b/>
        </w:rPr>
        <w:t xml:space="preserve">La recomendación y por qué.</w:t>
      </w:r>
      <w:r>
        <w:t xml:space="preserve"> Mantener con convicción media. El objetivo a 12 meses es de 193,05 USD (rentabilidad ponderada del 4,2 % y del 9,8 % en el base) y el valor intrínseco de 130,95 USD, un 29,8 % bajo el precio de 186,60 USD (cierre del 23-oct); no pasa ninguno de los dos umbrales de compra. El objetivo medio de los analistas (206,32 USD) cae en nuestro rango (144-221). En una frase: el 3T26 sube nuestro BPA de 2028 un 4 %, pero la acción ha subido un 21 % y ya cotiza a su PER histórico con el bono al 5 %. La convicción es media porque las dos reglas coinciden lejos de sus umbrales; bajaría a Vender si el precio supera 216,06 USD y subiría a Comprar por debajo de 130,95.</w:t>
      </w:r>
    </w:p>
    <w:p>
      <w:pPr>
        <w:spacing w:after="100"/>
      </w:pPr>
      <w:r>
        <w:rPr>
          <w:b/>
        </w:rPr>
        <w:t xml:space="preserve">Qué ha cambiado desde el 14-oct.</w:t>
      </w:r>
      <w:r>
        <w:t xml:space="preserve"> El precio pasó de 153,67 a 186,60 USD (+21,4 %): resultados mejores de lo esperado (+9,9 % el 22-oct), rebote del sector y bono a 10 años del 5,24 % al 5,00 % [24, 30]. La guía de 2026 sube por segunda vez (≈3.345 M de EBITDA ajustado) y la dirección adelanta un 2027 de crecimiento de un dígito medio-alto [11, 13]. Nuestro BPA ajustado de 2028 pasa de 6,29 a 6,52 USD; el PER base, de 28,7 a 31,2 veces porque el actual ya es 30,9; el valor intrínseco, de 121,36 a 130,95 USD por la tasa libre y una beta calculada con la deuda de WCN (0,60). La rentabilidad a 12 meses cae del 15,3 % al 4,2 %: el precio se ha adelantado.</w:t>
      </w:r>
    </w:p>
    <w:p>
      <w:pPr>
        <w:spacing w:after="100"/>
      </w:pPr>
      <w:r>
        <w:rPr>
          <w:b/>
        </w:rPr>
        <w:t xml:space="preserve">El negocio.</w:t>
      </w:r>
      <w:r>
        <w:t xml:space="preserve"> Recogida y vertederos en mercados exclusivos o con un solo operador integrado, con el margen EBITDA ajustado más alto del sector (34,0 % en el 3T26 frente al 30,3 % de WM y el 31,1 % de Republic) [11, 28]. El foso es amplio (permisos de vertedero), pero el ROIC es del 8,4 % frente a un WACC del 7,52 %: 0,9 puntos, porque la mitad del capital es fondo de comercio de compras. Sostenibilidad del crecimiento: </w:t>
      </w:r>
      <w:r>
        <w:rPr>
          <w:b/>
        </w:rPr>
        <w:t xml:space="preserve">Sí</w:t>
      </w:r>
      <w:r>
        <w:t xml:space="preserve">: el 4,7 % proyectado es casi todo precio, que sube por encima de la inflación desde hace 25 años.</w:t>
      </w:r>
    </w:p>
    <w:p>
      <w:pPr>
        <w:spacing w:after="100"/>
      </w:pPr>
      <w:r>
        <w:rPr>
          <w:b/>
        </w:rPr>
        <w:t xml:space="preserve">Finanzas.</w:t>
      </w:r>
      <w:r>
        <w:t xml:space="preserve"> Ingresos +9,4 % anual desde 2017, la mitad por compras; caja libre ajustada de 1.090 M en 9M26 (guía 1.400-1.450 M) [11]. Deuda neta de 2,9 veces el EBITDA y más de 1.000 M recomprados en 2026. Los deterioros de vertederos se repiten (140 M en 9M26): los restamos del margen del DCF.</w:t>
      </w:r>
    </w:p>
    <w:p>
      <w:pPr>
        <w:spacing w:after="100"/>
      </w:pPr>
      <w:r>
        <w:rPr>
          <w:b/>
        </w:rPr>
        <w:t xml:space="preserve">Equipo y gobierno.</w:t>
      </w:r>
      <w:r>
        <w:t xml:space="preserve"> Suma: presidente independiente, variable ligado a caja por acción y ROIC, guía elevada dos veces en 2026 y compra de 7,6 M USD del consejero delegado a 152 USD [11, 20, 22]. Resta la sucesión del fundador.</w:t>
      </w:r>
    </w:p>
    <w:p>
      <w:pPr>
        <w:spacing w:after="100"/>
      </w:pPr>
      <w:r>
        <w:rPr>
          <w:b/>
        </w:rPr>
        <w:t xml:space="preserve">Valoración.</w:t>
      </w:r>
      <w:r>
        <w:t xml:space="preserve"> El DCF da 119,77 USD; el precio descuenta un 11,3 % de crecimiento anual (nuestro base: 4,4 %) o una rentabilidad del 6,2 %, por debajo del WACC del 7,5 % y del 6,9 % que pide el mercado; con su prima, el valor objetivo es de 151,44 USD. Los comparables por PER dan 187,06 USD: el sector entero cotiza por encima de su caja. A 12 meses la regla v3 apenas mueve el PER (30,9 → 31,2 veces); la v2 de control da un 7,9 %.</w:t>
      </w:r>
    </w:p>
    <w:p>
      <w:pPr>
        <w:spacing w:after="100"/>
      </w:pPr>
      <w:r>
        <w:rPr>
          <w:b/>
        </w:rPr>
        <w:t xml:space="preserve">Riesgos y catalizadores.</w:t>
      </w:r>
      <w:r>
        <w:t xml:space="preserve"> El mayor es de múltiplo: el bajista a 12 meses (25 veces) deja la acción en 144,25 USD (−21,9 %). Chiquita Canyon: ≈14.000 demandantes, sin provisión [12]. Riesgo de IA: bajo. Los foros pasan a positivos sin discutir el múltiplo. Catalizador: guía de 2027 en febrero.</w:t>
      </w:r>
    </w:p>
    <w:p>
      <w:pPr>
        <w:spacing w:after="100"/>
      </w:pPr>
      <w:r>
        <w:rPr>
          <w:b/>
        </w:rPr>
        <w:t xml:space="preserve">Qué cambiaría la decisión.</w:t>
      </w:r>
      <w:r>
        <w:t xml:space="preserve"> Comprar por debajo de 130,95 USD; vender por encima de 216,06 USD. Pasaríamos a Vender si el precio core baja del 4 % o Chiquita exige más de 1.000 M; a Comprar, con el bono por debajo del 4,5 % y el precio cerca del valor intrínseco.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193,05 USD</w:t>
      </w:r>
      <w:r>
        <w:t xml:space="preserve"> (rentabilidad +4,2 % (base +9,8 %)) · Valor intrínseco: 130,95 USD (-29,8 % sobre 186,60) · con la prima implícita del mercado: 151,44 (-18,8 %)</w:t>
      </w:r>
    </w:p>
    <w:p>
      <w:pPr>
        <w:spacing w:after="100"/>
      </w:pPr>
      <w:r>
        <w:t xml:space="preserve">Waste Connections es la empresa de residuos sólidos más rentable de Norteamérica: margen EBITDA ajustado del 33-34 %, precio core del 5,5-6,5 % al año y 103 vertederos propios en mercados donde casi no hay competencia [11, 12]. Ha doblado sus ingresos desde 2017 con cientos de compras pequeñas y un BPA ajustado que crece un 9-10 % anual [4, 8].</w:t>
      </w:r>
    </w:p>
    <w:p>
      <w:pPr>
        <w:spacing w:after="100"/>
      </w:pPr>
      <w:r>
        <w:t xml:space="preserve">El precio de 186,60 USD descuenta un 11,3 % de crecimiento anual en 2027-2032 con nuestro margen, o una rentabilidad del 6,2 % anual, por debajo de su coste de capital del 7,5 %. Cotiza a 30,7 veces el beneficio ajustado de los próximos 12 meses y 17,3 veces el EBITDA: la subida de octubre ha borrado el descuento del 18 % frente a su PER de 2021-2025, con el bono al 5,0 % en vez del 1,5-4 % de entonces.</w:t>
      </w:r>
    </w:p>
    <w:p>
      <w:pPr>
        <w:spacing w:after="100"/>
      </w:pPr>
      <w:r>
        <w:t xml:space="preserve">El mercado acierta en la calidad y sobrepaga el crecimiento comprado: las compras rinden un ROIC del 8-9 %, apenas por encima del WACC. Para invertir hoy hay que creer que los tipos bajarán o que el sector conservará su prima de refugio; a 12 meses, la regla de múltiplos solo da un 4,2 % y a largo plazo el valor es de 131 USD.</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193,05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 × 5,77 = 144,25 · 31,2x × 6,52 = 203,42 · 32,0x × 6,91 = 221,12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 / 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206,32 (nuestro base -1,4 %)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130,95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-28,3 % / -59,6 %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 frente a 7,5 % y 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151,44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 frente a 4,2 %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(4,7 %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130,95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130,95 y 216,06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216,06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 acción cae por debajo de 130,95 USD (valor intrínseco), pasaríamos a Comprar.</w:t>
      </w:r>
    </w:p>
    <w:p>
      <w:pPr>
        <w:pStyle w:val="ListParagraph"/>
        <w:numPr>
          <w:ilvl w:val="0"/>
          <w:numId w:val="2"/>
        </w:numPr>
        <w:spacing w:after="60"/>
      </w:pPr>
      <w:r>
        <w:t xml:space="preserve">Si sube por encima de 216,06 USD, pasaríamos a Vender.</w:t>
      </w:r>
    </w:p>
    <w:p>
      <w:pPr>
        <w:pStyle w:val="ListParagraph"/>
        <w:numPr>
          <w:ilvl w:val="0"/>
          <w:numId w:val="2"/>
        </w:numPr>
        <w:spacing w:after="60"/>
      </w:pPr>
      <w:r>
        <w:t xml:space="preserve">Si el bono a 10 años baja del 4,5 %, el DCF se acercaría al precio: revisaríamos al alza.</w:t>
      </w:r>
    </w:p>
    <w:p>
      <w:pPr>
        <w:pStyle w:val="ListParagraph"/>
        <w:numPr>
          <w:ilvl w:val="0"/>
          <w:numId w:val="2"/>
        </w:numPr>
        <w:spacing w:after="60"/>
      </w:pPr>
      <w:r>
        <w:t xml:space="preserve">Si el precio core del 4T26 o de la guía de 2027 baja del 4,5 % o el volumen del −3 %, rebajaríamos el base.</w:t>
      </w:r>
    </w:p>
    <w:p>
      <w:pPr>
        <w:pStyle w:val="ListParagraph"/>
        <w:numPr>
          <w:ilvl w:val="0"/>
          <w:numId w:val="2"/>
        </w:numPr>
        <w:spacing w:after="60"/>
      </w:pPr>
      <w:r>
        <w:t xml:space="preserve">Si Chiquita Canyon exige más de 1.000 M en acuerdos o sanciones, pasaríamos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WCN seguirá creciendo un 9-10 % al año (precio, compras y recompras) y que su estabilidad merece cotizar a 30 veces el beneficio aunque el bono rente un 5 %. Los analistas (25 de 28 comprar) ven un 11 % de subida.</w:t>
      </w:r>
    </w:p>
    <w:p>
      <w:pPr>
        <w:keepNext/>
        <w:spacing w:after="100"/>
      </w:pPr>
      <w:r>
        <w:rPr>
          <w:b/>
          <w:bCs/>
        </w:rPr>
        <w:t xml:space="preserve">Lo que creemos nosotros.</w:t>
      </w:r>
    </w:p>
    <w:p>
      <w:pPr>
        <w:spacing w:after="100"/>
      </w:pPr>
      <w:r>
        <w:t xml:space="preserve">El negocio es excelente y el 3T26 lo confirma, pero el crecimiento orgánico es del 5 % y las compras crean poco valor (ROIC del 8,4 % frente a un WACC del 7,5 %). Con tipos del 5 %, el valor de la caja es de unos 131 USD; a 12 meses, el PER ya está en su mediana y solo queda el crecimiento del BPA.</w:t>
      </w:r>
    </w:p>
    <w:p>
      <w:pPr>
        <w:keepNext/>
        <w:spacing w:after="100"/>
      </w:pPr>
      <w:r>
        <w:rPr>
          <w:b/>
          <w:bCs/>
        </w:rPr>
        <w:t xml:space="preserve">Por qué podemos tener razón.</w:t>
      </w:r>
    </w:p>
    <w:p>
      <w:pPr>
        <w:spacing w:after="100"/>
      </w:pPr>
      <w:r>
        <w:t xml:space="preserve">Porque el múltiplo del sector se formó con tipos del 1,5-4 % y el rebote de octubre lo ha devuelto a ese nivel sin que bajen los tipos; el DCF inverso pide un 11,3 % anual sin compras, algo que la empresa no ha hecho nunca de forma orgánica.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86,6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Resultados que baten</w:t>
      </w:r>
      <w:r>
        <w:t xml:space="preserve">: cuarto trimestre seguido por encima del consenso (BPA ajustado 1,58 frente a 1,52) y guía de 2026 elevada dos veces.</w:t>
      </w:r>
    </w:p>
    <w:p>
      <w:pPr>
        <w:pStyle w:val="ListParagraph"/>
        <w:numPr>
          <w:ilvl w:val="0"/>
          <w:numId w:val="2"/>
        </w:numPr>
        <w:spacing w:after="60"/>
      </w:pPr>
      <w:r>
        <w:rPr>
          <w:b/>
        </w:rPr>
        <w:t xml:space="preserve">Poder de precios demostrado</w:t>
      </w:r>
      <w:r>
        <w:t xml:space="preserve">: precio core del 5,7 % en 9M26 con volúmenes negativos y margen del 34,0 % en el 3T26.</w:t>
      </w:r>
    </w:p>
    <w:p>
      <w:pPr>
        <w:pStyle w:val="ListParagraph"/>
        <w:numPr>
          <w:ilvl w:val="0"/>
          <w:numId w:val="2"/>
        </w:numPr>
        <w:spacing w:after="60"/>
      </w:pPr>
      <w:r>
        <w:rPr>
          <w:b/>
        </w:rPr>
        <w:t xml:space="preserve">Foso regulatorio</w:t>
      </w:r>
      <w:r>
        <w:t xml:space="preserve">: 103 vertederos propios y permisos que tardan una década.</w:t>
      </w:r>
    </w:p>
    <w:p>
      <w:pPr>
        <w:pStyle w:val="ListParagraph"/>
        <w:numPr>
          <w:ilvl w:val="0"/>
          <w:numId w:val="2"/>
        </w:numPr>
        <w:spacing w:after="60"/>
      </w:pPr>
      <w:r>
        <w:rPr>
          <w:b/>
        </w:rPr>
        <w:t xml:space="preserve">Caja creciente</w:t>
      </w:r>
      <w:r>
        <w:t xml:space="preserve">: caja libre ajustada de 1.400-1.450 M en 2026 y crecimiento por acción de dos dígitos en 2027, con menos capex de gas renovable y menos Chiquita.</w:t>
      </w:r>
    </w:p>
    <w:p>
      <w:pPr>
        <w:pStyle w:val="ListParagraph"/>
        <w:numPr>
          <w:ilvl w:val="0"/>
          <w:numId w:val="2"/>
        </w:numPr>
        <w:spacing w:after="60"/>
      </w:pPr>
      <w:r>
        <w:rPr>
          <w:b/>
        </w:rPr>
        <w:t xml:space="preserve">Volumen que gira</w:t>
      </w:r>
      <w:r>
        <w:t xml:space="preserve">: toneladas de vertedero +3 % en el 3T26, primera subida de los tres tipos de residuo en dos años.</w:t>
      </w:r>
    </w:p>
    <w:p>
      <w:pPr>
        <w:pStyle w:val="Heading2"/>
      </w:pPr>
      <w:r>
        <w:t xml:space="preserve">En contra</w:t>
      </w:r>
    </w:p>
    <w:p>
      <w:pPr>
        <w:pStyle w:val="ListParagraph"/>
        <w:numPr>
          <w:ilvl w:val="0"/>
          <w:numId w:val="2"/>
        </w:numPr>
        <w:spacing w:after="60"/>
      </w:pPr>
      <w:r>
        <w:rPr>
          <w:b/>
        </w:rPr>
        <w:t xml:space="preserve">Caro frente a su caja</w:t>
      </w:r>
      <w:r>
        <w:t xml:space="preserve">: DCF de 119,77 USD, un 35,8 % bajo el precio; rentabilidad implícita del 6,2 % frente a un WACC del 7,5 %.</w:t>
      </w:r>
    </w:p>
    <w:p>
      <w:pPr>
        <w:pStyle w:val="ListParagraph"/>
        <w:numPr>
          <w:ilvl w:val="0"/>
          <w:numId w:val="2"/>
        </w:numPr>
        <w:spacing w:after="60"/>
      </w:pPr>
      <w:r>
        <w:rPr>
          <w:b/>
        </w:rPr>
        <w:t xml:space="preserve">Múltiplo sin recorrido</w:t>
      </w:r>
      <w:r>
        <w:t xml:space="preserve">: PER de 30,9 veces nuestro BPA de 2027, casi en su mediana de cinco años (31,6) con el bono al 5,0 %.</w:t>
      </w:r>
    </w:p>
    <w:p>
      <w:pPr>
        <w:pStyle w:val="ListParagraph"/>
        <w:numPr>
          <w:ilvl w:val="0"/>
          <w:numId w:val="2"/>
        </w:numPr>
        <w:spacing w:after="60"/>
      </w:pPr>
      <w:r>
        <w:rPr>
          <w:b/>
        </w:rPr>
        <w:t xml:space="preserve">ROIC justo</w:t>
      </w:r>
      <w:r>
        <w:t xml:space="preserve">: 8,4 %, 0,9 puntos sobre el WACC; las compras apenas crean valor.</w:t>
      </w:r>
    </w:p>
    <w:p>
      <w:pPr>
        <w:pStyle w:val="ListParagraph"/>
        <w:numPr>
          <w:ilvl w:val="0"/>
          <w:numId w:val="2"/>
        </w:numPr>
        <w:spacing w:after="60"/>
      </w:pPr>
      <w:r>
        <w:rPr>
          <w:b/>
        </w:rPr>
        <w:t xml:space="preserve">Chiquita Canyon</w:t>
      </w:r>
      <w:r>
        <w:t xml:space="preserve">: ≈14.000 demandantes y sanciones sin estimar.</w:t>
      </w:r>
    </w:p>
    <w:p>
      <w:pPr>
        <w:pStyle w:val="ListParagraph"/>
        <w:numPr>
          <w:ilvl w:val="0"/>
          <w:numId w:val="2"/>
        </w:numPr>
        <w:spacing w:after="60"/>
      </w:pPr>
      <w:r>
        <w:rPr>
          <w:b/>
        </w:rPr>
        <w:t xml:space="preserve">Sucesión</w:t>
      </w:r>
      <w:r>
        <w:t xml:space="preserve">: el fundador volvió en 2023 y no hay sucesor designado.</w:t>
      </w:r>
    </w:p>
    <w:p>
      <w:pPr>
        <w:pStyle w:val="Heading2"/>
      </w:pPr>
      <w:r>
        <w:t xml:space="preserve">Qué tiene que pasar para que la tesis funcione</w:t>
      </w:r>
    </w:p>
    <w:p>
      <w:pPr>
        <w:spacing w:after="100"/>
      </w:pPr>
      <w:r>
        <w:t xml:space="preserve">La tesis de Mantener depende de que el mercado siga pagando 30-31 veces el BPA ajustado con el bono en torno al 5 %. La señal de que no se cumple sería un PER adelantado por debajo de 25 veces (el bajista de la regla) sin caída del beneficio, o un precio core por debajo del 4,5 % que deje el crecimiento orgánico en el 3 %; al alza, un precio por encima de 216 USD daría Vender.</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core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del crecimiento y del margen.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residuos sólidos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Recesión o bajas por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33 % en un 3T</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Diferencial precio-coste.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Salidas de caja de Chiquita Canyon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100-150 M (guía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150 M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legal y ambiental.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Bono del Tesoro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4,5 % (al alza en valor) / &gt; 5,5 %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Determina el múltiplo del sector.</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17,3x / 17,2x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41,8x / 30,7x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(2017-2025)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2,9x · 2,9x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Ronald Mittelstaedt fundó Waste Connections en 1997 en California para comprar recogidas en mercados secundarios y rurales con poca competencia; salió a bolsa en 1998 [1]. Durante dos décadas creció con cientos de compras pequeñas y franquicias exclusivas en el oeste. En 2012 entró en residuos de petróleo y gas (R360). En junio de 2016 se fusionó con la canadiense Progressive Waste Solutions, que duplicó su tamaño y trasladó la sede legal a Ontario (cotiza en Nueva York y Toronto) [1]. Mittelstaedt dejó el cargo de consejero delegado en 2019 para ser presidente ejecutivo; su sucesor salió en 2023 y él volvió como consejero delegado [20]. En 2024 compró las plantas de Secure Energy en Canadá y cerró el vertedero de Chiquita Canyon (California), su mayor problema ambiental [1,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California por Ronald Mittelstaedt.</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(NYSE).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R360 Environmental Solutions: entrada en residuos de petróleo y gas.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con Progressive Waste Solutions; sede legal en Canadá, triple de tamaño en ingresos.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 de 467 M en E&amp;P por el desplome del crudo.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Mittelstaedt vuelve a ser consejero delegado; empieza la reacción térmica del vertedero de Chiquita Canyon.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30 plantas de Secure Energy (1.075 M CAD); Chiquita Canyon deja de admitir residuos y se reconocen 613 M de cargos.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Récord de recompras (más de 1.000 M, el 2,5 % del capital) y guía de EBITDA ajustado elevada dos veces, a ≈3.345 M; decimosexta subida del dividendo de dos dígitos [13].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Waste Connections recoge, transfiere y elimina residuos sólidos no peligrosos de unos nueve millones de clientes residenciales, comerciales e industriales en 46 estados de EE. UU. y seis provincias de Canadá, sobre todo en mercados «exclusivos» (franquicias o contratos municipales de varios años) y en mercados secundarios y rurales donde compite con pocos rivales [1, 3]. Es una empresa integrada: a 30-sep-2026 tenía 103 vertederos propios, cinco con contrato de toda la vida útil y siete operados con contrato temporal, más estaciones de transferencia, y llevó a vertederos propios el 58 % de los residuos que recogió en el 3T26 («internalización», 58-60 % según la mezcla) [11, 12, 13]. Completa el negocio con tratamiento de residuos de petróleo y gas (E&amp;P, R360), reciclaje, gas de vertedero y gas natural renovable, y transporte intermodal en el noroeste del Pacífico [1].</w:t>
      </w:r>
    </w:p>
    <w:p>
      <w:pPr>
        <w:pStyle w:val="Heading2"/>
      </w:pPr>
      <w:r>
        <w:t xml:space="preserve">Cómo gana dinero</w:t>
      </w:r>
    </w:p>
    <w:p>
      <w:pPr>
        <w:spacing w:after="100"/>
      </w:pPr>
      <w:r>
        <w:t xml:space="preserve">Cobra tarifas recurrentes por recogida (el 71 % de los ingresos brutos de 2025) y tarifas por tonelada en vertederos y estaciones de transferencia [1]. Casi todo es recurrente: contratos de varios años con subidas anuales indexadas en los mercados exclusivos y precios libres que se suben cada año en los competitivos. El margen depende del diferencial entre precio y coste: en 2025 el precio «core» subió un 6,5 % con volúmenes del −2,8 % y el margen de EBITDA ajustado pasó del 32,5 % al 33,0 % [4]. La internalización en vertedero propio y la densidad de rutas dan el apalancamiento operativo; el gasóleo (recuperado con recargos: 1,3 puntos de crecimiento en el 3T26) y los precios del reciclaje, de los RIN de gas renovable y la actividad petrolera (E&amp;P) son los factores volátiles [11, 13]. En el 3T26 el margen ajustado fue del 34,0 %, con 50 pb de mejora subyacente y 30 pb perdidos por el gasóleo [13]. Estacionalidad: el 1T es el trimestre débil [3, 5].</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Southern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Western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Eastern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Canada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MidSouth</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Southern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Western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Eastern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Canada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MidSouth</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ni contrato llega al 10 % de los ingresos [1]. Los contratos de vertedero y transferencia duran de uno a diez años con subidas anuales indexadas; las franquicias residenciales de los mercados exclusivos son de varios años y se renuevan en su mayoría [1]. El poder de precios es la tesis del negocio: precio core del 6,4-6,6 % en 2024-2025 y del 5,7 % en los nueve primeros meses de 2026 (por debajo del 4 % en la región Western, de mercados exclusivos, y por encima del 6 % en las competitivas), con un diferencial de unos 150 pb sobre la inflación de costes que la dirección quiere mantener en 2027 [4, 8, 11, 13]. El margen ajustado subió del 31,2 % de 2020 al 33,0 % de 2025 y al 33,1 % en 9M26 [4, 8, 11]. El coste es el volumen: −2,7/−2,8 % en 2024-2025 y −1,5 % en 9M26 (−1,2 % en el 3T26), en parte bajas voluntarias por precio, que la dirección dice que se están reduciendo, y en parte construcción residencial floja [4, 11, 13].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core (residuos sólidos)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 (9M26); 5,5 % en el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Rendimiento (yield) del 4,5 % en 9M26 tras bajas y mezcla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residuos sólidos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(9M26); −1,2 % en el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3T26 subieron las toneladas de vertedero (+3 %): residuos especiales +7 % y C&amp;D +5 %; recogidas de contenedores −2,5 %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EBITDA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 (9M26); guía 2026 ≈33,2 %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pp en el año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34,0 % en el 3T26 con 50 pb de mejora subyacente y 30 pb de gasóleo [11,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Internalización (residuos a vertedero propio)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 (2T26)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Rango normal del 58-60 % según la mezcla [11,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libre ajustada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 M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 M (9M26); guía 2026 de 1.400-1.450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 a +15 %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≈75 M de capex de gas renovable que no se repite en 2027 y menos salidas por Chiquita Canyon [11,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(ingresos anualizados)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compras, 967 M de valor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M de ingresos comprados en 9M26; 369 M pagados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habla de 200 M al año como «suelo normalizado» [11,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Residuos de petróleo y gas (E&amp;P)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M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 M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 frente al 2T26; equipos de perforación +10 % en 2026 con el crudo un 70 % más caro [11, 13].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recogida, transferencia y eliminación de residuos sólidos no peligrosos (municipales, comerciales, industriales y de construcción) en EE. UU. y Canadá, más el tratamiento de residuos de petróleo y gas, que es el 7 % de los ingresos de la empresa. Quedan fuera los residuos peligrosos y los servicios industriales (Clean Harbors) y el agua y la energía (Veolia). Usamos el tamaño de la ficha sectorial del repositorio [14], construido con la suma de ingresos de las cotizadas y su cuota estimada.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115.000 M USD en 2025 (EE. UU. y Canadá, residuos sólidos no peligrosos; estimación de la ficha sectorial) [14]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por encima de la inflación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core de WCN del 6,5 % en 2025 y ≥5,5 % en 2026 con IPC del 3 %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Población y formación de hogares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residencial estable; el sur y el centro crecen más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Construcción y actividad industrial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WCN −2,8 % en 2025 y −1,2 % en el 3T26, con residuos especiales +7 % y C&amp;D +5 % (infraestructuras, remediación, centros de datos); las viviendas iniciadas, 1,2 millones, quedan lejos de los 1,5-1,8 que dan volumen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Escasez de capacidad de vertedero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Permisos de nuevos vertederos casi imposibles; quien tiene vertedero fija el precio de eliminación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Gasóleo, reciclaje y créditos de gas renovable (RIN)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pb de margen perdido por el gasóleo en el 3T26; reciclaje +12 % y gas de vertedero +35 % (RIN a ≈2,50 USD)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crudo y perforación (E&amp;P)</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E&amp;P +19 % interanual en el 3T26 con el crudo un 70 % más caro y los equipos de perforación +10 %; en 2020 obligó a un deterioro de 467 M [1, 13].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grandes (WM, Republic, WCN) y GFL; en mercados exclusivos no hay rivalidad durante el contrato. Márgenes EBITDA del 30-33 % en los grandes [15,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los municipios negocian franquicias cada varios años, pero el coste de la basura es pequeño para cada hogar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Mano de obra (conductores) y gasóleo; los camiones y contenedores tienen pocos fabricantes. Los recargos trasladan el gasóleo con retraso [9].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vertedero no se compite en eliminación; los permisos tardan una década (Chiquita Canyon pidió su ampliación en 2004 y la obtuvo en 2017) [7].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Reciclaje y valorización energética desvían una parte pequeña; la normativa de responsabilidad ampliada del productor en Canadá cambia quién paga, no quién recoge [1].</w:t>
            </w:r>
          </w:p>
        </w:tc>
      </w:tr>
    </w:tbl>
    <w:p>
      <w:pPr>
        <w:spacing w:after="160" w:before="0"/>
      </w:pPr>
    </w:p>
    <w:p>
      <w:pPr>
        <w:pStyle w:val="Heading2"/>
      </w:pPr>
      <w:r>
        <w:t xml:space="preserve">Ciclo</w:t>
      </w:r>
    </w:p>
    <w:p>
      <w:pPr>
        <w:spacing w:after="100"/>
      </w:pPr>
      <w:r>
        <w:t xml:space="preserve">Los volúmenes llevan tres años en negativo (−2,7/−2,8 % en 2024-2025) por la construcción y los residuos especiales, mientras el precio sigue alto [9]. El sector es defensivo: en 2009 los ingresos de los grandes cayeron un 10-15 % por volumen, pero los márgenes aguantaron; en 2020 WCN redujo ingresos solo un 1 % (5.389 a 5.446 M con compras) y en 2022 subió precios por encima de la inflación. En el 3T26 subieron por primera vez en dos años los tres tipos de residuo de vertedero, pero en octubre las C&amp;D no siguieron [13]. Indicadores: toneladas de C&amp;D y residuos especiales, viviendas iniciadas y precio del gasóleo [9, 13, 14].</w:t>
      </w:r>
    </w:p>
    <w:p>
      <w:pPr>
        <w:pStyle w:val="Heading2"/>
      </w:pPr>
      <w:r>
        <w:t xml:space="preserve">Regulación</w:t>
      </w:r>
    </w:p>
    <w:p>
      <w:pPr>
        <w:spacing w:after="100"/>
      </w:pPr>
      <w:r>
        <w:t xml:space="preserve">La EPA regula los vertederos (RCRA Subtitle D) y sus emisiones de metano (NSPS Subpart XXX y directrices para vertederos existentes, más estrictas desde 2016); California y SCAQMD son los reguladores más duros, como muestra Chiquita Canyon (476 avisos de infracción) [1, 7]. El estándar de combustibles renovables (RFS) fija el valor de los RIN del gas renovable que vende la empresa. En Canadá, la responsabilidad ampliada del productor traslada el coste del reciclaje residencial a los fabricantes, lo que puede quitar contratos de reciclaje municipal [1]. Algunos estados regulan las tarifas de los vertederos [1].</w:t>
      </w:r>
    </w:p>
    <w:p>
      <w:pPr>
        <w:pStyle w:val="Heading2"/>
      </w:pPr>
      <w:r>
        <w:t xml:space="preserve">Tendencias y disrupción</w:t>
      </w:r>
    </w:p>
    <w:p>
      <w:pPr>
        <w:spacing w:after="100"/>
      </w:pPr>
      <w:r>
        <w:t xml:space="preserve">Tres tendencias: (1) consolidación, con compras de operadores privados que los grandes integran en su red; el capital riesgo paga hoy más que WCN, que dice que no le sigue [13]; (2) automatización y precios con datos: la herramienta de precios con IA de 2025 superó lo esperado y otras tres iniciativas de IA en operaciones no estarán desplegadas hasta finales de 2027 o mediados de 2028, con efecto en márgenes desde 2028 [13]; (3) gas renovable de vertedero, con la inversión casi terminada y ≈40 M de ingresos adicionales en 2027 [13]. Los centros de datos dan volumen de construcción (20-40 pb, según la dirección), no residuos recurrentes [13]. La IA no sustituye la recogida ni el vertedero; la amenaza tecnológica real son los camiones eléctricos o autónomos (coste, no demanda) y la reducción de residuos en origen, ambas lentas.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3.º de EE. UU. y Canadá en residuos sólidos (≈8 % del mercado), por detrás de WM (≈20 %) y Republic (≈14 %); n.º 1 o 2 en casi todos sus mercados locales.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Waste Management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25.670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con la mayor red de vertederos; compró Stericycle (residuos sanitarios) en 2024. Margen EBITDA 30,3 %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Republic Services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RSG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16.890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Mercados urbanos del sur y oeste; margen EBITDA 31,1 %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GFL Environmental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GFL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Comprador apalancado (5,7 veces); vendió su división de servicios ambientales en 2025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Casella Waste Systems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CWST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Noreste de EE. UU., integrada con vertederos; margen EBITDA 21,4 %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Clean Harbors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CLH</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Residuos peligrosos y servicios industriales: competidor en E&amp;P y residuos especiales, no en recogida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Operadores privados y municipios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 y 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Miles de operadores locales: el vivero de compras del sector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Densidad de rutas local, no efectos de red en sentido estricto.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Franquicias exclusivas de varios años con subidas indexadas; las bajas suben con los recargos, pero apenas 10-15 pb de volumen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Permisos de vertedero: 102 vertederos propios con 19-38 años de vida media; obtener uno nuevo tarda más de una década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Internalización del 59 % y margen EBITDA ajustado del 33 %, el más alto de los grandes (WM 30 %, Republic 31 %) [3,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Mercados secundarios y rurales que solo sostienen un operador integrado [1].</w:t>
            </w:r>
          </w:p>
        </w:tc>
      </w:tr>
    </w:tbl>
    <w:p>
      <w:pPr>
        <w:spacing w:after="160" w:before="0"/>
      </w:pPr>
    </w:p>
    <w:p>
      <w:pPr>
        <w:pStyle w:val="Heading2"/>
      </w:pPr>
      <w:r>
        <w:t xml:space="preserve">Amenazas</w:t>
      </w:r>
    </w:p>
    <w:p>
      <w:pPr>
        <w:spacing w:after="100"/>
      </w:pPr>
      <w:r>
        <w:t xml:space="preserve">El foso es local y regulatorio: lo erosionaría (1) que un regulador limite las tarifas de vertedero o fuerce el cierre de otro vertedero, como en Chiquita Canyon (probabilidad baja por emplazamiento, pero ya ocurrió); (2) una competencia más agresiva de operadores privados que no repercuten el gasóleo (efecto de 10-15 pb de volumen en 2026) y de compradores de capital riesgo que encarecen las compras [9, 13]; (3) que los municipios saquen a concurso franquicias exclusivas con más frecuencia. La IA no amenaza el negocio: es física y local; la usa la propia empresa para fijar precios y rutas.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2017-2025: ingresos </w:t>
      </w:r>
      <w:r>
        <w:rPr>
          <w:b/>
          <w:bCs/>
        </w:rPr>
        <w:t xml:space="preserve">9,4 %</w:t>
      </w:r>
      <w:r>
        <w:t xml:space="preserve">, EBITDA </w:t>
      </w:r>
      <w:r>
        <w:rPr>
          <w:b/>
          <w:bCs/>
        </w:rPr>
        <w:t xml:space="preserve">10,1 %</w:t>
      </w:r>
      <w:r>
        <w:t xml:space="preserve">, BPA </w:t>
      </w:r>
      <w:r>
        <w:rPr>
          <w:b/>
          <w:bCs/>
        </w:rPr>
        <w:t xml:space="preserve">8,4 %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4.631 M USD en 2017 a 9.467 M en 2025, un 9,4 % anual, la mitad por precio y el resto por unas 15-25 compras al año [1, 2]. En 2025 crecieron un 6,1 %: precio core del 6,5 %, volumen del −2,8 %, compras netas y residuos de petróleo y gas (E&amp;P, de 522 a 689 M) [1, 4]. El margen de EBITDA ajustado subió del 31,0 % de 2019 al 33,0 % de 2025 por precio por encima del coste, retención de empleados y menos siniestralidad [4, 8]. El EBITDA contable (EBIT más amortizaciones) es más bajo y salta por los deterioros y ajustes de cierre de vertederos que la empresa deja en el resultado de explotación: 467 M en 2020 (residuos de petróleo y gas), 239 M en 2023 y 613 M en 2024 (vertedero de Chiquita Canyon), 110 M en 2025 y 140 M en 9M26, casi todo (132 M) por ajustes de las provisiones de cierre [4, 8, 11]. En 9M26 los ingresos crecieron un 6,7 % (7,3 % en el 3T26, con 53 M de compras y 4,5 % de crecimiento orgánico en residuos sólidos) y el EBITDA ajustado un 7,6 %, hasta 2.505 M; la guía de 2026 sube por segunda vez, a ≈10.090 M de ingresos y ≈3.345 M de EBITDA ajustado [11].</w:t>
      </w:r>
    </w:p>
    <w:p>
      <w:pPr>
        <w:pStyle w:val="Heading2"/>
      </w:pPr>
      <w:r>
        <w:t xml:space="preserve">Ajustes y partidas no recurrentes</w:t>
      </w:r>
    </w:p>
    <w:p>
      <w:pPr>
        <w:spacing w:after="100"/>
      </w:pPr>
      <w:r>
        <w:t xml:space="preserve">Usamos las cifras publicadas en US GAAP. El EBITDA de la cuenta es EBIT más amortizaciones (depreciación más amortización de intangibles comprados: 1.031 M y 202 M en 2025) [1]. La partida «Impairments and other operating items» va en no_recurrentes_en_ebitda para comparar con el EBITDA ajustado, que la excluye; pero se repite todos los años (191 M de media en 2017-2025), así que en el DCF restamos 0,8 puntos de margen por ese concepto. El EBITDA ajustado de la empresa suma además la actualización financiera de las provisiones de cierre (≈41 M) y los costes de compras (10-25 M) [3, 4]. El BPA ajustado de la empresa excluye la amortización de intangibles y los deterioros: 5,15 USD en 2025 frente a 4,17 USD contable [4]; es la base de BPA que usamos en la rentabilidad a 12 meses, porque es la del consenso y la de la historia del PER. En 9M26 el ajustado fue de 4,32 USD frente a 3,45 contable [11]. 2017 lleva un ingreso fiscal por la reforma de EE. UU. (impuesto negativo) [2].</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EBITDA y BPA ajustados (los que sigue el mercado); el crecimiento orgánico es el de residuos sólidos que publica la empresa; consenso previo de S&amp;P Global (BPA del 3T26: 1,52 USD) [13]. En la conferencia del 3T26 (22-oct) la dirección subió la guía de 2026 por segunda vez, a ≈10.090 M de ingresos y ≈3.345 M de EBITDA ajustado (33,2 %), mantuvo la caja libre ajustada en 1.400-1.450 M y dio un primer marco de 2027: ingresos «de un dígito medio-alto» (con ≈1 punto de arrastre de compras y plantas de gas renovable y 1-2 puntos de compras futuras), 20-40 pb de mejora del margen sin gasóleo y caja libre ajustada por acción creciendo a dos dígitos [11, 13]. Frente al 2T26 (23-jul), el discurso pasó de «julio mejor» a datos: toneladas de vertedero +3 % (especiales +7 %, C&amp;D +5 %), E&amp;P +19 % y cartón reciclado un 35 % más caro que en diciembre [9, 13]. Los analistas preguntaron por la conversión en caja (42 % del EBITDA, objetivo del 48-50 %), el ritmo de compras (130 M en 2026 frente a 200 M «normalizados») y el efecto del gasóleo en el precio de 2027. La dirección no cuantificó la bajada de las salidas de Chiquita en 2027 («similar a la de 2026»), ni el EBITDA de las plantas de gas renovable (≈40 M de ingresos en 2027), y avisó de que las C&amp;D no siguieron subiendo en octubre y de que las viviendas iniciadas (1,2 millones) quedan lejos de los 1,5-1,8 millones que dan volumen [13].</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21.129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(2024: 24 compras por 2.228 M de valor razonable, entre ellas 30 plantas de residuos de petróleo y gas de Secure Energy en Canadá (cerrada el 1-feb-2024) [1].).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bruta pasó de 3.911 M en 2017 a 8.820 M en 2025 y 9.435 M en septiembre de 2026, porque las compras (2.207 M en 2022, 2.121 M en 2024) y desde 2025 las recompras (506 M en 2025 y 944 M en 9M26) superan a la caja libre después de dividendos [2, 11]. Aun así el apalancamiento se mantiene en ≈2,75 veces el EBITDA ajustado, dentro del rango que la dirección declara [13]. El circulante es negativo si se cuentan los ingresos anticipados (436 M): clientes a 39 días, 23 días netos de anticipos [11]. El 80 % de la deuda es a tipo fijo (bonos del 2,2-5,25 % hasta 2052, entre ellos 600 M al 4,8 % a 2036 emitidos en marzo y 700 M CAD en agosto); coste medio de ≈4 % y vida media de ≈8 años, sin vencimientos relevantes hasta 2028 [12, 13].</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2017-2025: FCF </w:t>
      </w:r>
      <w:r>
        <w:rPr>
          <w:b/>
          <w:bCs/>
        </w:rPr>
        <w:t xml:space="preserve">8.939</w:t>
      </w:r>
      <w:r>
        <w:t xml:space="preserve">, conversión </w:t>
      </w:r>
      <w:r>
        <w:rPr>
          <w:b/>
          <w:bCs/>
        </w:rPr>
        <w:t xml:space="preserve">154 %</w:t>
      </w:r>
      <w:r>
        <w:t xml:space="preserve"> del beneficio neto; adquisiciones 9.149, dividendos 2.030, recompras 1.434.</w:t>
      </w:r>
    </w:p>
    <w:p>
      <w:pPr>
        <w:spacing w:after="100"/>
      </w:pPr>
      <w:r>
        <w:t xml:space="preserve">La conversión de EBITDA en caja es alta y estable: flujo operativo de 2.414 M en 2025 (el 25,5 % de los ingresos) y caja libre ajustada de 1.259 M (13,3 %) [2, 4]. En 9M26, flujo operativo de 1.971 M (+6,1 %) y caja libre ajustada de 1.090 M, el 14,4 % de los ingresos, con la guía anual de 1.400-1.450 M intacta; la conversión de EBITDA en caja libre es del ≈42 % y la dirección aspira a volver al 48-50 % [11, 13]. El capex fue de 1.179 M en 2025, el 12,5 % de los ingresos, por encima de la depreciación (1.031 M) por las plantas de gas renovable (casi terminadas a finales de 2026) y la renovación de flota; la empresa no separa mantenimiento y crecimiento, y estimamos el de mantenimiento en torno a la depreciación, el 10,5-11 % de las ventas (estimación propia) [1, 9]. Las compras se comieron 6.731 M en 2021-2025, más que toda la caja libre del periodo; las recompras volvieron en 2025 (506 M) y 2026 (944 M en nueve meses y 103 M más en octubre: el 2,5 % del capital) [2, 11, 12]. Años anómalos: 2024 por el pago de Secure (≈1.000 M) y 2020 por el bajo capex del covid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Grant Thornton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(también sobre control interno)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Las cuentas son limpias pero tienen dos zonas de juicio. La primera son los vertederos: la amortización por tonelada depende de la capacidad «probable» de ampliación (seis vertederos con ampliaciones que la empresa da por probables) y las provisiones de cierre de supuestos de coste y plazo; Chiquita Canyon obligó a reconocer 613 M en 2024 y otros 132 M de ajustes de provisiones en 9M26 [1, 11]. La segunda son las cifras ajustadas: el BPA ajustado excluye la amortización de intangibles comprados (≈200 M al año) y los deterioros, que se repiten todos los años; entre 2017 y 2025 los deterioros sumaron 1.717 M, el 18 % del beneficio contable acumulado [4, 8]. Los pagos en acciones son modestos (79 M, el 7 % del beneficio). Sin cambios de criterio ni reexpresiones. El fondo de comercio (8.392 M) y los intangibles (2.006 M) son el 49 % del activo: un deterioro grande es posible si una región se tuerce (ya pasó en E&amp;P en 2020)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recurrentes fuera del EBITDA ajustado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1.717 M en 2017-2025; 191 M de media anual. Los restamos del margen del DCF (0,8 puntos).</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Provisiones de cierre de Chiquita Canyon aún revisadas al alza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+181,9 M de ajustes en 9M26 (casi nada en el 3T26: 1,9 M de deterioros) y 229,8 M de pagos; la dirección prevé una bajada de las salidas en 2027 similar a la de 2026 [12, 13].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Litigios sin estimación de pérdida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≈14.000 demandantes en Chiquita Canyon (13-oct-2026), demanda de SCAQMD por sanciones y juicio de olores en Jefferson Parish, sin provisión [12].</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12.912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14.151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16.449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8.392 M en 2025 (el 50 % del capital invertido medio); ha subido más de un 5 % en 7 de 8 años: comprador en serie. ROIC publicado 8,4 %; sin fondo de comercio, 16,7 %. En un comprador en serie el fondo de comercio es el precio de su crecimiento: juzga el publicado.</w:t>
      </w:r>
    </w:p>
    <w:p>
      <w:pPr>
        <w:spacing w:after="100"/>
      </w:pPr>
      <w:r>
        <w:rPr>
          <w:b/>
          <w:bCs/>
        </w:rPr>
        <w:t xml:space="preserve">ROIC incremental</w:t>
      </w:r>
      <w:r>
        <w:t xml:space="preserve"> (variación del NOPAT sobre variación del capital invertido en el periodo): 8,9 % · </w:t>
      </w:r>
      <w:r>
        <w:rPr>
          <w:b/>
          <w:bCs/>
        </w:rPr>
        <w:t xml:space="preserve">WACC</w:t>
      </w:r>
      <w:r>
        <w:t xml:space="preserve">: 7,5 %.</w:t>
      </w:r>
    </w:p>
    <w:p>
      <w:pPr>
        <w:spacing w:after="100"/>
      </w:pPr>
      <w:r>
        <w:t xml:space="preserve">Waste Connections apenas crea valor sobre su coste de capital: ROIC del 8,4 % en 2025 frente a un WACC del 7,52 %, 0,9 puntos [2]. El margen es alto (EBITDA ajustado del 33 %, el mejor de los grandes), pero la rotación es baja: el capital invertido incluye 8.414 M de fondo de comercio y 1.968 M de intangibles de compras, la mitad del total [11]. Sin fondo de comercio el ROIC sería del 16,7 %: los vertederos propios rinden mucho, pero en un comprador en serie el fondo de comercio es el precio del crecimiento y el accionista lo paga. El ROIC incremental histórico, del 8,9 %, dice lo mismo: cada compra rinde algo por encima del WACC, no mucho más. WM (11,6 %) y Republic (11,1 %) tienen ROIC más altos porque su fondo de comercio pesa menos [15]. La tendencia es plana: 7-9 % desde 2017.</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sep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9.339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9.522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96 M a 30-sep-2026 y 948 M disponibles en la línea de crédito (1.929 M dispuestos y 122 M en avales; vence el 27-feb-2029); la dirección habla de «más de 1.000 M» de liquidez y de un apalancamiento de ≈2,75 veces deuda/EBITDA ajustado [12,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Grado de inversión (BBB+ de S&amp;P y Baa1 de Moody's según los folletos de emisión; el 10-K solo dice «investment grade»)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Provisiones de sellado, cierre y post-cierre de vertederos de 635 M a 30-sep-2026 (652 M en diciembre), tras 181,9 M de ajustes y 229,8 M de pagos en nueve meses, sobre todo por Chiquita Canyon [12]. Contraprestaciones contingentes de compras: 79,6 M [11]. Covenant de deuda total entre EBITDA ≤3,75 veces (4,25 en periodos de compras); la empresa estaba en ≈2,75 veces en septiembre de 2026 [1, 13]. Litigios abiertos sin estimación de pérdida: unos 14.000 demandantes por las emisiones del vertedero de Chiquita Canyon (California) a 13-oct-2026, frente a 12.730 en julio, aunque las demandas nuevas se frenan; una demanda del condado de Los Angeles; la demanda de SCAQMD por sanciones (mayo de 2026, en fase de prueba desde septiembre) y la demanda por olores del vertedero de Jefferson Parish (Luisiana) [12]. La propia empresa reclama más de 825 M al condado por el cierre [12].</w:t>
      </w:r>
    </w:p>
    <w:p>
      <w:pPr>
        <w:pStyle w:val="Heading1"/>
      </w:pPr>
      <w:r>
        <w:t xml:space="preserve">12. Asignación de capital</w:t>
      </w:r>
    </w:p>
    <w:p>
      <w:pPr>
        <w:pStyle w:val="Confianza"/>
        <w:spacing w:after="100"/>
      </w:pPr>
      <w:r>
        <w:t xml:space="preserve">Confianza: Alta</w:t>
      </w:r>
    </w:p>
    <w:p>
      <w:pPr>
        <w:spacing w:after="100"/>
      </w:pPr>
      <w:r>
        <w:t xml:space="preserve">Prioridades declaradas: compras de residuos sólidos (lo primero), dividendo creciente (sube cada octubre desde 2010; 0,385 USD trimestrales desde noviembre de 2026, +10 %, 1,54 USD anualizados: la decimosexta subida de dos dígitos seguida) y recompras oportunistas dentro de la autorización anual (NCIB) del 5 % del capital; la renovada en agosto de 2026 permite comprar hasta 12,58 M de acciones hasta agosto de 2027 y a 30-sep quedaban 11,56 M [11, 12]. Apalancamiento objetivo en torno a 2,5-3,0 veces deuda/EBITDA [9]. La empresa promete «crecimiento de dos dígitos de la caja libre ajustada por acción» en 2027 y dice que las compras de 200 M de ingresos al año son ahora su «suelo normalizado»; en 2026 lleva unos 130 M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Progressive Waste Solutions (fusión inversa; sede a Canadá)</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Duplicó el tamaño y dio la plataforma canadiense, la de mayor margen (45 % de EBITDA en 2025)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plantas de residuos de petróleo y gas de Secure Energy (Canadá)</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(1.075 M CAD)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E&amp;P pasó de 232 M de ingresos en 2023 a 689 M en 2025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 compras (incluida Secure)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+11,2 % en 2024; sin deterioros de fondo de comercio desde 2017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compras de residuos sólidos y E&amp;P</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Contribución de 242 M de ingresos en el 1S25 de las compras del periodo anterior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≈130 M de ingresos anualizados (entre ellas dos franquicias de recogida en la costa oeste)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Pagos de 369 M en 9M26; 154 M de contribución de compras a los ingresos en 9M26 [11, 13].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Negocio de residuos de petróleo y gas (comprado en 2012, R360)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Deterioro de 467 M en 2020 por la caída del crudo: la única compra grande que salió mal [8].</w:t>
            </w:r>
          </w:p>
        </w:tc>
      </w:tr>
    </w:tbl>
    <w:p>
      <w:pPr>
        <w:spacing w:after="160" w:before="0"/>
      </w:pPr>
    </w:p>
    <w:p>
      <w:pPr>
        <w:spacing w:after="100"/>
      </w:pPr>
      <w:r>
        <w:t xml:space="preserve">La dirección es una asignadora de capital disciplinada en el negocio principal: compra pequeños operadores de residuos sólidos (15-25 al año) a múltiplos por debajo del suyo y los integra en sus vertederos; el resultado se ve en un margen ajustado que sube y en un ROIC estable del 7-8 %. El ROIC no sube porque el fondo de comercio de cada compra entra al precio pagado. El punto débil fue E&amp;P (deterioro de 467 M en 2020), al que volvió en 2024 con Secure. Desde 2025 recompra de forma agresiva (1.553 M entre enero de 2025 y octubre de 2026; en 2026, 6,4 M de acciones a una media de ≈164 USD) aprovechando la caída de la acción; el consejero delegado compró 50.000 acciones (7,6 M USD) en mayo de 2026 a 152,24 USD, un 18 % por debajo del precio actual (Form 4; ver gobierno). La dirección niega que recompre en lugar de comprar empresas: dice que no paga lo que paga el capital riesgo [13].</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Ronald J. Mittelstaedt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presidente (President)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Fundó la empresa en 1997 y la dirigió hasta 2019; presidente ejecutivo en 2019-2023 y de nuevo consejero delegado desde 2023. Con él los ingresos pasaron de cero a 9.467 M y el margen ajustado al 33 %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Mary Anne Whitney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ejecutiva y directora financiera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2006; directora financiera desde julio de 2018. Antes, Wheelabrator Technologies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Jason Craft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director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 según sus Form 4 de 2026 [22].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Patrick J. Shea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secretario general y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2004; lleva los litigios de Chiquita Canyon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James M. Little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de ingeniería y eliminación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los vertederos; antes en Waste Management (1990-1999)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Michael W. Harlan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no ejecutivo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1998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desde 1998 y presidente independiente; consejero delegado de Principal Environmental [20].</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≈1.800 M (feb-21)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1.919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≈2.145 M (feb-22)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2.221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≈2.500 M (feb-23)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2.523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≈2.860 M (feb-24)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2.902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3.050-3.100 M (aprox., feb-25); caja libre ajustada ≈1.300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3.125 M; caja libre 1.259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ajustado 3.300-3.325 M (feb-26), elevada a 3.330-3.340 M (jul-26) y a ≈3.345 M (oct-26); caja libre ajustada 1.400-1.450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2.505 M de EBITDA ajustado y 1.090 M de caja libre en 9M26; «en camino de superar» la guía [11, 13]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de casa: la directora financiera, el secretario general y el responsable de vertederos llevan 20-27 años en la empresa [20]. La credibilidad es alta: la empresa ha batido su guía de EBITDA ajustado cada año de 2021 a 2025 y en 2026 la ha subido dos veces [4, 11]; la caja libre de 2025 quedó algo corta por los pagos de Chiquita Canyon y el capex de gas renovable. El riesgo está en la sucesión: el fundador tiene 62 años y volvió en 2023 tras la salida de su sucesor (cuyo coste de separación aún aparece en la caja libre ajustada), y el proxy no nombra a un sucesor [20]. El consejero delegado compró 50.000 acciones (7,6 M USD) en mayo de 2026, la mayor compra de un directivo en años; desde entonces solo hay ventas pequeñas de directivos de segunda línea (menos de 0,5 M USD cada una) [22].</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W. Harlan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Ejecutiva (presidente);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Ronald J. Mittelstaedt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Elise L. Jordan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Susan "Sue" Lee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 (presidenta);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Edward E. "Ned" Guillet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 Nombramientos y gobierno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Cherylyn Harley LeBon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Carl D. Sparks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Daniel L. Florness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88 %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4,2 %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(también sobre control interno)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7,61 / ventas 6,46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(Schedule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 de 31-oct-2025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(35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690.838 acciones a marzo de 2026; +50.000 del consejero delegado en mayo</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46.348 acciones; las recompras se amortizan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Ronald J. Mittelstaedt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Patrick J. Shea (secretario general)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Edward E. Guillet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Eric Hansen (director de sistemas)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Robert M. Cloninger (vicesecretario general)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Philip Rivard (desarrollo de negocio)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James M. Little (ingeniería y eliminación)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Susan Netherton (personas y formación)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Jason Craft (director de operaciones)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Derek Tan (director de contabilidad)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Robert Nielsen III (operaciones; seis ventas hasta ago-26)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0,68</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variable anual del consejero delegado (objetivo del 160 % del salario, máximo del doble) se paga sobre EBITDA (20 %), EBIT (20 %), margen EBIT (30 %) y flujo operativo sobre ventas (30 %), contra el presupuesto ajustado; en 2025 se logró el 103 % y se pagó el 160 % del objetivo (3,10 M USD) [20]. El variable a largo plazo (5,30 M) son acciones restringidas y PSU a tres años ligadas a la caja libre ajustada por acción y a la mejora del ROIC (50 % cada una), con un modificador por rentabilidad frente al S&amp;P 500 y un suplemento ESG; los PSU 2023-2025 pagaron el 139,5 % [20]. Las métricas premian rentabilidad y caja, no tamaño. Hay cláusula de recuperación. El voto consultivo sobre remuneración logró un 95,3 % a favor en 2026 y más del 95 % en 2025 [20, 21]. La retribución total objetivo está entre los percentiles 25 y 50 de su grupo de comparación [20].</w:t>
      </w:r>
    </w:p>
    <w:p>
      <w:pPr>
        <w:pStyle w:val="Heading2"/>
      </w:pPr>
      <w:r>
        <w:t xml:space="preserve">Operaciones vinculadas, estructura de control y defensas</w:t>
      </w:r>
    </w:p>
    <w:p>
      <w:pPr>
        <w:spacing w:after="100"/>
      </w:pPr>
      <w:r>
        <w:t xml:space="preserve">Sin accionista de control: el mayor es Vanguard con el 12,4 %, como inversor pasivo [20]. Una sola clase de acciones, una acción un voto; la sociedad es de Ontario (Canadá), con derecho de sociedades canadiense y cotización en NYSE y TSX. El presidente del consejo es independiente desde 2019 y no hay consejero coordinador porque no hace falta. Sin operaciones vinculadas relevantes. Los consejeros deben tener acciones por cinco veces su retribución en efectivo [20]. El punto débil es la permanencia: el presidente lleva 28 años en el consejo y otro consejero 19, y la presidenta de la comisión de remuneraciones obtuvo solo un 66 % de votos a favor en 2026 (33,6 % de abstenciones) tras faltar a las reuniones de julio de 2025 [20, 21].</w:t>
      </w:r>
    </w:p>
    <w:p>
      <w:pPr>
        <w:pStyle w:val="Heading2"/>
      </w:pPr>
      <w:r>
        <w:t xml:space="preserve">Señales de alerta</w:t>
      </w:r>
    </w:p>
    <w:p>
      <w:pPr>
        <w:pStyle w:val="ListParagraph"/>
        <w:numPr>
          <w:ilvl w:val="0"/>
          <w:numId w:val="2"/>
        </w:numPr>
        <w:spacing w:after="60"/>
      </w:pPr>
      <w:r>
        <w:t xml:space="preserve">La presidenta de la comisión de remuneraciones (Susan Lee) recibió un 33,6 % de votos en contra o abstenciones en la junta de mayo de 2026 [21].</w:t>
      </w:r>
    </w:p>
    <w:p>
      <w:pPr>
        <w:pStyle w:val="ListParagraph"/>
        <w:numPr>
          <w:ilvl w:val="0"/>
          <w:numId w:val="2"/>
        </w:numPr>
        <w:spacing w:after="60"/>
      </w:pPr>
      <w:r>
        <w:t xml:space="preserve">Sin sucesor designado para el fundador y consejero delegado, que volvió al cargo en 2023 [20].</w:t>
      </w:r>
    </w:p>
    <w:p>
      <w:pPr>
        <w:pStyle w:val="ListParagraph"/>
        <w:numPr>
          <w:ilvl w:val="0"/>
          <w:numId w:val="2"/>
        </w:numPr>
        <w:spacing w:after="60"/>
      </w:pPr>
      <w:r>
        <w:t xml:space="preserve">Litigios ambientales de Chiquita Canyon sin estimación de pérdida (≈12.730 demandantes; sanciones de SCAQMD pendientes).</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(21-oct-2026, segunda subida del año): ingresos de ≈10.090 M, beneficio neto de ≈1.180 M, EBITDA ajustado de ≈3.345 M (33,2 %), capex de ≈1.250 M, flujo operativo de 2.640-2.690 M y caja libre ajustada de 1.400-1.450 M; excluye compras futuras [11]. Implica un 4T26 de ≈2.520 M de ingresos y un margen ajustado del 33,3 % [13]. Para 2027 la dirección dio un marco, no una guía: ingresos «de un dígito medio-alto» (incluye ≈1 punto de arrastre de compras y gas renovable y 1-2 puntos de compras futuras normalizadas), 20-40 pb de mejora del margen sin gasóleo y caja libre ajustada por acción creciendo a dos dígitos; la guía formal llegará en febrero de 2027 (fecha aún no anunciada; la del 4T25 fue el 11-feb-2026)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3"/>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(27 analistas en BPA, 24 en ingresos); EBITDA = guía de la empresa; DPA = 3 × 0,35 + 0,385 [11, 28]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(27 analistas en BPA, 26 en ingresos) [28]; TickFlow 6,19 (16, sin actualizar tras el 3T26) [27]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TickFlow (5 analistas en BPA, 13 en ingresos) [27]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11.179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11.150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 3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206,32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170,00 – 225,00</w:t>
            </w:r>
          </w:p>
        </w:tc>
      </w:tr>
    </w:tbl>
    <w:p>
      <w:pPr>
        <w:spacing w:after="160" w:before="0"/>
      </w:pPr>
    </w:p>
    <w:p>
      <w:pPr>
        <w:pStyle w:val="Heading2"/>
      </w:pPr>
      <w:r>
        <w:t xml:space="preserve">Revisiones de estimaciones</w:t>
      </w:r>
    </w:p>
    <w:p>
      <w:pPr>
        <w:spacing w:after="100"/>
      </w:pPr>
      <w:r>
        <w:t xml:space="preserve">El BPA ajustado de consenso de 2026 sube de 5,63 USD hace 90 días a 5,69 hoy, tras cuatro trimestres seguidos por encima de lo esperado (3T26: 1,58 frente a 1,52) [13, 28]. El de 2027 apenas se mueve (6,20 hace 90 días y 7 días; 6,17 hoy): el marco de 2027 confirmó lo que ya se esperaba [28]. Los objetivos sí suben: once casas los elevaron el 22-23-oct (CIBC 184 → 207, Wells Fargo 187 → 211, Deutsche Bank 191 → 205, Citi 175 → 192, entre otras), y el objetivo medio pasa de 197,4 USD (14-oct, Stock Analysis) a 206,3 (Yahoo, 26 analistas) o 202,4 (MarketBeat, 19) [25, 28, 29]. Recuento de recomendaciones de S&amp;P Global (Stock Analysis); objetivos de Yahoo; Stock Analysis da aún 196,72 USD y un BPA 2026 sin actualizar (5,65), por eso no lo usamos para las cifras [25].</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1,6 %</w:t>
            </w:r>
          </w:p>
        </w:tc>
      </w:tr>
    </w:tbl>
    <w:p>
      <w:pPr>
        <w:spacing w:after="160" w:before="0"/>
      </w:pPr>
    </w:p>
    <w:p>
      <w:pPr>
        <w:spacing w:after="100"/>
      </w:pPr>
      <w:r>
        <w:t xml:space="preserve">La acción ha recuperado en un mes lo perdido en el año: +19,7 % desde el 23-sep, hasta 186,60 USD, un máximo de 52 semanas, y +6,4 % en 2026 frente al +11,4 % del S&amp;P 500 [24]. Tres causas, por orden: (1) los resultados del 3T26 (+9,9 % el 22-oct, el mayor alza diaria en años), con la segunda subida de la guía y un marco de 2027 mejor de lo temido; (2) un rebote de todo el sector (WM +13 % y Republic +9 % entre el 12 y el 23-oct), que también publicaba resultados; y (3) la bajada del bono a 10 años del 5,24 % (9-oct) al 5,00 % (23-oct), que favorece a los valores defensivos de PER alto [11, 24, 30]. A cinco años la acción sigue por detrás del índice (+7,2 % anual frente al +10,8 %). La caída máxima de cinco años, −24,9 %, va de abril de 2025 a mayo de 2026. Beta mensual de cinco años de 0,44 (0,62 ajustada) [24].</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+19,7 % / +10,2 % / +12,4 % / +4,6 %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 / +25,2 %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lateral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2027-02-10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por encima de lo esperado con la guía elevada (+9,9 % el 22-oct), rebote del sector (WM +13 %, Republic +9 % en dos semanas) y bono a 10 años del 5,24 % al 5,00 %; el 15-oct (+5,5 %) coincidió con la bajada del bono (5,19 → 5,10 %) y la subida de WM (+3,9 %) [11, 24,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12-feb-2026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de 2026 por debajo de lo esperado, con más gasto de cierre de Chiquita Canyon; la guía se ha superado y elevado dos veces desde entonces [11,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por encima del consenso (BPA ajustado 1,58 frente a 1,52), segunda subida de la guía de 2026 y dividendo +10 % [11, 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Once subidas de objetivo tras los resultados (objetivo medio 206,32 USD en Yahoo, 202,39 en MarketBeat); ningún cambio a vender; Citi sigue en neutral (192) [28,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JPMorgan rebajó el objetivo de 195 a 180 USD antes de los resultados (sobreponderar); hoy la cotización lo supera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2026-05-12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consejero delegado compró 50.000 acciones (7,6 M USD a 152,24); desde entonces solo ventas pequeñas de directivos de segunda línea (≤ 0,5 M USD cada una), ninguna desde el 19-ago (Form 4 de la SEC).</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Chiquita Canyon: ≈14.000 demandantes (12.730 en julio), demanda de SCAQMD por sanciones en fase de prueba y demanda del condado; sin estimación de pérdida. Sin fecha de sentencia ni acuerdo en los próximos meses [12].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ampliaciones ni convertibles: la empresa recompra (más de 1.000 M en 2026, 11,56 M de acciones aún autorizadas) y se financia con bonos (600 M USD en marzo, 700 M CAD en agosto) [12, 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2027-02-10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4T26 y guía formal de 2027, previsiblemente a mediados de febrero (fecha aún no anunciada; estimación por el calendario de 2026) [13].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subida del último mes tiene causa conocida y pública: resultados mejores de lo esperado, un sector que rebota a la vez y un bono que baja 24 pb; no hay un hecho pendiente que pueda mover el precio más de un 5 % en contra (sin colocaciones, accionista de control, ampliaciones ni ofertas). Chiquita Canyon es un riesgo de fondo sin fecha. Los resultados del 4T26 (febrero) no retrasan nada (regla 11). Fuentes revisadas: EDGAR (8-K, 10-Q, Form 4), Yahoo, MarketBeat, Stock Analysis y titulares de Seeking Alpha.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El motor calcula el PER y el EV/EBITDA sobre cifras contables, que en 2020 (deterioro de 467 M) y 2024 (613 M) salen distorsionados; 2020 queda excluido. En la base que usa el mercado (BPA ajustado), WCN cotizó entre 31 y 36 veces el BPA del año siguiente en 2019-2025 (mediana de cinco años de 31,6 veces) y hoy cotiza a 30,9 veces nuestro BPA ajustado de 2027: el descuento frente a su historia, que era del 18 % el 14-oct, casi ha desaparecido con la subida del 21 % de la acción. El bono a 10 años sigue en el 5,0 %, frente al 1,5-4,0 % de 2019-2024, así que la acción vuelve a cotizar como si los tipos fueran los de entonces [24, 30].</w:t>
      </w:r>
    </w:p>
    <w:p>
      <w:pPr>
        <w:pStyle w:val="Heading1"/>
      </w:pPr>
      <w:r>
        <w:t xml:space="preserve">18. Comparables cotizados</w:t>
      </w:r>
    </w:p>
    <w:p>
      <w:pPr>
        <w:pStyle w:val="Confianza"/>
        <w:spacing w:after="100"/>
      </w:pPr>
      <w:r>
        <w:t xml:space="preserve">Confianza: Media</w:t>
      </w:r>
    </w:p>
    <w:p>
      <w:pPr>
        <w:spacing w:after="100"/>
      </w:pPr>
      <w:r>
        <w:t xml:space="preserve">Las cuatro cotizadas de residuos sólidos de Norteamérica (WM, Republic, GFL y Casella), más Clean Harbors (residuos industriales y peligrosos, competidor en E&amp;P) y Veolia (residuos y agua en Europa, el único grande no norteamericano). Todos con Yahoo a 23-oct-2026 [28]: PER de los próximos 12 meses con el BPA ajustado de consenso (0,18 × 2026e + 0,82 × 2027e); crecimiento = ingresos de 2027e sobre 2026e de consenso; ROIC de Stock Analysis [15]. WM y Republic aún no han publicado el 3T26: su EBITDA LTM es a junio. Su BPA no excluye la amortización de intangibles comprados y el de WCN sí, así que en la misma base WCN estaría más caro. GFL y Casella tienen PER de 50-70 veces por un beneficio deprimido por amortizaciones de compras; Veolia cotiza a múltiplos de utility europea. Sin EV/EBITDA de los próximos 12 meses gratuito con la misma definición.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Waste Connections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Waste Management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Republic Services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GFL Environmental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Casella Waste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Clean Harbors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Veolia Environnement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 / 16,1x / 16,6x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161,26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177,15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27,8x / 30,8x / 46,6x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168,81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187,06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283,78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9.944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3,3x / 3,9x / 4,4x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115,20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138,46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WCN cotiza a 17,5 veces el EBITDA de los últimos 12 meses según Yahoo, por encima de WM (15,2) y Republic (16,7), con el margen EBITDA más alto (33 % ajustado) y menos crecimiento por volumen que Casella [28]. En PER de los próximos 12 meses (30,8 veces el consenso) está a la par de Republic (30,3) y por encima de WM (26,9), pero su BPA ajustado excluye la amortización de intangibles comprados (≈190 M al año, ≈0,60 USD por acción) y el de WM y Republic no: en la misma base estaría a ≈35 veces. La mediana de PER de los seis comparables es de 30,8 veces, inflada por GFL y Casella; la de WM, Republic y Clean Harbors es de 30,3. La prima de WCN sobre WM se justifica por margen y precio, no por ROIC (WM 11,6 % frente al 8-9 % de WCN) [15].</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 Ecology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Republic Services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2.200 M con 700 M de deuda; EBITDA ajustado LTM a sep-21 de 156 M e ingresos de 968 M [31]. Residuos industriales y peligrosos.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Urbaser (España)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Blackstone y EQT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5.600 M EUR, ≈11 veces el EBITDA de 2025 según la prensa [34]. Residuos municipales en Europa.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Environmental Services de GFL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Apollo y BC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8.000 M CAD de valor empresa; el comprador habla de más de 500 M CAD de EBITDA ajustado, lo que da como mucho 16 veces (cálculo propio) [33].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Stericycle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Waste Management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62 USD por acción, 7.200 M con 1.400 M de deuda; prima del 24 % sobre la media de 60 días; sin múltiplo publicado [32].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plantas de residuos de petróleo y gas de Secure Energy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Waste Connections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1.075 M CAD, desinversión ordenada por el Tribunal de la Competencia; sin múltiplo publicado [35].</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operaciones grandes del sector se pagan a 11-16 veces el EBITDA (US Ecology 14,1; Urbaser ≈11; GFL Environmental Services ≤16), por debajo del múltiplo al que cotiza hoy WCN (17,5 veces según Yahoo) [28]. Las compras pequeñas que hace la propia WCN se pagan menos, y la dirección dice que el capital riesgo paga hoy más de lo que ella está dispuesta a pagar [13]. WCN no es objetivo verosímil de una opa: con ≈56.000 M de valor empresa solo WM o Republic podrían comprarla, y la competencia lo impediría. Solo dos operaciones tienen múltiplo publicado, por debajo del mínimo de tres: no las ponderamos.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2026 es fijo: +6,6 %, la guía de ≈10.090 M elevada el 21-oct con las compras del año [11]. Desde 2027 proyectamos crecimiento orgánico más el arrastre de lo ya comprado y de las plantas de gas renovable (≈1 punto en 2027, según la dirección [13]): 5,5 % en 2027, 5,0 % en 2028 y bajada hasta el 3,5 % en 2032. El precio aporta 4,5 puntos (precio core del 5,5-6,5 % en 2024-2026 menos bajas) y el volumen pasa de −1,2 % en el 3T26 a 0 % en 2027 y +0,5 % después [11]. Excluimos compras futuras: se pagan a 10-15 veces EBITDA con un ROIC cercano al WACC, así que añaden ingresos pero poco valor. El marco de la dirección para 2027 («un dígito medio-alto») incluye 1-2 puntos de compras futuras; sin ellas, nuestro 5,5 % está en la parte alta de lo orgánico. El consenso de ingresos de 2027 (10.700 M) queda un 0,5 % por encima del nuestro [28].</w:t>
      </w:r>
    </w:p>
    <w:p>
      <w:pPr>
        <w:keepNext/>
        <w:spacing w:after="100"/>
      </w:pPr>
      <w:r>
        <w:rPr>
          <w:b/>
          <w:bCs/>
        </w:rPr>
        <w:t xml:space="preserve">Márgenes.</w:t>
      </w:r>
    </w:p>
    <w:p>
      <w:pPr>
        <w:spacing w:after="100"/>
      </w:pPr>
      <w:r>
        <w:t xml:space="preserve">Partimos del EBITDA contable sin deterioros (32,6 % en la guía de 2026) y restamos 0,8 puntos por los deterioros y ajustes de cierre de vertederos que se repiten cada año (191 M de media en 2017-2025) [4, 8, 11]: 31,8 % en 2026. El margen sube 1,1 puntos hasta el 32,9 % en 2031, en línea con los 20-40 pb anuales de mejora subyacente que la dirección da como normales y con la mejora de 2019-2025 (del 31,0 % al 33,0 % ajustado) [13]. Equivale a un margen ajustado del 33,45 % en 2027 y del 33,8 % en 2028, por encima de WM (30,3 %) y Republic (31,1 %) [28]. No incluimos efecto de las iniciativas de IA en operaciones, que la dirección sitúa a partir de 2028 [13].</w:t>
      </w:r>
    </w:p>
    <w:p>
      <w:pPr>
        <w:keepNext/>
        <w:spacing w:after="100"/>
      </w:pPr>
      <w:r>
        <w:rPr>
          <w:b/>
          <w:bCs/>
        </w:rPr>
        <w:t xml:space="preserve">Inversión y circulante.</w:t>
      </w:r>
    </w:p>
    <w:p>
      <w:pPr>
        <w:spacing w:after="100"/>
      </w:pPr>
      <w:r>
        <w:t xml:space="preserve">Capex de 2026 del 16,9 % de las ventas: 1.250 M de guía, 56 M de terrenos y ≈400 M de compras del año (369 M pagados en 9M26), porque el crecimiento de 2026 las incluye [11]. Desde 2027, 12,3 % bajando al 12,0 %, frente al 12,4 % de la guía de 2026, que lleva ≈75 M de plantas de gas renovable que no se repiten [13]. La amortización (13,0 %, con 1,9 puntos de intangibles comprados) converge al 12,0 % porque, sin compras nuevas, la de intangibles se agota. Circulante del −1,5 % de las ventas, su nivel real (−1,4 % a septiembre de 2026 y −1,65 % a diciembre de 2025: clientes menos proveedores e ingresos anticipados) [11].</w:t>
      </w:r>
    </w:p>
    <w:p>
      <w:pPr>
        <w:keepNext/>
        <w:spacing w:after="100"/>
      </w:pPr>
      <w:r>
        <w:rPr>
          <w:b/>
          <w:bCs/>
        </w:rPr>
        <w:t xml:space="preserve">Coste del capital.</w:t>
      </w:r>
    </w:p>
    <w:p>
      <w:pPr>
        <w:spacing w:after="100"/>
      </w:pPr>
      <w:r>
        <w:t xml:space="preserve">Tasa libre: bono del Tesoro a 10 años al 5,00 % (23-oct-2026; 5,24 % en el informe anterior) [30, 36]. Beta de 0,60, calculada y no copiada: las betas ajustadas mensuales de cinco años de WM, Republic, GFL y Casella (0,55-0,81) desapalancadas con su deuda dan una mediana de 0,52, que reapalancada con la deuda de WCN (20 % de su capitalización) da 0,60; la de la propia WCN es de 0,44 sin ajustar y 0,62 ajustada [24, 28]. Prima de mercado del 5,5 % y sin prima adicional (86 % del negocio en EE. UU., grado de inversión). Coste de la deuda antes de impuestos del 4,8 %, el de la última emisión en dólares (bonos de 2036); el coste medio de la deuda es del ≈4 % [13]. Peso de la deuda del 16,8 % a valor de mercado. WACC del 7,52 %. Con la prima implícita del mercado (4,2 %), el WACC baja al 6,87 %.</w:t>
      </w:r>
    </w:p>
    <w:p>
      <w:pPr>
        <w:keepNext/>
        <w:spacing w:after="100"/>
      </w:pPr>
      <w:r>
        <w:rPr>
          <w:b/>
          <w:bCs/>
        </w:rPr>
        <w:t xml:space="preserve">Valor terminal.</w:t>
      </w:r>
    </w:p>
    <w:p>
      <w:pPr>
        <w:spacing w:after="100"/>
      </w:pPr>
      <w:r>
        <w:t xml:space="preserve">Gordon con un 3,0 %: crecimiento real del 0,5-1 % (población y actividad) más una inflación del 2-2,5 %, por debajo de la tasa libre menos medio punto (4,5 %). El negocio es de precio: el crecimiento terminal depende de seguir subiendo tarifas en línea con la inflación, que es lo que ha hecho durante 25 años. El valor terminal es el 77 % del DCF y equivale a 11 veces el EBITDA de salida, frente a 17,3 veces hoy: es la diferencia entre lo que paga el mercado y lo que justifica la caja al 7,5 %.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6,87 %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29.953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119,77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187,77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113,11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153,77</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M (1 %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 (reinvierte el 83 %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 (histórico: 8,9 %)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 frente al 4,7 %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 (hoy: 8,2 %)</w:t>
            </w:r>
          </w:p>
        </w:tc>
      </w:tr>
    </w:tbl>
    <w:p>
      <w:pPr>
        <w:spacing w:after="160" w:before="0"/>
      </w:pPr>
    </w:p>
    <w:p>
      <w:pPr>
        <w:spacing w:after="100"/>
      </w:pPr>
      <w:r>
        <w:t xml:space="preserve">La proyección apenas necesita inversión neta de la amortización (reinversión acumulada de 91 M, el 1 % del NOPAT, con un capex bruto medio del 12,8 % de las ventas). En un negocio de activos ligeros, el crecimiento medio del 4,7 % tiene que salir de subir precios y de ganar volumen sin capital nuevo, y la prueba es el poder de precios y la cuota (8,6 % del mercado en 2030e, frente al 8,2 %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del 21-oct: crecimiento orgánico de residuos sólidos del 3,8 % en 9M26 (rendimiento 4,5 %, recargos 0,8 %, volumen −1,5 %), compras de ≈2 puntos (154 M en 9M26), E&amp;P y gas renovable [11].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del 4,5 % (diferencial de ≈150 pb sobre los costes que busca la dirección), volumen plano (vertederos al alza en el 3T26, vivienda floja) y ≈1 punto de arrastre de compras y gas renovable [13].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del 4,5 % y volumen del +0,5 %, como la media de 2017-2019 antes de la fase de bajas voluntarias.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converge al 4 %: la inflación de costes baja y el diferencial se estrecha.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del 3,7 % y volumen del 0,5 %; la cuota implícita pasa del 8,2 % al 8,6 %.</w:t>
            </w:r>
          </w:p>
        </w:tc>
      </w:tr>
    </w:tbl>
    <w:p>
      <w:pPr>
        <w:spacing w:after="160" w:before="0"/>
      </w:pPr>
    </w:p>
    <w:p>
      <w:pPr>
        <w:spacing w:after="100"/>
      </w:pPr>
      <w:r>
        <w:t xml:space="preserve">Sí. El crecimiento proyectado (4,7 % de media) sale casi entero de subir precios, y la empresa ha subido el precio core por encima de la inflación cada año desde su salida a bolsa (6,4-6,6 % en 2024-2025 y 5,7 % en 9M26, con el margen al alza) [4, 11]. La reinversión es baja porque el negocio es de precio: el motor no hace la prueba de reinversión (1 % del NOPAT, «sin inversión neta»); a mano, el capex supera a la depreciación en ≈1 punto de ventas (≈110 M al año, el 6 % del NOPAT), que al ROIC del 8,4 % financia un 0,5 % de volumen, justo lo proyectado. La cuota implícita sube del 8,2 % al 8,6 % en 2030, holgada. El foso (permisos de vertedero, franquicias exclusivas) es amplio; lo que no sostiene la calidad es un ROIC alto: con 0,9 puntos sobre el WACC, el crecimiento comprado apenas crea valor, por eso no lo proyectamos.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11,3 % (base: 4,4 %)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41,8 % (base: 32,9 %)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 (WACC: 7,5 %)</w:t>
            </w:r>
          </w:p>
        </w:tc>
      </w:tr>
    </w:tbl>
    <w:p>
      <w:pPr>
        <w:spacing w:after="160" w:before="0"/>
      </w:pPr>
    </w:p>
    <w:p>
      <w:pPr>
        <w:spacing w:after="100"/>
      </w:pPr>
      <w:r>
        <w:t xml:space="preserve">El DCF da 119,77 USD por acción, un 35,8 % por debajo del precio, con un valor terminal del 77 %. Sube un 10 % frente al informe del 14-oct (108,54) por la tasa libre (5,00 % frente a 5,24 %), la beta (0,60 frente a 0,65) y la guía de 2026 más alta. El DCF inverso dice que, con nuestro margen, el precio de 186,60 USD descuenta un crecimiento anual del 11,3 % en 2027-2032 frente al 4,4 % de nuestro base, o una rentabilidad implícita del 6,2 % frente a un WACC del 7,5 % y al 6,9 % que pide hoy el mercado. Es exigente: la empresa creció un 9,4 % anual desde 2017, la mitad por compras, y nunca ha crecido así de forma orgánica. El mercado paga las compras futuras como si crearan valor y acepta una rentabilidad por debajo de su coste de capital por la estabilidad del negocio. Con la prima implícita del mercado el DCF sube a 146,22 USD, aún un 22 % bajo el precio. La conclusión no depende de la beta: con un WACC del 6,5 % y un 3 % de crecimiento terminal el DCF da 164,62 USD, todavía por debajo del precio.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Recesión con construcción y residuos especiales en caída, volumen del −4 % y precio core que baja al 3 %; Chiquita Canyon suma sanciones y acuerdos de varios cientos de millones y E&amp;P se hunde con el crudo. Ya pasó en 2009 (ingresos de los grandes −10-15 %) y en E&amp;P en 2020.</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del 4,5 %, volumen que vuelve a cero en 2027, margen ajustado que sube unos 30 pb al año y salidas de Chiquita Canyon decrecientes; sin compras ni recompras nuevas en la proyección.</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133,78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Recuperación de la construcción y de los residuos especiales, E&amp;P sostenido por el crudo caro, IA en precios y rutas que añade 70 pb de margen y gas renovable a pleno rendimiento desde 2027.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186,6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112,18 USD (-39,9 %).</w:t>
      </w:r>
    </w:p>
    <w:p>
      <w:pPr>
        <w:spacing w:after="100"/>
      </w:pPr>
      <w:r>
        <w:t xml:space="preserve">La asimetría es mala en valor intrínseco: el alcista vale 133,78 USD (−28,3 %) y el bajista 75,40 USD (−59,6 %), así que incluso el escenario favorable queda muy por debajo del precio. La razón no es el negocio sino la tasa: un WACC del 7,5 % no paga 31 veces el beneficio de una empresa que crece un 5 % orgánico. A 12 meses, con la regla de múltiplos, la asimetría sigue siendo inferior a uno (0,82 veces): con la acción en máximos de 52 semanas y el PER ya en su mediana histórica, el bajista (−21,9 % hasta 144,25 USD) pesa casi tanto como el alcista (+19,2 % hasta 221,12).</w:t>
      </w:r>
    </w:p>
    <w:p>
      <w:pPr>
        <w:pStyle w:val="Heading1"/>
      </w:pPr>
      <w:r>
        <w:t xml:space="preserve">22. Suma de partes</w:t>
      </w:r>
    </w:p>
    <w:p>
      <w:pPr>
        <w:pStyle w:val="Confianza"/>
        <w:spacing w:after="100"/>
      </w:pPr>
      <w:r>
        <w:t xml:space="preserve">Confianza: Media</w:t>
      </w:r>
    </w:p>
    <w:p>
      <w:pPr>
        <w:spacing w:after="100"/>
      </w:pPr>
      <w:r>
        <w:t xml:space="preserve">No aplica: las seis regiones hacen el mismo negocio integrado de residuos sólidos; E&amp;P (7 % de los ingresos) se reporta dentro de las regiones y no tiene cifras propias de EBITDA.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186,6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206,32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187,06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283,78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187,53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130,95 USD (-29,8 % sobre 186,60).</w:t>
      </w:r>
    </w:p>
    <w:p>
      <w:pPr>
        <w:spacing w:after="100"/>
      </w:pPr>
      <w:r>
        <w:t xml:space="preserve">Pesamos el DCF al 50 %, los escenarios al 30 % y los comparables al 20 %, sin transacciones (solo dos con múltiplo). El DCF es el método más fiable para un negocio tan estable, pero aquí es muy sensible a la tasa libre y al terminal (77 % del valor). Los comparables por PER de los próximos 12 meses dan 187,06 USD y por EV/EBITDA 170,66 USD, muy por encima del DCF: el sector entero cotiza a múltiplos que su caja no justifica a un 7,5 %, así que los comparables miden el precio relativo, no el valor. La dispersión (75,40-187,06 USD) refleja esa brecha. Valor intrínseco: 130,95 USD, un 29,8 % por debajo del precio. Puente a 30-sep-2026: deuda financiera de 9.435 M en balance (incluye 14 M de arrendamientos financieros; los operativos no, porque en US GAAP su coste ya está en el EBITDA), caja de 96 M y otros ajustes de 182,5 M (79,6 M de contraprestaciones contingentes y 102,9 M de recompras de octubre, porque las acciones del informe ya las descuentan) [11, 12]. Las provisiones de cierre de vertederos (635 M) no van al puente, como en los comparables: sus salidas están en el margen del DCF.</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(30.9x) a mitad de camino hacia la mediana de 5 años (31.6x)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203,42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221,12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r>
    </w:tbl>
    <w:p>
      <w:pPr>
        <w:spacing w:after="160" w:before="0"/>
      </w:pPr>
    </w:p>
    <w:p>
      <w:pPr>
        <w:spacing w:after="100"/>
      </w:pPr>
      <w:r>
        <w:rPr>
          <w:b/>
          <w:bCs/>
        </w:rPr>
        <w:t xml:space="preserve">Objetivo a 12 meses (ponderado):</w:t>
      </w:r>
      <w:r>
        <w:t xml:space="preserve"> 193,05 USD · rentabilidad +4,2 % (base +9,8 %) · señal Mantener.</w:t>
      </w:r>
    </w:p>
    <w:p>
      <w:pPr>
        <w:spacing w:after="100"/>
      </w:pPr>
      <w:r>
        <w:t xml:space="preserve">Para comparar, con la regla v2 (historia al cierre, mismo precio): 26,3x / 30,9x / 35,5x, 7,9 %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ajustado de 2027 (6,04 USD) queda un 2,1 % por debajo del consenso (6,17, 27 analistas) y el de 2028 (6,52) un 4,5 % por debajo de 6,83 (solo cinco analistas, sin actualizar). La diferencia es de recompras y compras: el consenso supone que la empresa sigue recomprando 1,5-2,5 % del capital al año y comprando 150-200 M de ingresos anuales; nosotros no proyectamos ninguna de las dos (regla del método). En ingresos de 2027 estamos un 0,5 % por debajo. Nuestro precio base (203,42 USD) queda un 1,4 % por debajo del objetivo medio de los analistas (206,32), y nuestro rango (144-221 USD) lo contiene: la distancia es ahora pequeña porque nuestro PER base (31,2x) ya está en la historia de la empresa.</w:t>
      </w:r>
    </w:p>
    <w:p>
      <w:pPr>
        <w:keepNext/>
        <w:spacing w:after="100"/>
      </w:pPr>
      <w:r>
        <w:rPr>
          <w:b/>
          <w:bCs/>
        </w:rPr>
        <w:t xml:space="preserve">Del valor intrínseco al objetivo a 12 meses.</w:t>
      </w:r>
    </w:p>
    <w:p>
      <w:pPr>
        <w:spacing w:after="100"/>
      </w:pPr>
      <w:r>
        <w:t xml:space="preserve">El objetivo a 12 meses (193,05 USD ponderado; 203,42 en el base) está un 47 % por encima del valor intrínseco (130,95 USD). La distancia es de tasa de descuento: el objetivo supone que el mercado sigue pagando 31 veces el BPA ajustado, su mediana de cinco años, y el DCF dice que a un 7,5 % de coste de capital eso no se justifica. A 12 meses la rentabilidad es solo crecimiento del BPA y dividendo (+4,2 % ponderada), porque el múltiplo ya no tiene recorrido: la subida del 21 % en dos semanas se lo ha comido. Para cerrar la distancia hacia arriba haría falta que bajara el bono a 10 años (cada 50 pb de WACC mueven el DCF un 15-20 %); hacia abajo, que el mercado aplique al sector el múltiplo que justifica la caja.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 (fecha sin anunciar)</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formal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Concreta el marco del 22-oct (ingresos de un dígito medio-alto, +20-40 pb de margen, caja libre por acción +10 % o más) y la bajada de las salidas de Chiquita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Sanciones de SCAQMD y demandas de Chiquita Canyon (≈14.000 demandantes)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no estimada; un acuerdo global podría costar cientos de millones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Vista sobre la demanda de WCN contra el condado de Los Angeles (más de 825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señal de si la reclamación prospera; compensaría parte de los costes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agosto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bajo la NCIB (11,56 M de acciones autorizadas a 30-sep, el 4,6 %)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el BPA por acción si se ejecuta; no está en nuestra proyección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de EE. UU. (5,00 %)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múltiplo del sector depende de él; 50 pb menos de WACC moverían el DCF un 15-20 %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Crudo y perforación (E&amp;P, 8 % de los ingresos)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dirección espera más correlación entre E&amp;P y el crudo en 2027; un crudo a la baja quitaría la parte más volátil del crecimiento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del sector con tipos altos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 hasta el valor intrínseco; −22 % en el bajista a 12 meses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que crece un 7-9 % al año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por debajo de 25 veces o bono a 10 años por encima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Chiquita Canyon: sanciones, demandas y más costes de cierre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 y ambiental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 a −3 % (500-1.500 M de pagos)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reclama más de 825 M al condado; reacción que se enfría según lo previsto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ajustes de provisiones o un acuerdo con los demandantes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negativo prolongado (vivienda, residuos especiales, bajas por precio)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(bajista a 12 meses: −21,9 %)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core del 5,5-6 %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residuos sólidos por debajo del −3 %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poder de precios (regulación de tarifas, concursos municipales, presión sobre los hogares)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Mercados exclusivos y vertederos propios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core por debajo del 4 %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E&amp;P y materias primas a la baja (crudo, cartón, RIN)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E&amp;P es el 8 % de los ingresos, mitad en producción canadiense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E&amp;P por debajo de 180 M en un trimestre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a precios altos o mal integradas (como E&amp;P en 2020)</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de cientos de compras pequeñas; la dirección dice que no paga lo que paga el capital riesgo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 de fondo de comercio o compra grande fuera de residuos sólidos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 del fundador y consejero delegado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 de 20-27 años en la empresa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retirada sin sucesor interno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Gasóleo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Recargos de combustible (1,3 puntos de ingresos en el 3T26)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40 pb o más de margen perdido por gasóleo en un trimestre</w:t>
            </w:r>
          </w:p>
        </w:tc>
      </w:tr>
    </w:tbl>
    <w:p>
      <w:pPr>
        <w:spacing w:after="160" w:before="0"/>
      </w:pPr>
    </w:p>
    <w:p>
      <w:pPr>
        <w:pStyle w:val="Heading2"/>
      </w:pPr>
      <w:r>
        <w:t xml:space="preserve">Pre-mortem</w:t>
      </w:r>
    </w:p>
    <w:p>
      <w:pPr>
        <w:spacing w:after="100"/>
      </w:pPr>
      <w:r>
        <w:t xml:space="preserve">Octubre de 2029: la acción ha perdido un 40 % y cotiza a 112 USD. Lo que pasó: el rebote de octubre de 2026 devolvió el PER a 31 veces, pero el bono a 10 años de EE. UU. no bajó del 5 % y el mercado dejó de pagar 30 veces por un crecimiento orgánico del 5 %; el sector se recolocó a 20 veces el BPA, como las utilities. A la vez, la recesión de 2027-2028 llevó el volumen a −4 % durante dos años, el crudo volvió a 60 USD y E&amp;P cayó un 30 %, y el precio core bajó al 3,5 % porque los municipios sacaron a concurso franquicias que antes se renovaban solas. Chiquita Canyon terminó con un acuerdo de 900 M con vecinos y condado, y el fundador se retiró en 2028 sin un sucesor con su historial de compras. El BPA ajustado de 2029 quedó en 5,6 USD en vez de 7,0, y a 20 veces da 112 USD. Los indicadores que lo anunciaban: un PER adelantado por encima de su mediana con el bono al 5 % (la situación de hoy), el precio core por debajo del 4,5 % durante dos trimestres y nuevos ajustes de provisiones de cierre en California.</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Oportunidad · </w:t>
      </w:r>
      <w:r>
        <w:rPr>
          <w:b/>
          <w:bCs/>
        </w:rPr>
        <w:t xml:space="preserve">Efecto en valor (3-5 años):</w:t>
      </w:r>
      <w:r>
        <w:t xml:space="preserve"> +2 % a +4 % (alcista: +70 pb de margen)</w:t>
      </w:r>
    </w:p>
    <w:p>
      <w:pPr>
        <w:spacing w:after="100"/>
      </w:pPr>
      <w:r>
        <w:t xml:space="preserve">La IA no sustituye nada de lo que vende WCN: recoger, transportar y enterrar residuos es físico, local y exige permisos que tardan una década. Toca los costes: la herramienta de precios con IA de 2025 superó lo esperado (mejor retención y menos rebajas) y hay tres iniciativas en operaciones (rutas, mantenimiento, atención) que estarán desplegadas entre finales de 2027 y mediados de 2028, con efecto en márgenes desde 2028 y pleno en 2029 [13]. No está en nuestro base. Los centros de datos dan volumen de construcción (20-40 pb), no recurrente [13]. Señal: mejora subyacente del margen por encima de 40 pb en 2028 (a favor) o competidores que bajan precios con la misma tecnología.</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Tres asuntos mueven las cifras. (1) Metano de vertedero y gas renovable: la empresa captura gas para producir gas natural renovable y vende créditos RIN; la regulación de metano (EPA, CARB) eleva el capex y las sanciones [1, 7]. (2) Gestión de vertederos: la reacción térmica de Chiquita Canyon costó 613 M en 2024, 132 M de ajustes en 9M26 y 100-150 M de caja en 2026, además de litigios con unos 14.000 demandantes; la dirección dice que la reacción sigue la curva de enfriamiento esperada y que un caso fuera de California costaría un 90-95 % menos [12, 13]. (3) Seguridad laboral y retención de conductores: la siniestralidad récord de 2025 explica la mitad de la mejora de margen subyacente del 2T26 por menores costes de seguros [9, 20].</w:t>
      </w:r>
    </w:p>
    <w:p>
      <w:pPr>
        <w:pStyle w:val="Heading2"/>
      </w:pPr>
      <w:r>
        <w:t xml:space="preserve">Controversias</w:t>
      </w:r>
    </w:p>
    <w:p>
      <w:pPr>
        <w:spacing w:after="100"/>
      </w:pPr>
      <w:r>
        <w:t xml:space="preserve">Chiquita Canyon (California): emisiones y lixiviados desde mayo de 2023, 476 avisos de infracción de SCAQMD, demanda del condado de Los Angeles (2024), demanda de SCAQMD por sanciones (mayo de 2026, en fase de prueba desde septiembre) y acciones de unos 14.000 vecinos a 13-oct-2026; cierre del vertedero en 2025 [7, 12]. Jefferson Parish (Luisiana): demandas por olores, con un caso individual (Crossman) pendiente de juicio [12].</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Chiquita Canyon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rango de salidas de caja totales esperadas (cierre, lixiviados, sanciones y acuerdos) hasta 2030?</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único riesgo que puede costar más de un año de caja libre; hoy no hay estimación y los demandantes suben a 14.000.</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de las 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ROIC después de impuestos dan las compras de 2022-2024 al tercer año?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un ROIC del grupo del 8,4 % y un WACC del 7,5 %, la creación de valor de las compras es la duda central; la dirección habla de 200 M de ingresos comprados al año como suelo.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caída de volumen de 2024-2026 son bajas voluntarias por precio y qué parte es ciclo, y cuánto pesan las bajas que aún quedan por contratos comprados?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volumen vuelve a positivo en 2027.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2027</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precio core hace falta para mantener el diferencial de 150 pb si el gasóleo encarece todos los insumos?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margen; los hogares están presionados y los pequeños competidores no cobran recargos.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qué criterio de precio recompra y a qué apalancamiento máximo, ahora que la acción ha subido un 21 %?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las incluye y nosotros no: son 2-5 % de diferencia en el BPA de 2027-2028.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 un sucesor interno identificado para el consejero delegado?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fundador volvió en 2023 tras la salida de su sucesor.</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(análisis)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análisis nuevo tras el 3T26; el último antes de los resultados (12-oct) la veía «algo cara para ser basura», frente a dos alcistas de julio («el mercado sobrevalora vientos en contra temporales») [40, 42, 43].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(noticias)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Titulares del 21-22-oct: batir previsiones, subir la guía, dividendo +10 % y marco de 2027 de crecimiento de un dígito medio-alto [40].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Euforia moderada el 22-oct («beast mode», «fuerza relativa», volumen 3,6 veces el normal) y algún mensaje vendedor («exagerado para unos resultados, vendería aquí»); antes, avisos del acuerdo de 1,4 M USD por recargos de combustible a clientes comerciales y compras en la zona de 148-150 USD [41].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MarketBeat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Resumen de opiniones de analistas: «compra moderada» con once subidas de objetivo el 22-23-oct; ningún vender [29].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la subida: ¿se ha ido demasiado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30,9 veces nuestro BPA de 2027 ya cotiza casi en su mediana de cinco años (31,6) con el bono al 5,0 %; el DCF da mucho menos. Los escépticos tienen más razón que hace dos semanas.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que mejora (vertederos, residuos especiales, C&amp;D)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en el 3T26 (toneladas de vertedero +3 %), pero la dirección avisa de que las C&amp;D no siguieron en octubre y de que la vivienda sigue floja [13].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Recargos de combustible y demandas de clientes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acuerdo es de 1,4 M USD, inmaterial; el riesgo real es la pérdida de clientes ante los recargos (10-15 pb de volumen según la dirección) [9].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y dividendo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Cierto: más de 1.000 M recomprados en 2026 (2,5 % del capital) y dividendo +10 % [11].</w:t>
            </w:r>
          </w:p>
        </w:tc>
      </w:tr>
    </w:tbl>
    <w:p>
      <w:pPr>
        <w:spacing w:after="160" w:before="0"/>
      </w:pPr>
    </w:p>
    <w:p>
      <w:pPr>
        <w:spacing w:after="100"/>
      </w:pPr>
      <w:r>
        <w:t xml:space="preserve">El sentimiento ha pasado de frío a positivo con los resultados, sin llegar a euforia: los particulares celebran la «fuerza relativa» en un mercado que cae y los analistas suben objetivos, pero casi nadie discute el múltiplo. Es el mismo riesgo que señala el informe: tras subir un 21 % en dos semanas, la acción ha recuperado su múltiplo histórico sin que haya bajado el tipo de interés que lo justificaba. Ningún foro habla de Chiquita Canyon, que sigue siendo el riesgo binario.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20 controles correctos. Fuentes: 43 (22 primarias); citas distintas en el texto: 38.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8,6 % en 2030e frente al 8,2 %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-1,5 % frente a -1,6 % real: genera una variación de circulante de 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43 fuentes (22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6, 10, 23, 26, 38.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de Stericycle, GFL Environmental Services y las plantas de Secure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oficiales de WM, GFL y Secure (sin múltiplo); 2) prensa sectorial (Waste Dive, Waste Advantage); 3) cálculo con el EBITDA publicado (solo posible en US Ecology; GFL da un mínimo de EBITDA)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 consenso de 2027 y EV/EBITDA de los próximos 12 meses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(la página no devuelve la tabla de estimaciones); 2) Stock Analysis y Trendlyne (2027 tras muro de pago); 3) Yahoo earningsTrend (solo ingresos y BPA)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ESG (MSCI, Sustainalytics)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(no las cita); 2) informe de sostenibilidad de 2026 (citado en la conferencia, no descargado); 3) búsqueda web (sin dato fechado)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2025 (cuentas consolidadas, notas de segmentos, deuda, cierre de vertederos y contingencias)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Waste Connections,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https://www.sec.gov/Archives/edgar/data/1318220/000110465926013700/wcn-20251231x10k.htm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XBRL companyfacts de la SEC (cuenta, balance y flujos 2016-2025)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https://data.sec.gov/api/xbrl/companyfacts/CIK0001318220.json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2T26 (Exhibit 99.1): cuenta, balance a 30-jun-26, flujos, conciliaciones y guía 2026 elevada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Waste Connections,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https://www.sec.gov/Archives/edgar/data/1318220/000110465926085802/wcn-20260722xex99d1.htm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4T25 y del ejercicio 2025 (conciliaciones de EBITDA y BPA ajustados; guía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Waste Connections,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https://www.sec.gov/Archives/edgar/data/1318220/000110465926013370/wcn-20260211xex99d1.htm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Waste Connections,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https://www.sec.gov/Archives/edgar/data/1318220/000110465926046820/wcn-20260422xex99d1.htm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3T25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Waste Connections,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https://www.sec.gov/Archives/edgar/data/1318220/000110465925101248/wcn-20251021xex99d1.htm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2T26 (deuda, cierre de vertederos, contingencias de Chiquita Canyon, recompras y hechos posteriores)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Waste Connections,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https://www.sec.gov/Archives/edgar/data/1318220/000110465926086006/wcn-20260630x10q.htm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Notas de resultados del 4T de 2017 a 2023 (BPA y EBITDA ajustados, deterioros y amortización de intangibles por año)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Waste Connections,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https://www.sec.gov/Archives/edgar/data/1318220/000155837024001061/wcn-20240213xex99d1.htm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del 2T26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Waste Connections, Inc. (web de inversores)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https://s21.q4cdn.com/540990023/files/doc_earnings/2026/q2/transcript/Q2-2026-Transcript.pdf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Waste Connections, Inc. (web de inversores)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https://s21.q4cdn.com/540990023/files/doc_earnings/2026/q1/transcript/Q1-2026-Transcript.pdf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3T26 (Exhibit 99.1 del 8-K): cuenta, balance a 30-sep-26, flujos de nueve meses, crecimiento orgánico, conciliaciones y guía 2026 elevada por segunda vez</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Waste Connections,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https://www.sec.gov/Archives/edgar/data/1318220/000110465926117838/wcn-ex99d1.htm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3T26 (deuda, provisiones de cierre, segmentos, litigios de Chiquita Canyon y Jefferson Parish, recompras y hechos posteriores)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Waste Connections,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https://www.sec.gov/Archives/edgar/data/1318220/000110465926117943/wcn-20260930x10q.htm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del 3T26 (S&amp;P Global Market Intelligence), con el marco preliminar de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Waste Connections, Inc. (web de inversores)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https://s21.q4cdn.com/540990023/files/doc_earnings/2026/q3/transcript/Q3-2026-Transcript.pdf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«Gestión de residuos sólidos»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propio (sectores/residuos-2026-10-14.md)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sectores/residuos-2026-10-14.md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Waste Management: key statistics (ingresos, EBITDA, márgenes,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https://stockanalysis.com/stocks/wm/statistics/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Republic Services: key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https://stockanalysis.com/stocks/rsg/statistics/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GFL Environmental: key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https://stockanalysis.com/stocks/gfl/statistics/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Casella Waste Systems: key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https://stockanalysis.com/stocks/cwst/statistics/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Clean Harbors: key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https://stockanalysis.com/stocks/clh/statistics/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2026 (ESG: objetivos de emisiones, seguridad y retención)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Waste Connections,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https://www.sec.gov/Archives/edgar/data/1318220/000110465926039146/tm2529435-2_def14a.htm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2026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Waste Connections,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https://www.sec.gov/Archives/edgar/data/1318220/000110465926062507/tm2614785d1_8k.htm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presentados entre el 26-oct-2025 y el 26-oct-2026 (herramienta form4.mjs; 58 presentaciones, ninguna después del 21-ago-2026)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https://www.sec.gov/cgi-bin/browse-edgar?action=getcompany&amp;CIK=0001318220&amp;type=4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nombramiento de Daniel L. Florness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Waste Connections,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https://www.sec.gov/Archives/edgar/data/1318220/000110465926031042/tm269110d1_ex99-1.htm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WCN, ^GSPC y XLI (herramientas/bolsa.mjs y movimiento.mjs); betas mensuales de WM, RSG, GFL y CWST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https://finance.yahoo.com/quote/WCN/history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WCN: objetivos de precio, recomendaciones (S&amp;P Global, 28 analistas) y cambios de objetivo del 23-oct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https://stockanalysis.com/stocks/wcn/forecast/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WCN: key statistics (posición corta)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https://stockanalysis.com/stocks/wcn/statistics/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WCN EPS and revenue estimates 2026-2028 (BPA 2028: 5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TickFlow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https://www.tickflow.io/stock/WCN/forecast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WCN, WM, RSG, GFL, CWST, CLH y VIE (earningsTrend, financialData y defaultKeyStatistics: BPA 2026-2027, ingresos, EBITDA, deuda, valor empresa, objetivos)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https://finance.yahoo.com/quote/WCN/analysis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WCN: previsiones de analistas y cambios de recomendación (19 analistas en 12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https://www.marketbeat.com/stocks/NYSE/WCN/forecast/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5,00 % el 23-oct-2026)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Republic Services to acquire US Ecology (8-K, Exhibit 99.1: 2.200 M de valor; EBITDA ajustado LTM 156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Republic Services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https://www.sec.gov/Archives/edgar/data/1060391/000119312522031959/d290172dex991.htm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WM to acquire Stericycle for 7.2 billion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Waste Management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https://www.sec.gov/Archives/edgar/data/823768/000110465924068410/tm2416276d1_ex99-1.htm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GFL announces agreement to sell Environmental Services business valued at 8.0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GFL Environmental (SEC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https://www.sec.gov/Archives/edgar/data/1780232/000110465925001513/tm252025d1_ex99-1.htm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Blackstone and EQT to acquire Spanish waste business Urbaser for 5.6bn (≈11 veces EBITDA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 Hub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https://www.pehub.com/blackstone-and-eqt-to-acquire-spanish-waste-business-urbaser-in-e5-6bn-deal/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SECURE announces 1.075 billion asset sale to Waste Connections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Secure Energy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https://secure-energy.mediaroom.com/2023-12-11-SECURE-Announces-1-075-Billion-Asset-Sale-to-Waste-Connections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 del bono del Tesoro de EE. UU. a 10 años (DGS10: 4,96 % el 22-oct-2026)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Banco de la Reserva Federal de San Luis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(23-oct-2026: 1,1193 USD; 1,5665 CAD)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renovación de la NCIB (hasta 12.578.462 acciones hasta el 11-ago-2027)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Waste Connections,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https://www.sec.gov/Archives/edgar/data/1318220/000110465926092680/tm2622609d1_ex99-1.htm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titulares de WCN (resultados del 3T26, marco de 2027, dividendo)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https://seekingalpha.com/api/sa/combined/WCN.xml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$WCN (septiembre-octubre de 2026, antes y después de los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https://api.stocktwits.com/api/2/streams/symbol/WCN.json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«Waste Connections: A Little Expensive To Own Trash Right Now»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https://seekingalpha.com/article/4953586-waste-connections-a-little-expensive-to-own-trash-right-now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«Better Margins, But Volume Trend Is Still Weak» y «The Market Is Overpricing Temporary Headwinds»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https://seekingalpha.com/article/4925662-waste-connections-stock-better-margins-but-volume-trend-weak</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90,7 %</w:t>
      </w:r>
      <w:r>
        <w:t xml:space="preserve"> · Secciones con menos del 60 % de campos cubiertos: </w:t>
      </w:r>
      <w:r>
        <w:rPr>
          <w:b/>
          <w:bCs/>
        </w:rPr>
        <w:t xml:space="preserve">ninguna</w:t>
      </w:r>
      <w:r>
        <w:t xml:space="preserve"> · Generado el 26 oct 2026.</w:t>
      </w:r>
    </w:p>
    <w:p>
      <w:pPr>
        <w:pStyle w:val="Nota"/>
        <w:spacing w:after="100"/>
      </w:pPr>
      <w:r>
        <w:t xml:space="preserve">Iteración del informe del 14-oct-2026 tras los resultados del 3T26 (21-oct). Cuentas de 2017-2025 del XBRL de la SEC (cuentas.mjs), comprobadas con el 10-K 2025 y las notas de resultados de cada cuarto trimestre; 2016 queda fuera por la fusión con Progressive Waste (junio de 2016). LTM a septiembre de 2026 = 2025 + 9M26 − 9M25 de la nota del 3T26. Línea cotizada: NYSE en USD (también cotiza en la TSX en CAD); la empresa presenta en USD con US GAAP. El precio es el cierre del viernes 23-oct-2026 (la sesión del lunes 26 no había abierto al cerrar el análisis). Segmentos solo de 2023-2025 (la segmentación en seis regiones no está reexpresada para años anteriores). El BPA de la rentabilidad a 12 meses es el ajustado de la empresa (sin amortización de intangibles comprados ni deterioros), que es el del consenso y el de la historia del PER; el de la cuenta es el contable. Consenso de Yahoo (actualizado tras los resultados) contrastado con MarketBeat y Stock Analysis; BPA de 2028 de solo cinco analistas; sin EBITDA de consenso de 2027 ni EV/EBITDA de los próximos 12 meses de los comparables. WM y Republic aún no han publicado su 3T26: sus cifras LTM son a junio.</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Waste Connections, Inc. (WCN)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186,60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(146,89 – 187,27)</c:v>
                </c:pt>
                <c:pt idx="1">
                  <c:v>Precio objetivo de los analistas (170,00 – 225,00)</c:v>
                </c:pt>
                <c:pt idx="2">
                  <c:v>Comparables: PER NTM (168,81 – 283,78)</c:v>
                </c:pt>
                <c:pt idx="3">
                  <c:v>DCF (WACC y g ± 0,5) (93,97 – 160,14)</c:v>
                </c:pt>
                <c:pt idx="4">
                  <c:v>Escenarios (bajista – alcista) (75,40 – 133,78)</c:v>
                </c:pt>
                <c:pt idx="5">
                  <c:v>DCF con la prima implícita del mercado (4,2 %)</c:v>
                </c:pt>
                <c:pt idx="6">
                  <c:v>Precio actual (186,60)</c:v>
                </c:pt>
              </c:strCache>
            </c:strRef>
          </c:cat>
          <c:val>
            <c:numRef>
              <c:f>Hoja1!$B$2:$B$8</c:f>
              <c:numCache>
                <c:formatCode>#,##0</c:formatCode>
                <c:ptCount val="7"/>
                <c:pt idx="0">
                  <c:v>146.89</c:v>
                </c:pt>
                <c:pt idx="1">
                  <c:v>170</c:v>
                </c:pt>
                <c:pt idx="2">
                  <c:v>168.81</c:v>
                </c:pt>
                <c:pt idx="3">
                  <c:v>93.97</c:v>
                </c:pt>
                <c:pt idx="4">
                  <c:v>75.4</c:v>
                </c:pt>
                <c:pt idx="5">
                  <c:v>125.14</c:v>
                </c:pt>
                <c:pt idx="6">
                  <c:v>185.67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(146,89 – 187,27)</c:v>
                </c:pt>
                <c:pt idx="1">
                  <c:v>Precio objetivo de los analistas (170,00 – 225,00)</c:v>
                </c:pt>
                <c:pt idx="2">
                  <c:v>Comparables: PER NTM (168,81 – 283,78)</c:v>
                </c:pt>
                <c:pt idx="3">
                  <c:v>DCF (WACC y g ± 0,5) (93,97 – 160,14)</c:v>
                </c:pt>
                <c:pt idx="4">
                  <c:v>Escenarios (bajista – alcista) (75,40 – 133,78)</c:v>
                </c:pt>
                <c:pt idx="5">
                  <c:v>DCF con la prima implícita del mercado (4,2 %)</c:v>
                </c:pt>
                <c:pt idx="6">
                  <c:v>Precio actual (186,60)</c:v>
                </c:pt>
              </c:strCache>
            </c:strRef>
          </c:cat>
          <c:val>
            <c:numRef>
              <c:f>Hoja1!$C$2:$C$8</c:f>
              <c:numCache>
                <c:formatCode>#,##0</c:formatCode>
                <c:ptCount val="7"/>
                <c:pt idx="0">
                  <c:v>40.380000000000024</c:v>
                </c:pt>
                <c:pt idx="1">
                  <c:v>55</c:v>
                </c:pt>
                <c:pt idx="2">
                  <c:v>114.96999999999997</c:v>
                </c:pt>
                <c:pt idx="3">
                  <c:v>66.16999999999999</c:v>
                </c:pt>
                <c:pt idx="4">
                  <c:v>58.379999999999995</c:v>
                </c:pt>
                <c:pt idx="5">
                  <c:v>48.44000000000001</c:v>
                </c:pt>
                <c:pt idx="6">
                  <c:v>1.8600000000000136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Southern</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1642.3</c:v>
                </c:pt>
                <c:pt idx="1">
                  <c:v>1757.2</c:v>
                </c:pt>
                <c:pt idx="2">
                  <c:v>1907.8</c:v>
                </c:pt>
              </c:numCache>
            </c:numRef>
          </c:val>
        </c:ser>
        <c:ser>
          <c:idx val="1"/>
          <c:order val="1"/>
          <c:tx>
            <c:strRef>
              <c:f>Hoja1!$C$1</c:f>
              <c:strCache>
                <c:ptCount val="1"/>
                <c:pt idx="0">
                  <c:v>Western</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1669.3</c:v>
                </c:pt>
                <c:pt idx="1">
                  <c:v>1798.7</c:v>
                </c:pt>
                <c:pt idx="2">
                  <c:v>1849.4</c:v>
                </c:pt>
              </c:numCache>
            </c:numRef>
          </c:val>
        </c:ser>
        <c:ser>
          <c:idx val="2"/>
          <c:order val="2"/>
          <c:tx>
            <c:strRef>
              <c:f>Hoja1!$D$1</c:f>
              <c:strCache>
                <c:ptCount val="1"/>
                <c:pt idx="0">
                  <c:v>Eastern</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1380.2</c:v>
                </c:pt>
                <c:pt idx="1">
                  <c:v>1564.2</c:v>
                </c:pt>
                <c:pt idx="2">
                  <c:v>1702.2</c:v>
                </c:pt>
              </c:numCache>
            </c:numRef>
          </c:val>
        </c:ser>
        <c:ser>
          <c:idx val="3"/>
          <c:order val="3"/>
          <c:tx>
            <c:strRef>
              <c:f>Hoja1!$E$1</c:f>
              <c:strCache>
                <c:ptCount val="1"/>
                <c:pt idx="0">
                  <c:v>Central</c:v>
                </c:pt>
              </c:strCache>
            </c:strRef>
          </c:tx>
          <c:spPr>
            <a:solidFill>
              <a:srgbClr val="EDA100"/>
            </a:solidFill>
            <a:ln w="12700">
              <a:solidFill>
                <a:srgbClr val="FFFFFF"/>
              </a:solidFill>
            </a:ln>
          </c:spPr>
          <c:invertIfNegative val="0"/>
          <c:cat>
            <c:strRef>
              <c:f>Hoja1!$A$2:$A$4</c:f>
              <c:strCache>
                <c:ptCount val="3"/>
                <c:pt idx="0">
                  <c:v>2023</c:v>
                </c:pt>
                <c:pt idx="1">
                  <c:v>2024</c:v>
                </c:pt>
                <c:pt idx="2">
                  <c:v>2025</c:v>
                </c:pt>
              </c:strCache>
            </c:strRef>
          </c:cat>
          <c:val>
            <c:numRef>
              <c:f>Hoja1!$E$2:$E$4</c:f>
              <c:numCache>
                <c:formatCode>#,##0</c:formatCode>
                <c:ptCount val="3"/>
                <c:pt idx="0">
                  <c:v>1440.2</c:v>
                </c:pt>
                <c:pt idx="1">
                  <c:v>1514.9</c:v>
                </c:pt>
                <c:pt idx="2">
                  <c:v>1589.9</c:v>
                </c:pt>
              </c:numCache>
            </c:numRef>
          </c:val>
        </c:ser>
        <c:ser>
          <c:idx val="4"/>
          <c:order val="4"/>
          <c:tx>
            <c:strRef>
              <c:f>Hoja1!$F$1</c:f>
              <c:strCache>
                <c:ptCount val="1"/>
                <c:pt idx="0">
                  <c:v>Canada</c:v>
                </c:pt>
              </c:strCache>
            </c:strRef>
          </c:tx>
          <c:spPr>
            <a:solidFill>
              <a:srgbClr val="E87BA4"/>
            </a:solidFill>
            <a:ln w="12700">
              <a:solidFill>
                <a:srgbClr val="FFFFFF"/>
              </a:solidFill>
            </a:ln>
          </c:spPr>
          <c:invertIfNegative val="0"/>
          <c:cat>
            <c:strRef>
              <c:f>Hoja1!$A$2:$A$4</c:f>
              <c:strCache>
                <c:ptCount val="3"/>
                <c:pt idx="0">
                  <c:v>2023</c:v>
                </c:pt>
                <c:pt idx="1">
                  <c:v>2024</c:v>
                </c:pt>
                <c:pt idx="2">
                  <c:v>2025</c:v>
                </c:pt>
              </c:strCache>
            </c:strRef>
          </c:cat>
          <c:val>
            <c:numRef>
              <c:f>Hoja1!$F$2:$F$4</c:f>
              <c:numCache>
                <c:formatCode>#,##0</c:formatCode>
                <c:ptCount val="3"/>
                <c:pt idx="0">
                  <c:v>995.8</c:v>
                </c:pt>
                <c:pt idx="1">
                  <c:v>1261</c:v>
                </c:pt>
                <c:pt idx="2">
                  <c:v>1324.9</c:v>
                </c:pt>
              </c:numCache>
            </c:numRef>
          </c:val>
        </c:ser>
        <c:ser>
          <c:idx val="5"/>
          <c:order val="5"/>
          <c:tx>
            <c:strRef>
              <c:f>Hoja1!$G$1</c:f>
              <c:strCache>
                <c:ptCount val="1"/>
                <c:pt idx="0">
                  <c:v>MidSouth</c:v>
                </c:pt>
              </c:strCache>
            </c:strRef>
          </c:tx>
          <c:spPr>
            <a:solidFill>
              <a:srgbClr val="008300"/>
            </a:solidFill>
            <a:ln w="12700">
              <a:solidFill>
                <a:srgbClr val="FFFFFF"/>
              </a:solidFill>
            </a:ln>
          </c:spPr>
          <c:invertIfNegative val="0"/>
          <c:cat>
            <c:strRef>
              <c:f>Hoja1!$A$2:$A$4</c:f>
              <c:strCache>
                <c:ptCount val="3"/>
                <c:pt idx="0">
                  <c:v>2023</c:v>
                </c:pt>
                <c:pt idx="1">
                  <c:v>2024</c:v>
                </c:pt>
                <c:pt idx="2">
                  <c:v>2025</c:v>
                </c:pt>
              </c:strCache>
            </c:strRef>
          </c:cat>
          <c:val>
            <c:numRef>
              <c:f>Hoja1!$G$2:$G$4</c:f>
              <c:numCache>
                <c:formatCode>#,##0</c:formatCode>
                <c:ptCount val="3"/>
                <c:pt idx="0">
                  <c:v>894.2</c:v>
                </c:pt>
                <c:pt idx="1">
                  <c:v>1023.6</c:v>
                </c:pt>
                <c:pt idx="2">
                  <c:v>1092.7</c:v>
                </c:pt>
              </c:numCache>
            </c:numRef>
          </c:val>
        </c:ser>
        <c:ser>
          <c:idx val="6"/>
          <c:order val="6"/>
          <c:tx>
            <c:strRef>
              <c:f>Hoja1!$H$1</c:f>
              <c:strCache>
                <c:ptCount val="1"/>
                <c:pt idx="0">
                  <c:v>Corporate</c:v>
                </c:pt>
              </c:strCache>
            </c:strRef>
          </c:tx>
          <c:spPr>
            <a:solidFill>
              <a:srgbClr val="4A3AA7"/>
            </a:solidFill>
            <a:ln w="12700">
              <a:solidFill>
                <a:srgbClr val="FFFFFF"/>
              </a:solidFill>
            </a:ln>
          </c:spPr>
          <c:invertIfNegative val="0"/>
          <c:cat>
            <c:strRef>
              <c:f>Hoja1!$A$2:$A$4</c:f>
              <c:strCache>
                <c:ptCount val="3"/>
                <c:pt idx="0">
                  <c:v>2023</c:v>
                </c:pt>
                <c:pt idx="1">
                  <c:v>2024</c:v>
                </c:pt>
                <c:pt idx="2">
                  <c:v>2025</c:v>
                </c:pt>
              </c:strCache>
            </c:strRef>
          </c:cat>
          <c:val>
            <c:numRef>
              <c:f>Hoja1!$H$2:$H$4</c:f>
              <c:numCache>
                <c:formatCode>#,##0</c:formatCode>
                <c:ptCount val="3"/>
                <c:pt idx="0">
                  <c:v>0</c:v>
                </c:pt>
                <c:pt idx="1">
                  <c:v>0</c:v>
                </c:pt>
                <c:pt idx="2">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Pt>
            <c:idx val="6"/>
            <c:bubble3D val="0"/>
            <c:spPr>
              <a:solidFill>
                <a:srgbClr val="4A3AA7"/>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Hoja1!$A$2:$A$8</c:f>
              <c:strCache>
                <c:ptCount val="7"/>
                <c:pt idx="0">
                  <c:v>Southern</c:v>
                </c:pt>
                <c:pt idx="1">
                  <c:v>Western</c:v>
                </c:pt>
                <c:pt idx="2">
                  <c:v>Eastern</c:v>
                </c:pt>
                <c:pt idx="3">
                  <c:v>Central</c:v>
                </c:pt>
                <c:pt idx="4">
                  <c:v>Canada</c:v>
                </c:pt>
                <c:pt idx="5">
                  <c:v>MidSouth</c:v>
                </c:pt>
                <c:pt idx="6">
                  <c:v>Corporate</c:v>
                </c:pt>
              </c:strCache>
            </c:strRef>
          </c:cat>
          <c:val>
            <c:numRef>
              <c:f>Hoja1!$B$2:$B$8</c:f>
              <c:numCache>
                <c:formatCode>General</c:formatCode>
                <c:ptCount val="7"/>
                <c:pt idx="0">
                  <c:v>20.2</c:v>
                </c:pt>
                <c:pt idx="1">
                  <c:v>19.5</c:v>
                </c:pt>
                <c:pt idx="2">
                  <c:v>18</c:v>
                </c:pt>
                <c:pt idx="3">
                  <c:v>16.8</c:v>
                </c:pt>
                <c:pt idx="4">
                  <c:v>14</c:v>
                </c:pt>
                <c:pt idx="5">
                  <c:v>11.5</c:v>
                </c:pt>
                <c:pt idx="6">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c:v>
                </c:pt>
                <c:pt idx="1">
                  <c:v>Canadá</c:v>
                </c:pt>
              </c:strCache>
            </c:strRef>
          </c:cat>
          <c:val>
            <c:numRef>
              <c:f>Hoja1!$B$2:$B$3</c:f>
              <c:numCache>
                <c:formatCode>0"%"</c:formatCode>
                <c:ptCount val="2"/>
                <c:pt idx="0">
                  <c:v>86</c:v>
                </c:pt>
                <c:pt idx="1">
                  <c:v>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2021</c:v>
                </c:pt>
                <c:pt idx="1">
                  <c:v>2022</c:v>
                </c:pt>
                <c:pt idx="2">
                  <c:v>2023</c:v>
                </c:pt>
                <c:pt idx="3">
                  <c:v>2024</c:v>
                </c:pt>
                <c:pt idx="4">
                  <c:v>2025</c:v>
                </c:pt>
                <c:pt idx="5">
                  <c:v>2026e</c:v>
                </c:pt>
                <c:pt idx="6">
                  <c:v>2028e</c:v>
                </c:pt>
                <c:pt idx="7">
                  <c:v>2030e</c:v>
                </c:pt>
              </c:strCache>
            </c:strRef>
          </c:cat>
          <c:val>
            <c:numRef>
              <c:f>Hoja1!$B$2:$B$9</c:f>
              <c:numCache>
                <c:formatCode>#,##0</c:formatCode>
                <c:ptCount val="8"/>
                <c:pt idx="0">
                  <c:v>92000</c:v>
                </c:pt>
                <c:pt idx="1">
                  <c:v>100000</c:v>
                </c:pt>
                <c:pt idx="2">
                  <c:v>106000</c:v>
                </c:pt>
                <c:pt idx="3">
                  <c:v>111000</c:v>
                </c:pt>
                <c:pt idx="4">
                  <c:v>115000</c:v>
                </c:pt>
                <c:pt idx="5">
                  <c:v>120000</c:v>
                </c:pt>
                <c:pt idx="6">
                  <c:v>130000</c:v>
                </c:pt>
                <c:pt idx="7">
                  <c:v>141000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2</c:v>
                </c:pt>
                <c:pt idx="2">
                  <c:v>3</c:v>
                </c:pt>
                <c:pt idx="3">
                  <c:v>1</c:v>
                </c:pt>
                <c:pt idx="4">
                  <c:v>1</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Waste Connections</c:v>
                </c:pt>
                <c:pt idx="1">
                  <c:v>Waste Management</c:v>
                </c:pt>
                <c:pt idx="2">
                  <c:v>Republic Services</c:v>
                </c:pt>
                <c:pt idx="3">
                  <c:v>GFL Environmental</c:v>
                </c:pt>
                <c:pt idx="4">
                  <c:v>Casella Waste Systems</c:v>
                </c:pt>
                <c:pt idx="5">
                  <c:v>Clean Harbors</c:v>
                </c:pt>
                <c:pt idx="6">
                  <c:v>Operadores privados y municipios</c:v>
                </c:pt>
              </c:strCache>
            </c:strRef>
          </c:cat>
          <c:val>
            <c:numRef>
              <c:f>Hoja1!$B$2:$B$8</c:f>
              <c:numCache>
                <c:formatCode>0.0"%"</c:formatCode>
                <c:ptCount val="7"/>
                <c:pt idx="0">
                  <c:v>19.2</c:v>
                </c:pt>
                <c:pt idx="1">
                  <c:v>18.6</c:v>
                </c:pt>
                <c:pt idx="2">
                  <c:v>20.4</c:v>
                </c:pt>
                <c:pt idx="3">
                  <c:v>8</c:v>
                </c:pt>
                <c:pt idx="4">
                  <c:v>5.5</c:v>
                </c:pt>
                <c:pt idx="5">
                  <c:v>11.5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5</c:v>
                </c:pt>
                <c:pt idx="3">
                  <c:v>4</c:v>
                </c:pt>
                <c:pt idx="4">
                  <c:v>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2017</c:v>
                </c:pt>
                <c:pt idx="1">
                  <c:v>2018</c:v>
                </c:pt>
                <c:pt idx="2">
                  <c:v>2019</c:v>
                </c:pt>
                <c:pt idx="3">
                  <c:v>2020</c:v>
                </c:pt>
                <c:pt idx="4">
                  <c:v>2021</c:v>
                </c:pt>
                <c:pt idx="5">
                  <c:v>2022</c:v>
                </c:pt>
                <c:pt idx="6">
                  <c:v>2023</c:v>
                </c:pt>
                <c:pt idx="7">
                  <c:v>2024</c:v>
                </c:pt>
                <c:pt idx="8">
                  <c:v>2025</c:v>
                </c:pt>
                <c:pt idx="9">
                  <c:v>2026e</c:v>
                </c:pt>
                <c:pt idx="10">
                  <c:v>2027e</c:v>
                </c:pt>
                <c:pt idx="11">
                  <c:v>2028e</c:v>
                </c:pt>
                <c:pt idx="12">
                  <c:v>2029e</c:v>
                </c:pt>
                <c:pt idx="13">
                  <c:v>2030e</c:v>
                </c:pt>
                <c:pt idx="14">
                  <c:v>2031e</c:v>
                </c:pt>
                <c:pt idx="15">
                  <c:v>2032e</c:v>
                </c:pt>
              </c:strCache>
            </c:strRef>
          </c:cat>
          <c:val>
            <c:numRef>
              <c:f>Hoja1!$B$2:$B$17</c:f>
              <c:numCache>
                <c:formatCode>#,##0</c:formatCode>
                <c:ptCount val="16"/>
                <c:pt idx="0">
                  <c:v>4630.5</c:v>
                </c:pt>
                <c:pt idx="1">
                  <c:v>4922.9</c:v>
                </c:pt>
                <c:pt idx="2">
                  <c:v>5388.7</c:v>
                </c:pt>
                <c:pt idx="3">
                  <c:v>5446</c:v>
                </c:pt>
                <c:pt idx="4">
                  <c:v>6151.4</c:v>
                </c:pt>
                <c:pt idx="5">
                  <c:v>7211.9</c:v>
                </c:pt>
                <c:pt idx="6">
                  <c:v>8022</c:v>
                </c:pt>
                <c:pt idx="7">
                  <c:v>8919.6</c:v>
                </c:pt>
                <c:pt idx="8">
                  <c:v>9466.9</c:v>
                </c:pt>
                <c:pt idx="9">
                  <c:v>10092</c:v>
                </c:pt>
                <c:pt idx="10">
                  <c:v>10647</c:v>
                </c:pt>
                <c:pt idx="11">
                  <c:v>11179</c:v>
                </c:pt>
                <c:pt idx="12">
                  <c:v>11693</c:v>
                </c:pt>
                <c:pt idx="13">
                  <c:v>12184</c:v>
                </c:pt>
                <c:pt idx="14">
                  <c:v>12647</c:v>
                </c:pt>
                <c:pt idx="15">
                  <c:v>13090</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2017</c:v>
                </c:pt>
                <c:pt idx="1">
                  <c:v>2018</c:v>
                </c:pt>
                <c:pt idx="2">
                  <c:v>2019</c:v>
                </c:pt>
                <c:pt idx="3">
                  <c:v>2020</c:v>
                </c:pt>
                <c:pt idx="4">
                  <c:v>2021</c:v>
                </c:pt>
                <c:pt idx="5">
                  <c:v>2022</c:v>
                </c:pt>
                <c:pt idx="6">
                  <c:v>2023</c:v>
                </c:pt>
                <c:pt idx="7">
                  <c:v>2024</c:v>
                </c:pt>
                <c:pt idx="8">
                  <c:v>2025</c:v>
                </c:pt>
                <c:pt idx="9">
                  <c:v>2026e</c:v>
                </c:pt>
                <c:pt idx="10">
                  <c:v>2027e</c:v>
                </c:pt>
                <c:pt idx="11">
                  <c:v>2028e</c:v>
                </c:pt>
                <c:pt idx="12">
                  <c:v>2029e</c:v>
                </c:pt>
                <c:pt idx="13">
                  <c:v>2030e</c:v>
                </c:pt>
                <c:pt idx="14">
                  <c:v>2031e</c:v>
                </c:pt>
                <c:pt idx="15">
                  <c:v>2032e</c:v>
                </c:pt>
              </c:strCache>
            </c:strRef>
          </c:cat>
          <c:val>
            <c:numRef>
              <c:f>Hoja1!$C$2:$C$17</c:f>
              <c:numCache>
                <c:formatCode>#,##0</c:formatCode>
                <c:ptCount val="16"/>
                <c:pt idx="0">
                  <c:v>1416.1</c:v>
                </c:pt>
                <c:pt idx="1">
                  <c:v>1532.8</c:v>
                </c:pt>
                <c:pt idx="2">
                  <c:v>1643.6000000000001</c:v>
                </c:pt>
                <c:pt idx="3">
                  <c:v>1631.5</c:v>
                </c:pt>
                <c:pt idx="4">
                  <c:v>1884.8999999999999</c:v>
                </c:pt>
                <c:pt idx="5">
                  <c:v>2179.3999999999996</c:v>
                </c:pt>
                <c:pt idx="6">
                  <c:v>2478.3</c:v>
                </c:pt>
                <c:pt idx="7">
                  <c:v>2844.5</c:v>
                </c:pt>
                <c:pt idx="8">
                  <c:v>3052</c:v>
                </c:pt>
                <c:pt idx="9">
                  <c:v>3209</c:v>
                </c:pt>
                <c:pt idx="10">
                  <c:v>3418</c:v>
                </c:pt>
                <c:pt idx="11">
                  <c:v>3622</c:v>
                </c:pt>
                <c:pt idx="12">
                  <c:v>3812</c:v>
                </c:pt>
                <c:pt idx="13">
                  <c:v>3997</c:v>
                </c:pt>
                <c:pt idx="14">
                  <c:v>4161</c:v>
                </c:pt>
                <c:pt idx="15">
                  <c:v>4307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41.6</c:v>
                </c:pt>
                <c:pt idx="1">
                  <c:v>41.8</c:v>
                </c:pt>
                <c:pt idx="2">
                  <c:v>40.6</c:v>
                </c:pt>
                <c:pt idx="3">
                  <c:v>39.8</c:v>
                </c:pt>
                <c:pt idx="4">
                  <c:v>40.6</c:v>
                </c:pt>
                <c:pt idx="5">
                  <c:v>39.9</c:v>
                </c:pt>
                <c:pt idx="6">
                  <c:v>40.9</c:v>
                </c:pt>
                <c:pt idx="7">
                  <c:v>41.8</c:v>
                </c:pt>
                <c:pt idx="8">
                  <c:v>42.4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30.6</c:v>
                </c:pt>
                <c:pt idx="1">
                  <c:v>31.1</c:v>
                </c:pt>
                <c:pt idx="2">
                  <c:v>30.5</c:v>
                </c:pt>
                <c:pt idx="3">
                  <c:v>30</c:v>
                </c:pt>
                <c:pt idx="4">
                  <c:v>30.6</c:v>
                </c:pt>
                <c:pt idx="5">
                  <c:v>30.2</c:v>
                </c:pt>
                <c:pt idx="6">
                  <c:v>30.9</c:v>
                </c:pt>
                <c:pt idx="7">
                  <c:v>31.9</c:v>
                </c:pt>
                <c:pt idx="8">
                  <c:v>32.2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Hoja1!$D$2:$D$10</c:f>
              <c:numCache>
                <c:formatCode>0"%"</c:formatCode>
                <c:ptCount val="9"/>
                <c:pt idx="0">
                  <c:v>16.9</c:v>
                </c:pt>
                <c:pt idx="1">
                  <c:v>17.3</c:v>
                </c:pt>
                <c:pt idx="2">
                  <c:v>16.7</c:v>
                </c:pt>
                <c:pt idx="3">
                  <c:v>16.1</c:v>
                </c:pt>
                <c:pt idx="4">
                  <c:v>17.4</c:v>
                </c:pt>
                <c:pt idx="5">
                  <c:v>17.5</c:v>
                </c:pt>
                <c:pt idx="6">
                  <c:v>18.4</c:v>
                </c:pt>
                <c:pt idx="7">
                  <c:v>18.8</c:v>
                </c:pt>
                <c:pt idx="8">
                  <c:v>19.2</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Hoja1!$E$2:$E$10</c:f>
              <c:numCache>
                <c:formatCode>0"%"</c:formatCode>
                <c:ptCount val="9"/>
                <c:pt idx="0">
                  <c:v>12.5</c:v>
                </c:pt>
                <c:pt idx="1">
                  <c:v>11.1</c:v>
                </c:pt>
                <c:pt idx="2">
                  <c:v>10.5</c:v>
                </c:pt>
                <c:pt idx="3">
                  <c:v>3.8</c:v>
                </c:pt>
                <c:pt idx="4">
                  <c:v>10</c:v>
                </c:pt>
                <c:pt idx="5">
                  <c:v>11.6</c:v>
                </c:pt>
                <c:pt idx="6">
                  <c:v>9.5</c:v>
                </c:pt>
                <c:pt idx="7">
                  <c:v>6.9</c:v>
                </c:pt>
                <c:pt idx="8">
                  <c:v>11.4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3">
                  <c:v>5.1</c:v>
                </c:pt>
                <c:pt idx="4">
                  <c:v>5</c:v>
                </c:pt>
                <c:pt idx="5">
                  <c:v>6.4</c:v>
                </c:pt>
                <c:pt idx="6">
                  <c:v>6.4</c:v>
                </c:pt>
                <c:pt idx="7">
                  <c:v>7.3</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Hoja1!$C$2:$C$9</c:f>
              <c:numCache>
                <c:formatCode>0.0"%"</c:formatCode>
                <c:ptCount val="8"/>
                <c:pt idx="3">
                  <c:v>2</c:v>
                </c:pt>
                <c:pt idx="4">
                  <c:v>2</c:v>
                </c:pt>
                <c:pt idx="5">
                  <c:v>3.1</c:v>
                </c:pt>
                <c:pt idx="6">
                  <c:v>3.6</c:v>
                </c:pt>
                <c:pt idx="7">
                  <c:v>4.5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44</c:v>
                </c:pt>
                <c:pt idx="1">
                  <c:v>45</c:v>
                </c:pt>
                <c:pt idx="2">
                  <c:v>45</c:v>
                </c:pt>
                <c:pt idx="3">
                  <c:v>42</c:v>
                </c:pt>
                <c:pt idx="4">
                  <c:v>42</c:v>
                </c:pt>
                <c:pt idx="5">
                  <c:v>42</c:v>
                </c:pt>
                <c:pt idx="6">
                  <c:v>39</c:v>
                </c:pt>
                <c:pt idx="7">
                  <c:v>38</c:v>
                </c:pt>
                <c:pt idx="8">
                  <c:v>40</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0</c:v>
                </c:pt>
                <c:pt idx="1">
                  <c:v>0</c:v>
                </c:pt>
                <c:pt idx="2">
                  <c:v>0</c:v>
                </c:pt>
                <c:pt idx="3">
                  <c:v>0</c:v>
                </c:pt>
                <c:pt idx="4">
                  <c:v>0</c:v>
                </c:pt>
                <c:pt idx="5">
                  <c:v>0</c:v>
                </c:pt>
                <c:pt idx="6">
                  <c:v>0</c:v>
                </c:pt>
                <c:pt idx="7">
                  <c:v>0</c:v>
                </c:pt>
                <c:pt idx="8">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Hoja1!$D$2:$D$10</c:f>
              <c:numCache>
                <c:formatCode>0</c:formatCode>
                <c:ptCount val="9"/>
                <c:pt idx="0">
                  <c:v>45</c:v>
                </c:pt>
                <c:pt idx="1">
                  <c:v>46</c:v>
                </c:pt>
                <c:pt idx="2">
                  <c:v>50</c:v>
                </c:pt>
                <c:pt idx="3">
                  <c:v>32</c:v>
                </c:pt>
                <c:pt idx="4">
                  <c:v>39</c:v>
                </c:pt>
                <c:pt idx="5">
                  <c:v>54</c:v>
                </c:pt>
                <c:pt idx="6">
                  <c:v>49</c:v>
                </c:pt>
                <c:pt idx="7">
                  <c:v>45</c:v>
                </c:pt>
                <c:pt idx="8">
                  <c:v>51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708</c:v>
                </c:pt>
                <c:pt idx="1">
                  <c:v>865.1</c:v>
                </c:pt>
                <c:pt idx="2">
                  <c:v>906.1</c:v>
                </c:pt>
                <c:pt idx="3">
                  <c:v>811.4</c:v>
                </c:pt>
                <c:pt idx="4">
                  <c:v>950.8000000000001</c:v>
                </c:pt>
                <c:pt idx="5">
                  <c:v>1107.3999999999999</c:v>
                </c:pt>
                <c:pt idx="6">
                  <c:v>1190.0000000000002</c:v>
                </c:pt>
                <c:pt idx="7">
                  <c:v>1169.5</c:v>
                </c:pt>
                <c:pt idx="8">
                  <c:v>1230.6999999999998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576.8</c:v>
                </c:pt>
                <c:pt idx="1">
                  <c:v>546.9</c:v>
                </c:pt>
                <c:pt idx="2">
                  <c:v>566.8</c:v>
                </c:pt>
                <c:pt idx="3">
                  <c:v>204.7</c:v>
                </c:pt>
                <c:pt idx="4">
                  <c:v>618</c:v>
                </c:pt>
                <c:pt idx="5">
                  <c:v>835.7</c:v>
                </c:pt>
                <c:pt idx="6">
                  <c:v>762.8</c:v>
                </c:pt>
                <c:pt idx="7">
                  <c:v>617.6</c:v>
                </c:pt>
                <c:pt idx="8">
                  <c:v>1076.6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8</c:v>
                </c:pt>
                <c:pt idx="1">
                  <c:v>6.6</c:v>
                </c:pt>
                <c:pt idx="2">
                  <c:v>6.8</c:v>
                </c:pt>
                <c:pt idx="3">
                  <c:v>6.4</c:v>
                </c:pt>
                <c:pt idx="4">
                  <c:v>7.5</c:v>
                </c:pt>
                <c:pt idx="5">
                  <c:v>7.8</c:v>
                </c:pt>
                <c:pt idx="6">
                  <c:v>8.1</c:v>
                </c:pt>
                <c:pt idx="7">
                  <c:v>9</c:v>
                </c:pt>
                <c:pt idx="8">
                  <c:v>8.4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7.5</c:v>
                </c:pt>
                <c:pt idx="1">
                  <c:v>7.5</c:v>
                </c:pt>
                <c:pt idx="2">
                  <c:v>7.5</c:v>
                </c:pt>
                <c:pt idx="3">
                  <c:v>7.5</c:v>
                </c:pt>
                <c:pt idx="4">
                  <c:v>7.5</c:v>
                </c:pt>
                <c:pt idx="5">
                  <c:v>7.5</c:v>
                </c:pt>
                <c:pt idx="6">
                  <c:v>7.5</c:v>
                </c:pt>
                <c:pt idx="7">
                  <c:v>7.5</c:v>
                </c:pt>
                <c:pt idx="8">
                  <c:v>7.5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Hoja1!$D$2:$D$10</c:f>
              <c:numCache>
                <c:formatCode>0"%"</c:formatCode>
                <c:ptCount val="9"/>
                <c:pt idx="0">
                  <c:v>9.2</c:v>
                </c:pt>
                <c:pt idx="1">
                  <c:v>8.6</c:v>
                </c:pt>
                <c:pt idx="2">
                  <c:v>8.5</c:v>
                </c:pt>
                <c:pt idx="3">
                  <c:v>3</c:v>
                </c:pt>
                <c:pt idx="4">
                  <c:v>8.9</c:v>
                </c:pt>
                <c:pt idx="5">
                  <c:v>11.9</c:v>
                </c:pt>
                <c:pt idx="6">
                  <c:v>10.3</c:v>
                </c:pt>
                <c:pt idx="7">
                  <c:v>7.9</c:v>
                </c:pt>
                <c:pt idx="8">
                  <c:v>13.4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0.0"x"</c:formatCode>
                <c:ptCount val="9"/>
                <c:pt idx="0">
                  <c:v>2.46</c:v>
                </c:pt>
                <c:pt idx="1">
                  <c:v>2.5</c:v>
                </c:pt>
                <c:pt idx="2">
                  <c:v>2.45</c:v>
                </c:pt>
                <c:pt idx="3">
                  <c:v>2.51</c:v>
                </c:pt>
                <c:pt idx="4">
                  <c:v>2.6</c:v>
                </c:pt>
                <c:pt idx="5">
                  <c:v>3.13</c:v>
                </c:pt>
                <c:pt idx="6">
                  <c:v>2.69</c:v>
                </c:pt>
                <c:pt idx="7">
                  <c:v>2.82</c:v>
                </c:pt>
                <c:pt idx="8">
                  <c:v>2.87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2026-2027</c:v>
                </c:pt>
                <c:pt idx="1">
                  <c:v>2028</c:v>
                </c:pt>
                <c:pt idx="2">
                  <c:v>2029</c:v>
                </c:pt>
                <c:pt idx="3">
                  <c:v>2030</c:v>
                </c:pt>
                <c:pt idx="4">
                  <c:v>2031</c:v>
                </c:pt>
                <c:pt idx="5">
                  <c:v>2032+</c:v>
                </c:pt>
              </c:strCache>
            </c:strRef>
          </c:cat>
          <c:val>
            <c:numRef>
              <c:f>Hoja1!$B$2:$B$7</c:f>
              <c:numCache>
                <c:formatCode>#,##0</c:formatCode>
                <c:ptCount val="6"/>
                <c:pt idx="0">
                  <c:v>8</c:v>
                </c:pt>
                <c:pt idx="1">
                  <c:v>500</c:v>
                </c:pt>
                <c:pt idx="2">
                  <c:v>2782</c:v>
                </c:pt>
                <c:pt idx="3">
                  <c:v>600</c:v>
                </c:pt>
                <c:pt idx="4">
                  <c:v>0</c:v>
                </c:pt>
                <c:pt idx="5">
                  <c:v>5620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410.7</c:v>
                </c:pt>
                <c:pt idx="1">
                  <c:v>830.1</c:v>
                </c:pt>
                <c:pt idx="2">
                  <c:v>736.6</c:v>
                </c:pt>
                <c:pt idx="3">
                  <c:v>388.8</c:v>
                </c:pt>
                <c:pt idx="4">
                  <c:v>960.4</c:v>
                </c:pt>
                <c:pt idx="5">
                  <c:v>2206.9</c:v>
                </c:pt>
                <c:pt idx="6">
                  <c:v>676.8</c:v>
                </c:pt>
                <c:pt idx="7">
                  <c:v>2120.9</c:v>
                </c:pt>
                <c:pt idx="8">
                  <c:v>817.6</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132</c:v>
                </c:pt>
                <c:pt idx="1">
                  <c:v>152.6</c:v>
                </c:pt>
                <c:pt idx="2">
                  <c:v>175.1</c:v>
                </c:pt>
                <c:pt idx="3">
                  <c:v>199.9</c:v>
                </c:pt>
                <c:pt idx="4">
                  <c:v>220.2</c:v>
                </c:pt>
                <c:pt idx="5">
                  <c:v>243</c:v>
                </c:pt>
                <c:pt idx="6">
                  <c:v>270.6</c:v>
                </c:pt>
                <c:pt idx="7">
                  <c:v>302.3</c:v>
                </c:pt>
                <c:pt idx="8">
                  <c:v>333.8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Hoja1!$D$2:$D$10</c:f>
              <c:numCache>
                <c:formatCode>#,##0</c:formatCode>
                <c:ptCount val="9"/>
                <c:pt idx="0">
                  <c:v>0</c:v>
                </c:pt>
                <c:pt idx="1">
                  <c:v>58.9</c:v>
                </c:pt>
                <c:pt idx="2">
                  <c:v>0</c:v>
                </c:pt>
                <c:pt idx="3">
                  <c:v>105.7</c:v>
                </c:pt>
                <c:pt idx="4">
                  <c:v>339</c:v>
                </c:pt>
                <c:pt idx="5">
                  <c:v>425</c:v>
                </c:pt>
                <c:pt idx="6">
                  <c:v>0</c:v>
                </c:pt>
                <c:pt idx="7">
                  <c:v>0</c:v>
                </c:pt>
                <c:pt idx="8">
                  <c:v>505.5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7</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The Vanguard Group</c:v>
                </c:pt>
                <c:pt idx="1">
                  <c:v>Consejeros y directivos (35 personas)</c:v>
                </c:pt>
                <c:pt idx="2">
                  <c:v>Autocartera</c:v>
                </c:pt>
              </c:strCache>
            </c:strRef>
          </c:cat>
          <c:val>
            <c:numRef>
              <c:f>Hoja1!$B$2:$B$4</c:f>
              <c:numCache>
                <c:formatCode>0.0"%"</c:formatCode>
                <c:ptCount val="3"/>
                <c:pt idx="0">
                  <c:v>12.39</c:v>
                </c:pt>
                <c:pt idx="1">
                  <c:v>0.27</c:v>
                </c:pt>
                <c:pt idx="2">
                  <c:v>0.02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39.5</c:v>
                </c:pt>
                <c:pt idx="1">
                  <c:v>35.4</c:v>
                </c:pt>
                <c:pt idx="2">
                  <c:v>4.7</c:v>
                </c:pt>
                <c:pt idx="3">
                  <c:v>22.3</c:v>
                </c:pt>
                <c:pt idx="4">
                  <c:v>13</c:v>
                </c:pt>
                <c:pt idx="5">
                  <c:v>32.9</c:v>
                </c:pt>
                <c:pt idx="6">
                  <c:v>-2.7</c:v>
                </c:pt>
                <c:pt idx="7">
                  <c:v>12.6</c:v>
                </c:pt>
                <c:pt idx="8">
                  <c:v>14.9</c:v>
                </c:pt>
                <c:pt idx="9">
                  <c:v>2.2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9.5</c:v>
                </c:pt>
                <c:pt idx="1">
                  <c:v>19.4</c:v>
                </c:pt>
                <c:pt idx="2">
                  <c:v>-6.2</c:v>
                </c:pt>
                <c:pt idx="3">
                  <c:v>28.9</c:v>
                </c:pt>
                <c:pt idx="4">
                  <c:v>16.3</c:v>
                </c:pt>
                <c:pt idx="5">
                  <c:v>26.9</c:v>
                </c:pt>
                <c:pt idx="6">
                  <c:v>-19.4</c:v>
                </c:pt>
                <c:pt idx="7">
                  <c:v>24.2</c:v>
                </c:pt>
                <c:pt idx="8">
                  <c:v>23.3</c:v>
                </c:pt>
                <c:pt idx="9">
                  <c:v>16.4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0.0"x"</c:formatCode>
                <c:ptCount val="9"/>
                <c:pt idx="0">
                  <c:v>15.7</c:v>
                </c:pt>
                <c:pt idx="1">
                  <c:v>15.3</c:v>
                </c:pt>
                <c:pt idx="2">
                  <c:v>17.1</c:v>
                </c:pt>
                <c:pt idx="3">
                  <c:v>19.1</c:v>
                </c:pt>
                <c:pt idx="4">
                  <c:v>21.5</c:v>
                </c:pt>
                <c:pt idx="5">
                  <c:v>18.8</c:v>
                </c:pt>
                <c:pt idx="6">
                  <c:v>18.2</c:v>
                </c:pt>
                <c:pt idx="7">
                  <c:v>18.4</c:v>
                </c:pt>
                <c:pt idx="8">
                  <c:v>17.7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0.0"x"</c:formatCode>
                <c:ptCount val="9"/>
                <c:pt idx="0">
                  <c:v>18</c:v>
                </c:pt>
                <c:pt idx="1">
                  <c:v>18</c:v>
                </c:pt>
                <c:pt idx="2">
                  <c:v>18</c:v>
                </c:pt>
                <c:pt idx="3">
                  <c:v>18</c:v>
                </c:pt>
                <c:pt idx="4">
                  <c:v>18</c:v>
                </c:pt>
                <c:pt idx="5">
                  <c:v>18</c:v>
                </c:pt>
                <c:pt idx="6">
                  <c:v>18</c:v>
                </c:pt>
                <c:pt idx="7">
                  <c:v>18</c:v>
                </c:pt>
                <c:pt idx="8">
                  <c:v>18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Waste Connections</c:v>
                </c:pt>
                <c:pt idx="1">
                  <c:v>Waste Management</c:v>
                </c:pt>
                <c:pt idx="2">
                  <c:v>Republic Services</c:v>
                </c:pt>
                <c:pt idx="3">
                  <c:v>GFL Environmental</c:v>
                </c:pt>
                <c:pt idx="4">
                  <c:v>Casella Waste Systems</c:v>
                </c:pt>
                <c:pt idx="5">
                  <c:v>Clean Harbors</c:v>
                </c:pt>
                <c:pt idx="6">
                  <c:v>Veolia Environnement</c:v>
                </c:pt>
              </c:strCache>
            </c:strRef>
          </c:cat>
          <c:val>
            <c:numRef>
              <c:f>Hoja1!$B$2:$B$8</c:f>
              <c:numCache>
                <c:formatCode>0.0"x"</c:formatCode>
                <c:ptCount val="7"/>
                <c:pt idx="0">
                  <c:v>17.2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US Ecology</c:v>
                </c:pt>
                <c:pt idx="1">
                  <c:v>Urbaser (España)</c:v>
                </c:pt>
                <c:pt idx="2">
                  <c:v>Environmental Services de GFL</c:v>
                </c:pt>
                <c:pt idx="3">
                  <c:v>Stericycle</c:v>
                </c:pt>
                <c:pt idx="4">
                  <c:v>30 plantas de residuos de petróleo y gas de Secure Energy</c:v>
                </c:pt>
              </c:strCache>
            </c:strRef>
          </c:cat>
          <c:val>
            <c:numRef>
              <c:f>Hoja1!$B$2:$B$6</c:f>
              <c:numCache>
                <c:formatCode>0.0"x"</c:formatCode>
                <c:ptCount val="5"/>
                <c:pt idx="0">
                  <c:v>14.1</c:v>
                </c:pt>
                <c:pt idx="1">
                  <c:v>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1044</c:v>
                </c:pt>
                <c:pt idx="1">
                  <c:v>1626</c:v>
                </c:pt>
                <c:pt idx="2">
                  <c:v>1740</c:v>
                </c:pt>
                <c:pt idx="3">
                  <c:v>1844</c:v>
                </c:pt>
                <c:pt idx="4">
                  <c:v>1945</c:v>
                </c:pt>
                <c:pt idx="5">
                  <c:v>2022</c:v>
                </c:pt>
                <c:pt idx="6">
                  <c:v>2086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9101</c:v>
                </c:pt>
                <c:pt idx="1">
                  <c:v>30374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186,60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75.4</c:v>
                </c:pt>
                <c:pt idx="1">
                  <c:v>119.77</c:v>
                </c:pt>
                <c:pt idx="2">
                  <c:v>133.78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186,60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(146,89 – 187,27)</c:v>
                </c:pt>
                <c:pt idx="1">
                  <c:v>Precio objetivo de los analistas (170,00 – 225,00)</c:v>
                </c:pt>
                <c:pt idx="2">
                  <c:v>Comparables: PER NTM (168,81 – 283,78)</c:v>
                </c:pt>
                <c:pt idx="3">
                  <c:v>DCF (WACC y g ± 0,5) (93,97 – 160,14)</c:v>
                </c:pt>
                <c:pt idx="4">
                  <c:v>Escenarios (bajista – alcista) (75,40 – 133,78)</c:v>
                </c:pt>
                <c:pt idx="5">
                  <c:v>DCF con la prima implícita del mercado (4,2 %)</c:v>
                </c:pt>
                <c:pt idx="6">
                  <c:v>Precio actual (186,60)</c:v>
                </c:pt>
              </c:strCache>
            </c:strRef>
          </c:cat>
          <c:val>
            <c:numRef>
              <c:f>Hoja1!$B$2:$B$8</c:f>
              <c:numCache>
                <c:formatCode>#,##0</c:formatCode>
                <c:ptCount val="7"/>
                <c:pt idx="0">
                  <c:v>146.89</c:v>
                </c:pt>
                <c:pt idx="1">
                  <c:v>170</c:v>
                </c:pt>
                <c:pt idx="2">
                  <c:v>168.81</c:v>
                </c:pt>
                <c:pt idx="3">
                  <c:v>93.97</c:v>
                </c:pt>
                <c:pt idx="4">
                  <c:v>75.4</c:v>
                </c:pt>
                <c:pt idx="5">
                  <c:v>125.14</c:v>
                </c:pt>
                <c:pt idx="6">
                  <c:v>185.67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(146,89 – 187,27)</c:v>
                </c:pt>
                <c:pt idx="1">
                  <c:v>Precio objetivo de los analistas (170,00 – 225,00)</c:v>
                </c:pt>
                <c:pt idx="2">
                  <c:v>Comparables: PER NTM (168,81 – 283,78)</c:v>
                </c:pt>
                <c:pt idx="3">
                  <c:v>DCF (WACC y g ± 0,5) (93,97 – 160,14)</c:v>
                </c:pt>
                <c:pt idx="4">
                  <c:v>Escenarios (bajista – alcista) (75,40 – 133,78)</c:v>
                </c:pt>
                <c:pt idx="5">
                  <c:v>DCF con la prima implícita del mercado (4,2 %)</c:v>
                </c:pt>
                <c:pt idx="6">
                  <c:v>Precio actual (186,60)</c:v>
                </c:pt>
              </c:strCache>
            </c:strRef>
          </c:cat>
          <c:val>
            <c:numRef>
              <c:f>Hoja1!$C$2:$C$8</c:f>
              <c:numCache>
                <c:formatCode>#,##0</c:formatCode>
                <c:ptCount val="7"/>
                <c:pt idx="0">
                  <c:v>40.380000000000024</c:v>
                </c:pt>
                <c:pt idx="1">
                  <c:v>55</c:v>
                </c:pt>
                <c:pt idx="2">
                  <c:v>114.96999999999997</c:v>
                </c:pt>
                <c:pt idx="3">
                  <c:v>66.16999999999999</c:v>
                </c:pt>
                <c:pt idx="4">
                  <c:v>58.379999999999995</c:v>
                </c:pt>
                <c:pt idx="5">
                  <c:v>48.44000000000001</c:v>
                </c:pt>
                <c:pt idx="6">
                  <c:v>1.8600000000000136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