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Cencora, Inc.</w:t>
      </w:r>
    </w:p>
    <w:p>
      <w:pPr>
        <w:spacing w:after="60"/>
        <w:rPr>
          <w:color w:val="52514E"/>
          <w:sz w:val="22"/>
          <w:szCs w:val="22"/>
        </w:rPr>
      </w:pPr>
      <w:r>
        <w:rPr>
          <w:color w:val="52514E"/>
          <w:sz w:val="22"/>
          <w:szCs w:val="22"/>
        </w:rPr>
        <w:t xml:space="preserve">COR · New York Stock Exchange · ISIN US03073E1055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336,17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308,78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-7,4 % (base -0,1 %)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324,64 USD · mercado 378,08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64.545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Cencora,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COR / US03073E1055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Distribuidores de productos sanitarios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Conshohocken (Pensilvania) · 2001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https://www.cencora.com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336,17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244,82 – 377,54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64.545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78.939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416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308,78 USD</w:t>
      </w:r>
      <w:r>
        <w:t xml:space="preserve"> frente a 336,17 · Rentabilidad a 12 meses </w:t>
      </w:r>
      <w:r>
        <w:rPr>
          <w:b/>
          <w:bCs/>
        </w:rPr>
        <w:t xml:space="preserve">-7,4 % (base -0,1 %)</w:t>
      </w:r>
      <w:r>
        <w:t xml:space="preserve"> · Valor intrínseco 324,64 USD · con la prima implícita del mercado: 378,08 (+12,5 %) · Alcista / bajista +15,7 % / -38,1 %</w:t>
      </w:r>
    </w:p>
    <w:p>
      <w:pPr>
        <w:spacing w:after="100"/>
      </w:pPr>
      <w:r>
        <w:rPr>
          <w:b/>
        </w:rPr>
        <w:t xml:space="preserve">La recomendación y por qué.</w:t>
      </w:r>
      <w:r>
        <w:t xml:space="preserve"> Mantener, con convicción baja. El objetivo a 12 meses es de 308,78 USD (nuestro BPA ajustado de FY2028e × el PER de la regla común), un −7,4 % de rentabilidad ponderada con el dividendo y un −0,1 % en el caso base, frente a un precio de 336,17 USD. El valor intrínseco (324,64 USD) queda un 3,4 % por debajo del precio, y el objetivo medio de los analistas (370,17) está por encima de nuestro rango (212,89-355,11). La razón principal: Cencora es un negocio excelente que ya cotiza a 17,0 veces el BPA del próximo ejercicio, por encima de su mediana de cinco años (14,1), y el precio descuenta exactamente nuestro caso base. La convicción es baja porque las dos reglas discrepan (Vender con nuestro WACC, Mantener con la prima del mercado); subiría si la guía de FY2027 del 4-nov-2026 supera los 19,80 USD del consenso o si el precio baja de 270,55 USD.</w:t>
      </w:r>
    </w:p>
    <w:p>
      <w:pPr>
        <w:spacing w:after="100"/>
      </w:pPr>
      <w:r>
        <w:rPr>
          <w:b/>
        </w:rPr>
        <w:t xml:space="preserve">El negocio.</w:t>
      </w:r>
      <w:r>
        <w:t xml:space="preserve"> Segundo distribuidor farmacéutico de EE. UU. en un oligopolio de tres (≈ 34 % del volumen), con un margen operativo ajustado del 1,31 % sobre 321.333 M USD de ventas y circulante negativo. El ROIC del motor (71,8 %) está inflado por ese circulante; sin él, un 15-17 %, que frente a un WACC del 8,32 % deja ≈ +7-8 puntos: calidad «Sí». La sostenibilidad del crecimiento es «Sí»: proyectamos un 4,3 % anual, por debajo del 10,2 % histórico y del 8,4 % que IQVIA prevé para el mercado, sin necesidad de capital. La debilidad es la concentración: Walgreens y Boots son el 25 % de las ventas y Express Scripts el 13 %, y los dos contratos vencen en 2029.</w:t>
      </w:r>
    </w:p>
    <w:p>
      <w:pPr>
        <w:spacing w:after="100"/>
      </w:pPr>
      <w:r>
        <w:rPr>
          <w:b/>
        </w:rPr>
        <w:t xml:space="preserve">Finanzas.</w:t>
      </w:r>
      <w:r>
        <w:t xml:space="preserve"> En 9M FY2026 las ventas crecen un 4,8 % y el resultado operativo ajustado un 11,4 %; la guía de BPA ajustado de FY2026 es de 17,75-17,95 USD. La deuda bruta subió a 11.723 M USD por RCA y OneOncology; con los opioides después de impuestos (3.318 M) y los pagos contingentes (≈ 2.012 M), la deuda neta ajustada es de 14.207 M (≈ 2,8 veces el EBITDA ajustado LTM). El BPA GAAP (7,96 USD en FY2025) es la mitad del ajustado (16,00) por deterioros de PharmaLex, amortización de lo comprado y reestructuración recurrente.</w:t>
      </w:r>
    </w:p>
    <w:p>
      <w:pPr>
        <w:spacing w:after="100"/>
      </w:pPr>
      <w:r>
        <w:rPr>
          <w:b/>
        </w:rPr>
        <w:t xml:space="preserve">Equipo y gobierno.</w:t>
      </w:r>
      <w:r>
        <w:t xml:space="preserve"> Presidente independiente desde octubre de 2025, una acción un voto, sin accionista de control tras la salida de Walgreens. La dirección ha cumplido la guía de BPA cada año, pero falló la de ingresos en mayo de 2026 (−17,4 % en bolsa). El variable se mide en cifras ajustadas, lo que premia comprar con deuda. Los directivos vendieron 16,7 M USD en 12 meses; el presidente compró 2,16 M tras la caída.</w:t>
      </w:r>
    </w:p>
    <w:p>
      <w:pPr>
        <w:spacing w:after="100"/>
      </w:pPr>
      <w:r>
        <w:rPr>
          <w:b/>
        </w:rPr>
        <w:t xml:space="preserve">Valoración.</w:t>
      </w:r>
      <w:r>
        <w:t xml:space="preserve"> El DCF da 337,93 USD (+0,5 %) y el DCF inverso descuenta un 4,1 % de crecimiento con un margen del 1,7 %: nuestro caso base. Con la prima del mercado (4,2 %) el DCF sube a 403,15 USD: la diferencia es la tasa. La regla a 12 meses lleva el PER de 17,0 a 15,5 veces, a mitad de camino hacia la mediana de cinco años; los analistas aplican el múltiplo de McKesson (20,4) y Cardinal (19,1). Con la regla v2 de control, −1,6 % ponderada.</w:t>
      </w:r>
    </w:p>
    <w:p>
      <w:pPr>
        <w:spacing w:after="100"/>
      </w:pPr>
      <w:r>
        <w:rPr>
          <w:b/>
        </w:rPr>
        <w:t xml:space="preserve">Riesgos y catalizadores.</w:t>
      </w:r>
      <w:r>
        <w:t xml:space="preserve"> El mayor riesgo es la renovación de Walgreens en manos de Sycamore (bajista: −38 %); después, los precios de Medicare y de nación más favorecida, y los opioides fuera del acuerdo (Baltimore y el Departamento de Justicia). El riesgo de la IA es bajo y mixto (±2 %): no sustituye la logística física con licencia y ayuda en costes. Catalizador: resultados y guía de FY2027 el 4-nov-2026. Los foros están en positivo, en línea con los analistas, sin euforia.</w:t>
      </w:r>
    </w:p>
    <w:p>
      <w:pPr>
        <w:spacing w:after="100"/>
      </w:pPr>
      <w:r>
        <w:rPr>
          <w:b/>
        </w:rPr>
        <w:t xml:space="preserve">Qué cambiaría la decisión.</w:t>
      </w:r>
      <w:r>
        <w:t xml:space="preserve"> Comprar por debajo de 270,55 USD; vender por encima de 345,70. Pasaríamos a Comprar con una guía de FY2027 por encima de 20,50 USD sin recompras, y a Vender si sale más volumen de Walgreens del contrato principal o si el margen operativo ajustado de EE. UU. baja del 1,10 %.</w:t>
      </w:r>
    </w:p>
    <w:p>
      <w:r>
        <w:br w:type="page"/>
      </w:r>
    </w:p>
    <w:p>
      <w:pPr>
        <w:pStyle w:val="Heading1"/>
      </w:pPr>
      <w:r>
        <w:t xml:space="preserve">Resumen ejecutivo</w:t>
      </w:r>
    </w:p>
    <w:p>
      <w:pPr>
        <w:spacing w:after="100"/>
      </w:pPr>
      <w:r>
        <w:rPr>
          <w:b/>
          <w:bCs/>
        </w:rPr>
        <w:t xml:space="preserve">Recomendación: Mantener</w:t>
      </w:r>
      <w:r>
        <w:t xml:space="preserve"> · Convicción: Baja · Horizonte: 12 meses · Objetivo a 12 meses: </w:t>
      </w:r>
      <w:r>
        <w:rPr>
          <w:b/>
          <w:bCs/>
        </w:rPr>
        <w:t xml:space="preserve">308,78 USD</w:t>
      </w:r>
      <w:r>
        <w:t xml:space="preserve"> (rentabilidad -7,4 % (base -0,1 %)) · Valor intrínseco: 324,64 USD (-3,4 % sobre 336,17) · con la prima implícita del mercado: 378,08 (+12,5 %)</w:t>
      </w:r>
    </w:p>
    <w:p>
      <w:pPr>
        <w:spacing w:after="100"/>
      </w:pPr>
      <w:r>
        <w:t xml:space="preserve">Cencora distribuye un tercio de los medicamentos con receta de EE. UU. en un oligopolio de tres que lleva dos décadas sin cambiar. Gana un 1,31 % de margen operativo ajustado sobre 321.333 M USD, con circulante negativo: crecer genera caja y el capital invertido real es pequeño. Desde 2025 compra consultas de oncología y retina (RCA y OneOncology) para asegurarse el volumen de especialidad, que deja más margen [2, 7].</w:t>
      </w:r>
    </w:p>
    <w:p>
      <w:pPr>
        <w:spacing w:after="100"/>
      </w:pPr>
      <w:r>
        <w:t xml:space="preserve">El precio descuenta nuestro caso base: un 4,1 % de crecimiento anual y un margen EBITDA del 1,7 %, según el DCF inverso. La acción cotiza a 17,0 veces el BPA ajustado del próximo ejercicio, por encima de la mediana de cinco años (14,1) y de la media de ocho (12,9), y con un EV/EBITDA un 50 % por encima de su media de seis años.</w:t>
      </w:r>
    </w:p>
    <w:p>
      <w:pPr>
        <w:spacing w:after="100"/>
      </w:pPr>
      <w:r>
        <w:t xml:space="preserve">El mercado acierta al pagar más que antes por un negocio con menos riesgo de opioides y más especialidad, pero no deja margen de error: un cliente que pesa el 25 % de las ventas acaba de mover volumen a la competencia y renueva en 2029. Para invertir hay que creer que el PER se queda en 17-19 veces, el de McKesson y Cardinal; la regla común no lo supone.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308,78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18,84 = 212,89 · 15,5x × 21,52 = 333,56 · 15,5x × 22,91 = 355,11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 / -0,1 %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370,17 (nuestro base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324,64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 / -38,1 %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8,3 %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378,08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270,55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270,55 y 345,70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345,70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270,55 USD: Comprar (ponderada ≥ 15 % y valor intrínseco por encima).</w:t>
      </w:r>
    </w:p>
    <w:p>
      <w:pPr>
        <w:pStyle w:val="ListParagraph"/>
        <w:numPr>
          <w:ilvl w:val="0"/>
          <w:numId w:val="2"/>
        </w:numPr>
        <w:spacing w:after="60"/>
      </w:pPr>
      <w:r>
        <w:t xml:space="preserve">Precio por encima de 345,70 USD: Vender (ponderada ≤ −10 %).</w:t>
      </w:r>
    </w:p>
    <w:p>
      <w:pPr>
        <w:pStyle w:val="ListParagraph"/>
        <w:numPr>
          <w:ilvl w:val="0"/>
          <w:numId w:val="2"/>
        </w:numPr>
        <w:spacing w:after="60"/>
      </w:pPr>
      <w:r>
        <w:t xml:space="preserve">Guía de BPA ajustado de FY2027 (4-nov-2026) por encima de 20,50 USD sin recompras: revisar al alza.</w:t>
      </w:r>
    </w:p>
    <w:p>
      <w:pPr>
        <w:pStyle w:val="ListParagraph"/>
        <w:numPr>
          <w:ilvl w:val="0"/>
          <w:numId w:val="2"/>
        </w:numPr>
        <w:spacing w:after="60"/>
      </w:pPr>
      <w:r>
        <w:t xml:space="preserve">Nuevo anuncio de pérdida de volumen de Walgreens o Express Scripts: pasar a Vender.</w:t>
      </w:r>
    </w:p>
    <w:p>
      <w:pPr>
        <w:pStyle w:val="ListParagraph"/>
        <w:numPr>
          <w:ilvl w:val="0"/>
          <w:numId w:val="2"/>
        </w:numPr>
        <w:spacing w:after="60"/>
      </w:pPr>
      <w:r>
        <w:t xml:space="preserve">Margen operativo ajustado de EE. UU. por debajo del 1,10 % en dos trimestres: pasar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especialidad y el apalancamiento operativo sostienen un crecimiento del BPA del 9-13 % anual durante años y que el múltiplo de 17-20 veces del sector es el nuevo normal; los analistas esperan 370 USD.</w:t>
      </w:r>
    </w:p>
    <w:p>
      <w:pPr>
        <w:keepNext/>
        <w:spacing w:after="100"/>
      </w:pPr>
      <w:r>
        <w:rPr>
          <w:b/>
          <w:bCs/>
        </w:rPr>
        <w:t xml:space="preserve">Lo que creemos nosotros.</w:t>
      </w:r>
    </w:p>
    <w:p>
      <w:pPr>
        <w:spacing w:after="100"/>
      </w:pPr>
      <w:r>
        <w:t xml:space="preserve">Coincidimos en el BPA (19,77 frente a 19,80 en FY2027e) y discrepamos en el múltiplo: la empresa vale lo que cuesta y el riesgo de cliente está infravalorado. La renovación de Walgreens y Express Scripts en 2029 cae dentro de la vida del múltiplo que hoy se paga.</w:t>
      </w:r>
    </w:p>
    <w:p>
      <w:pPr>
        <w:keepNext/>
        <w:spacing w:after="100"/>
      </w:pPr>
      <w:r>
        <w:rPr>
          <w:b/>
          <w:bCs/>
        </w:rPr>
        <w:t xml:space="preserve">Por qué podemos tener razón.</w:t>
      </w:r>
    </w:p>
    <w:p>
      <w:pPr>
        <w:spacing w:after="100"/>
      </w:pPr>
      <w:r>
        <w:t xml:space="preserve">La historia muestra que el sector cotizó a 10-11 veces cuando los clientes y la regulación presionaban (2019-2022). El margen de 1,5 % convierte cualquier cesión de diferencial en una caída de beneficio de dos dígitos.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36,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Oligopolio estable</w:t>
      </w:r>
      <w:r>
        <w:t xml:space="preserve">: tres empresas mueven más del 90 % del volumen de EE. UU.</w:t>
      </w:r>
    </w:p>
    <w:p>
      <w:pPr>
        <w:pStyle w:val="ListParagraph"/>
        <w:numPr>
          <w:ilvl w:val="0"/>
          <w:numId w:val="2"/>
        </w:numPr>
        <w:spacing w:after="60"/>
      </w:pPr>
      <w:r>
        <w:rPr>
          <w:b/>
        </w:rPr>
        <w:t xml:space="preserve">Circulante negativo</w:t>
      </w:r>
      <w:r>
        <w:t xml:space="preserve">: −9.002 M USD en FY2025; crecer genera caja.</w:t>
      </w:r>
    </w:p>
    <w:p>
      <w:pPr>
        <w:pStyle w:val="ListParagraph"/>
        <w:numPr>
          <w:ilvl w:val="0"/>
          <w:numId w:val="2"/>
        </w:numPr>
        <w:spacing w:after="60"/>
      </w:pPr>
      <w:r>
        <w:rPr>
          <w:b/>
        </w:rPr>
        <w:t xml:space="preserve">Guía cumplida</w:t>
      </w:r>
      <w:r>
        <w:t xml:space="preserve">: BPA ajustado de 16,00 USD en FY2025, en el rango, y guía de FY2026 subida a 17,75-17,95.</w:t>
      </w:r>
    </w:p>
    <w:p>
      <w:pPr>
        <w:pStyle w:val="ListParagraph"/>
        <w:numPr>
          <w:ilvl w:val="0"/>
          <w:numId w:val="2"/>
        </w:numPr>
        <w:spacing w:after="60"/>
      </w:pPr>
      <w:r>
        <w:rPr>
          <w:b/>
        </w:rPr>
        <w:t xml:space="preserve">Especialidad</w:t>
      </w:r>
      <w:r>
        <w:t xml:space="preserve">: el resultado operativo ajustado crece un 17,0 % en el 3T26 con OneOncology.</w:t>
      </w:r>
    </w:p>
    <w:p>
      <w:pPr>
        <w:pStyle w:val="ListParagraph"/>
        <w:numPr>
          <w:ilvl w:val="0"/>
          <w:numId w:val="2"/>
        </w:numPr>
        <w:spacing w:after="60"/>
      </w:pPr>
      <w:r>
        <w:rPr>
          <w:b/>
        </w:rPr>
        <w:t xml:space="preserve">Recompras</w:t>
      </w:r>
      <w:r>
        <w:t xml:space="preserve">: 1.000 M USD en el 3T26; 3-4 puntos de BPA al año según la empresa.</w:t>
      </w:r>
    </w:p>
    <w:p>
      <w:pPr>
        <w:pStyle w:val="Heading2"/>
      </w:pPr>
      <w:r>
        <w:t xml:space="preserve">En contra</w:t>
      </w:r>
    </w:p>
    <w:p>
      <w:pPr>
        <w:pStyle w:val="ListParagraph"/>
        <w:numPr>
          <w:ilvl w:val="0"/>
          <w:numId w:val="2"/>
        </w:numPr>
        <w:spacing w:after="60"/>
      </w:pPr>
      <w:r>
        <w:rPr>
          <w:b/>
        </w:rPr>
        <w:t xml:space="preserve">Concentración</w:t>
      </w:r>
      <w:r>
        <w:t xml:space="preserve">: Walgreens y Boots, 25 % de las ventas; Express Scripts, 13 %; contratos hasta 2029.</w:t>
      </w:r>
    </w:p>
    <w:p>
      <w:pPr>
        <w:pStyle w:val="ListParagraph"/>
        <w:numPr>
          <w:ilvl w:val="0"/>
          <w:numId w:val="2"/>
        </w:numPr>
        <w:spacing w:after="60"/>
      </w:pPr>
      <w:r>
        <w:rPr>
          <w:b/>
        </w:rPr>
        <w:t xml:space="preserve">Caro frente a su historia</w:t>
      </w:r>
      <w:r>
        <w:t xml:space="preserve">: 17,0 veces el BPA adelantado frente a una mediana de 14,1.</w:t>
      </w:r>
    </w:p>
    <w:p>
      <w:pPr>
        <w:pStyle w:val="ListParagraph"/>
        <w:numPr>
          <w:ilvl w:val="0"/>
          <w:numId w:val="2"/>
        </w:numPr>
        <w:spacing w:after="60"/>
      </w:pPr>
      <w:r>
        <w:rPr>
          <w:b/>
        </w:rPr>
        <w:t xml:space="preserve">Margen mínimo</w:t>
      </w:r>
      <w:r>
        <w:t xml:space="preserve">: 12 puntos básicos de margen son el 7 % del EBITDA; el bajista vale −38 %.</w:t>
      </w:r>
    </w:p>
    <w:p>
      <w:pPr>
        <w:pStyle w:val="ListParagraph"/>
        <w:numPr>
          <w:ilvl w:val="0"/>
          <w:numId w:val="2"/>
        </w:numPr>
        <w:spacing w:after="60"/>
      </w:pPr>
      <w:r>
        <w:rPr>
          <w:b/>
        </w:rPr>
        <w:t xml:space="preserve">Deuda asimilada</w:t>
      </w:r>
      <w:r>
        <w:t xml:space="preserve">: 5.330 M USD de opioides y pagos contingentes además de 11.723 M de deuda.</w:t>
      </w:r>
    </w:p>
    <w:p>
      <w:pPr>
        <w:pStyle w:val="ListParagraph"/>
        <w:numPr>
          <w:ilvl w:val="0"/>
          <w:numId w:val="2"/>
        </w:numPr>
        <w:spacing w:after="60"/>
      </w:pPr>
      <w:r>
        <w:rPr>
          <w:b/>
        </w:rPr>
        <w:t xml:space="preserve">Compras caras</w:t>
      </w:r>
      <w:r>
        <w:t xml:space="preserve">: ≈ 13.000 M USD por RCA y OneOncology; deterioros de 1.142 M en PharmaLex.</w:t>
      </w:r>
    </w:p>
    <w:p>
      <w:pPr>
        <w:pStyle w:val="Heading2"/>
      </w:pPr>
      <w:r>
        <w:t xml:space="preserve">Qué tiene que pasar para que la tesis funcione</w:t>
      </w:r>
    </w:p>
    <w:p>
      <w:pPr>
        <w:spacing w:after="100"/>
      </w:pPr>
      <w:r>
        <w:t xml:space="preserve">La tesis depende de que Walgreens y Express Scripts renueven sin recortar el diferencial y de que la especialidad siga subiendo el margen. La señal en contra sería otra salida de volumen de Walgreens fuera del contrato principal, una guía de FY2027 por debajo de 19,50 USD o un margen operativo ajustado de EE. UU. por debajo del 1,10 %.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(guía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Consenso 19,80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19,50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nuestro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diferencial con los clientes.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(9M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precios de marcas.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Walgreens y Boots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25 %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volumen del principal cliente.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3.000 M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Paga recompras y deuda.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25,0x / 17,0x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(FY2019-FY2025)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Cencora nace en 2001 de la fusión de AmeriSource Health y Bergen Brunswig como AmerisourceBergen [1]. En 2013 firma una alianza con Walgreens y Alliance Boots que la convierte en su distribuidor en EE. UU. y le da acceso a su plataforma de compras de genéricos; Walgreens llegó a tener ≈ 30 % del capital y salió por debajo del 5 % en 2025 [1, 22]. Compra MWI Animal Health en 2015 y Alliance Healthcare en 2021 (≈ 6.500 M USD) [22]. En 2021-2022 cierra con los otros dos grandes el acuerdo nacional de opioides [7]. En 2023 cambia de nombre a Cencora. Robert Mauch sucede a Steven Collis como consejero delegado en octubre de 2024. Desde 2025 compra consultas médicas especializadas (RCA, OneOncology) y vende lo no farmacéutico (MWI, consultoría)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AmeriSource Health y Bergen Brunswig: AmerisourceBergen.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a 10 años con Walgreens y Alliance Boots; plataforma común de compras de genéricos.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MWI Animal Health.</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 de 6.600 M USD por el acuerdo de opioides.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Alliance Healthcare a Walgreens (≈ 6.500 M USD) y prórroga del contrato con Walgreens hasta 2029.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vigor el acuerdo nacional de opioides de los distribuidores; compra de PharmaLex.</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Cencora.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Mauch, consejero delegado; Evernorth prorroga hasta 2029.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85 % de Retina Consultants of America; Sycamore compra Walgreens.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OneOncology; acuerdo para fusionar MWI con Covetrus; rebaja de la guía de ingresos en mayo.</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Cencora compra medicamentos a los laboratorios y los distribuye a farmacias de cadena e independientes, hospitales, consultas médicas y gestores de farmacia en EE. UU. (89 % de las ventas), y en Europa y Canadá con Alliance Healthcare e Innomar [1]. Tiene una red de centros de distribución con licencia de la DEA, la franquicia de farmacias independientes Good Neighbor Pharmacy y servicios para laboratorios (logística de ensayos clínicos con World Courier, acceso al mercado, servicios de datos) [1]. Desde 2025 es dueña de consultas de retina (RCA) y desde 2026 de una plataforma de oncología (OneOncology), lo que le asegura el volumen de fármacos de especialidad que esas consultas administran [25].</w:t>
      </w:r>
    </w:p>
    <w:p>
      <w:pPr>
        <w:pStyle w:val="Heading2"/>
      </w:pPr>
      <w:r>
        <w:t xml:space="preserve">Cómo gana dinero</w:t>
      </w:r>
    </w:p>
    <w:p>
      <w:pPr>
        <w:spacing w:after="100"/>
      </w:pPr>
      <w:r>
        <w:t xml:space="preserve">Cobra un diferencial pequeño sobre un volumen enorme: 3,57 % de margen bruto y 1,31 % de margen operativo ajustado en FY2025 [1]. Los ingresos son casi todos recurrentes (contratos de varios años). El beneficio depende de la mezcla: los genéricos y la especialidad dejan más margen que las marcas y los GLP-1; los laboratorios pagan comisiones por servicio pactadas sobre el precio de lista, por lo que la inflación de precios ayuda y las bajadas restan [1, 5]. El apalancamiento operativo es alto: los costes crecen menos que el volumen. El circulante es negativo (proveedores &gt; existencias + clientes), así que crecer genera caja. Estacionalidad: el 2T (enero-marzo) concentra el beneficio por las subidas de precios de enero y el ajuste LIFO [5].</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(U.S. Healthcare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(U.S. Healthcare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259.635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284.964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la mayor debilidad: los diez primeros clientes (con organismos públicos y centrales de compra) suman ≈ 66 % de los ingresos; Walgreens y Boots, ≈ 25 % y el 38 % de las cuentas a cobrar; Evernorth (Express Scripts), ≈ 13 % [1]. Los dos contratos principales vencen en 2029. El poder de precios es pequeño y se ve en el margen bruto: los grandes clientes negocian el diferencial, y la empresa gana con la mezcla (especialidad, genéricos comprados a través de la plataforma de Walgreens) más que con subidas de tarifa [1]. Las ventas a los dos mayores clientes subieron 6.200 M USD en FY2025, sobre todo por GLP-1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 del segmento de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(FY2025); 4,3 % en 9M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Bajadas de precio de marcas, pérdida de clientes y cambio de mezcla del gran cliente de venta por correo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GLP-1 en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28.600 M USD (FY2024, estimación desde el aumento)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 M USD y +26,9 %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 volumen y margen bruto bajo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 (FY2025); 1,43 % en 9M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Especialidad y RCA/OneOncology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 USD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USD (FY2025); guía FY2026 17,75-17,95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Walgreens y Boots en los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25 %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 38 % de las cuentas a cobrar; Evernorth (Express Scripts), 13 %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 M USD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3.000 M USD (guía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la distribución mayorista de medicamentos con receta en EE. UU. (de marca, genéricos y especialidad) a farmacias, hospitales, consultas y gestores de farmacia, que da el 89 % de las ventas de Cencora [1]. Se mide por las ventas de los segmentos farmacéuticos de EE. UU. de los tres grandes (McKesson, Cencora y Cardinal), que mueven más del 90 % del volumen [1, 19, 20]: ≈ 866.000 M USD en los últimos ejercicios publicados (estimación propia; ejercicios a marzo, junio y septiembre). Europa (Alliance Healthcare) y Canadá son mercados aparte, regulados por país, y pesan menos del 9 % [1]. Detalle en la ficha sectorial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866.000 M USD de ventas de distribución farmacéutica en EE. UU. de los tres grandes (último ejercicio de cada uno) [1, 19,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s de los segmentos de EE. UU. de los tres grandes;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recetas y envejecimiento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población de 65 años o más llegará a ≈ 71 millones en 2029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GLP-1 (diabetes y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+7.700 M USD de ventas en FY2025 en Cencora (+26,9 %), con margen bruto muy inferior a la media [1,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Especialidad (oncología, retina, biosimilares)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tres grandes han gastado más de 14.000 M USD en comprar consultas de oncología, retina, urología y digestivo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los medicamentos de marca (IRA, nación más favorecida)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bajadas de precio de marcas restaron ≈ 2.000 M USD de ventas a Cencora en el 2T26 [5,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Genéricos y biosimilares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conversión a genéricos baja las ventas pero sube el margen del distribuidor; los biosimilares de la parte B son favorables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estable de tres que compiten por contratos de grandes cuentas: márgenes operativos del 1,0-1,2 % en EE. UU. [1, 19,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Walgreens y Boots, 25 % de las ventas de Cencora; Evernorth, 13 %; los diez primeros, 66 %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laboratorio supera el 10 % de las compras [1]; la comisión por servicio está pactada.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licencias por estado y de la DEA, y la red de almacenes; Amazon y los gestores de farmacia no han entrado en la distribución mayorista general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venta directa del laboratorio al paciente (TrumpRx, plataformas propias) y la integración de los gestores de farmacia afectan a nichos; el grueso sigue pasando por el mayorista [1].</w:t>
            </w:r>
          </w:p>
        </w:tc>
      </w:tr>
    </w:tbl>
    <w:p>
      <w:pPr>
        <w:spacing w:after="160" w:before="0"/>
      </w:pPr>
    </w:p>
    <w:p>
      <w:pPr>
        <w:pStyle w:val="Heading2"/>
      </w:pPr>
      <w:r>
        <w:t xml:space="preserve">Ciclo</w:t>
      </w:r>
    </w:p>
    <w:p>
      <w:pPr>
        <w:spacing w:after="100"/>
      </w:pPr>
      <w:r>
        <w:t xml:space="preserve">La demanda de medicamentos no depende del ciclo: las ventas de Cencora crecieron en 2009, 2020 y 2022-2023 [1]. Lo que se mueve es la inflación de precios de marca y genéricos (crédito o cargo LIFO) y el volumen de GLP-1. Hoy el volumen crece, pero la bajada de precios de algunas marcas frenó las ventas en 2026 [5].</w:t>
      </w:r>
    </w:p>
    <w:p>
      <w:pPr>
        <w:pStyle w:val="Heading2"/>
      </w:pPr>
      <w:r>
        <w:t xml:space="preserve">Regulación</w:t>
      </w:r>
    </w:p>
    <w:p>
      <w:pPr>
        <w:spacing w:after="100"/>
      </w:pPr>
      <w:r>
        <w:t xml:space="preserve">La Ley de Reducción de la Inflación fija precios negociados en Medicare para los primeros diez fármacos desde enero de 2026 y para quince más desde 2027, lo que reduce las ventas facturadas por el distribuidor. La política de «nación más favorecida» y los acuerdos directos de precios con laboratorios presionan los precios de lista. Los aranceles a los medicamentos importados encarecen el coste, que el distribuidor traslada. El acuerdo de opioides de 2022 obliga a un sistema de control común de pedidos sospechosos [7].</w:t>
      </w:r>
    </w:p>
    <w:p>
      <w:pPr>
        <w:pStyle w:val="Heading2"/>
      </w:pPr>
      <w:r>
        <w:t xml:space="preserve">Tendencias y disrupción</w:t>
      </w:r>
    </w:p>
    <w:p>
      <w:pPr>
        <w:spacing w:after="100"/>
      </w:pPr>
      <w:r>
        <w:t xml:space="preserve">La especialidad crece más que la distribución general: los tres grandes compran consultas de oncología, retina, urología y digestivo para asegurarse el volumen de fármacos de alto precio y vender servicios [25]. Cencora gana con ello (RCA y OneOncology). La automatización de almacenes y la previsión de demanda con IA bajan el coste por unidad. Los biosimilares de la parte B y los GLP-1 suben el volumen; la venta directa del laboratorio al paciente es una amenaza aún pequeña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distribuidor farmacéutico de EE. UU. (≈ 34 % del volumen de los tres grandes; estimación propia), detrás de McKesson (≈ 39 %) y delante de Cardinal (≈ 27 %) [1, 19, 20]; 2.º-3.º mayorista en Reino Unido y otros países europeos con Alliance Healthcare.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McKesson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403.430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más diversificado (oncología con US Oncology Network y Florida Cancer Specialists, software de recetas) [19,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Cardinal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Tercero; también productos médicos; compra consultas de digestivo y urología [20,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Henry Schein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HSIC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a dentistas y médicos; no compite en la mayorista farmacéutica general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Medipal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7459.T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mayorista de Japón; mercado regulado aparte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Alfresa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2784.T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Mayorista japonés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Galenica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GALE.SW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Farmacias y mayorista (Alloga, Galexis) en Suiza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plataforma de compras de genéricos con Walgreens (WBAD) da algo de escala en la compra, no un efecto de red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5-10 años con integración logística y de sistemas; aun así, Walgreens movió parte del volumen fuera del contrato principal en julio de 2026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estatales y de la DEA en cada almacén; Good Neighbor Pharmacy, primera en satisfacción de J. D. Power por 14.ª vez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1,15 % en EE. UU. sobre 285.000 M USD: un entrante no podría igualar el coste por unidad sin el volumen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empresas con más del 90 % del mercado y márgenes que no atraen entrantes; ninguna ha perdido la posición en dos décadas [2, 3, 1].</w:t>
            </w:r>
          </w:p>
        </w:tc>
      </w:tr>
    </w:tbl>
    <w:p>
      <w:pPr>
        <w:spacing w:after="160" w:before="0"/>
      </w:pPr>
    </w:p>
    <w:p>
      <w:pPr>
        <w:pStyle w:val="Heading2"/>
      </w:pPr>
      <w:r>
        <w:t xml:space="preserve">Amenazas</w:t>
      </w:r>
    </w:p>
    <w:p>
      <w:pPr>
        <w:spacing w:after="100"/>
      </w:pPr>
      <w:r>
        <w:t xml:space="preserve">El oligopolio aguanta, pero el margen depende de pocos clientes: Walgreens (propiedad de Sycamore desde agosto de 2025) y Express Scripts renuevan en 2029 [1, 22, 23], y cada renovación suele ceder diferencial. La venta directa de laboratorios y los precios negociados de Medicare bajan las ventas facturadas. Probabilidad de erosión seria en cinco años: baja; de recortes de margen en la renovación de 2029: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321.333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spacing w:after="100"/>
      </w:pPr>
      <w:r>
        <w:t xml:space="preserve">Crecimiento anual compuesto FY2019-FY2025: ingresos </w:t>
      </w:r>
      <w:r>
        <w:rPr>
          <w:b/>
          <w:bCs/>
        </w:rPr>
        <w:t xml:space="preserve">10,2 %</w:t>
      </w:r>
      <w:r>
        <w:t xml:space="preserve">, EBITDA </w:t>
      </w:r>
      <w:r>
        <w:rPr>
          <w:b/>
          <w:bCs/>
        </w:rPr>
        <w:t xml:space="preserve">12,3 %</w:t>
      </w:r>
      <w:r>
        <w:t xml:space="preserve">, BPA </w:t>
      </w:r>
      <w:r>
        <w:rPr>
          <w:b/>
          <w:bCs/>
        </w:rPr>
        <w:t xml:space="preserve">12,0 %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179.589 M USD en FY2019 a 321.333 M en FY2025 (TCAC del 10,2 %) [1, 13], con dos saltos inorgánicos: Alliance Healthcare (jun-2021) y Retina Consultants of America (ene-2025) [1]. El margen bruto es mínimo (3,57 % GAAP en FY2025) porque el grueso de las ventas son medicamentos de marca que se revenden con un diferencial pequeño; el beneficio sale del volumen y de los genéricos, la especialidad y los servicios [1]. El resultado operativo ajustado subió de 2.051 M (1,14 % de las ventas) a 4.223 M (1,31 %) [2, 13]: el margen gana 17 puntos básicos en seis años por mezcla (especialidad, RCA) y apalancamiento operativo, frenado por los análogos de GLP-1, que suman ventas casi sin margen (+7.700 M USD y +26,9 % en FY2025 en EE. UU.) [1]. En 9M FY2026 los ingresos crecen un 4,8 % y el resultado ajustado un 11,4 %, con OneOncology consolidada desde el 2-feb-2026 [6]. FY2020 no es comparable: cargo de 6.600 M USD por el acuerdo de opioides (pérdida neta de 3.409 M) [12].</w:t>
      </w:r>
    </w:p>
    <w:p>
      <w:pPr>
        <w:pStyle w:val="Heading2"/>
      </w:pPr>
      <w:r>
        <w:t xml:space="preserve">Ajustes y partidas no recurrentes</w:t>
      </w:r>
    </w:p>
    <w:p>
      <w:pPr>
        <w:spacing w:after="100"/>
      </w:pPr>
      <w:r>
        <w:t xml:space="preserve">La empresa publica un BPA ajustado que excluye la amortización de intangibles comprados (553 M USD en FY2025), los cargos y abonos de litigios y opioides, los costes de compras e integración (291 M), la reestructuración (229 M), los deterioros del fondo de comercio de PharmaLex (724 M en FY2025 y 418 M en FY2024), el crédito o cargo LIFO, las ganancias de demandas antimonopolio contra laboratorios (236 M), el efecto de la hiperinflación turca y partidas fiscales [2]. En FY2025 el BPA GAAP fue de 7,96 USD y el ajustado de 16,00 USD [2]. En 9M FY2026 el GAAP (15,21) supera al ajustado (13,31) por una plusvalía de 1.087 M al revalorizar la participación previa en OneOncology y un crédito LIFO de 382 M [6]. La reestructuración y la integración se repiten todos los años (≈ 230 M de reestructuración en FY2023-FY2025) [1]: no son extraordinarias.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del ejercicio fiscal (el 1T26 es oct-dic 2025); BPA ajustado de la empresa [2, 4, 5, 6]. En el 2T26 (6-may-2026) la dirección rebajó la guía de ingresos de FY2026 del 7-9 % al 4-6 % por la bajada de precios de algunos medicamentos de marca, la pérdida de un cliente de oncología y otro de alimentación y el paso más rápido de lo previsto de un gran cliente de venta por correo a otros productos; a la vez subió la de BPA ajustado a 17,65-17,90 USD [5]. La acción cayó un 17,4 % ese día. En el 3T26 (5-ago) el resultado operativo ajustado creció un 17,0 % y el BPA un 12,0 %, con 1.000 M USD de recompras en el trimestre, y la guía de BPA subió a 17,75-17,95 USD [6]. En las conferencias de septiembre la nueva directora financiera dijo que la guía de FY2027 llegará con los resultados de noviembre, que FY2027 sumará cuatro meses más de OneOncology y que parte del volumen de Walgreens que no estaba en el contrato principal pasó a otros mayoristas el 1-jul-2026, con efecto en los tres primeros trimestres de FY2027 [18]. La dirección no ha cuantificado ni ese volumen ni el efecto de la venta de MWI sobre el BPA de FY2027 [15, 18].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(FY2021: Alliance Healthcare (compra a Walgreens Boots Alliance por ≈ 6.500 M USD), consolidada desde el 2-jun-2021: cuatro meses en la cuenta, entera en el balance.; FY2025: Retina Consultants of America (85 %, 4.042 M USD en caja), consolidada desde el 2-ene-2025: nueve meses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comercial es negativo y crece en valor absoluto: existencias + clientes − proveedores = −9.002 M USD en FY2025 (−2,8 % de las ventas) [1]; los proveedores (54.720 M) financian las existencias y los cobros. La deuda bruta subió de 4.388 M en FY2024 a 11.723 M en jun-2026 por RCA (bonos de 1.800 M y préstamos de 1.500 M) y OneOncology (bonos de 3.000 M y préstamos de 1.500 M) [7, 16]. El patrimonio neto contable es pequeño (3.051 M a jun-2026) por 11.446 M de autocartera recomprada y el cargo de opioides de FY2020 [7]: la rentabilidad sobre fondos propios no dice nada.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FY2019-FY2025: FCF </w:t>
      </w:r>
      <w:r>
        <w:rPr>
          <w:b/>
          <w:bCs/>
        </w:rPr>
        <w:t xml:space="preserve">17.964</w:t>
      </w:r>
      <w:r>
        <w:t xml:space="preserve">, conversión </w:t>
      </w:r>
      <w:r>
        <w:rPr>
          <w:b/>
          <w:bCs/>
        </w:rPr>
        <w:t xml:space="preserve">327 %</w:t>
      </w:r>
      <w:r>
        <w:t xml:space="preserve"> del beneficio neto; adquisiciones 11.336, dividendos 2.693, recompras 4.768.</w:t>
      </w:r>
    </w:p>
    <w:p>
      <w:pPr>
        <w:spacing w:after="100"/>
      </w:pPr>
      <w:r>
        <w:t xml:space="preserve">El flujo operativo depende del calendario de cobros y pagos: 3.911 M USD en FY2023, 3.485 M en FY2024 y 3.875 M en FY2025, frente a un beneficio ajustado de 3.123 M en FY2025 [1, 2]. La empresa mide un flujo libre ajustado (sin pagos de litigios) de ≈ 3.000 M en FY2025 y guía otros 3.000 M en FY2026, con 900 M de inversión [6]. En 9M FY2026 el flujo operativo fue de 1.688 M (742 M en 9M FY2025) [6]: el circulante consume caja en los primeros trimestres y la devuelve en el cuarto. Casi toda la inversión es de mantenimiento y sistemas (centros de distribución, ERP); estimación propia: ≈ 0,15 % de las ventas de mantenimiento. El gasto en compras domina los usos de la caja: 5.563 M en FY2021, 4.096 M en FY2025 y 4.974 M en 9M FY2026 [1, 6].</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FY2025, también sobre el control interno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pero el BPA publicado es ruidoso: en FY2025 el ajustado (16,00 USD) duplica el GAAP (7,96) [2]. Lo que separa uno de otro es en parte real y repetido (reestructuración, integración, amortización de lo comprado) y en parte extraordinario (deterioros de PharmaLex de 418 y 724 M USD en dos años: la compra de 2022 no ha salido bien) [2, 8]. La revalorización de los pagos contingentes de RCA y OneOncology (153 M en 9M FY2026) se excluye del ajustado aunque es un coste de las compras [6]. El crédito LIFO de 382 M en 9M FY2026 refleja bajadas de precio de marcas y también se excluye [6]. EY audita desde 1985 (41 años), mucho más que la media. Los indicadores del motor deben leerse con cautela: el patrimonio contable mínimo deforma el Altman Z, y la plusvalía de OneOncology infla el beneficio LTM.</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grande entre BPA GAAP y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FY2025 el ajustado excluye 1.042 M USD de gastos operativos netos y 553 M de amortización de intangibles; la reestructuración (229 M) se repite cada año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fondo de comercio de PharmaLex</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418 M USD en FY2024 y 724 M en FY2025 sobre una compra de ≈ 1.280 M EUR de 2022: error de asignación de capital reconocido [2,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41 años de permanencia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desde 1985 [1]; la ley de EE. UU. no obliga a rotar la firma, solo al socio.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contingentes de compras fuera del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revalorizaciones de las unidades de capital de RCA y OneOncology (153 M USD en 9M FY2026) no cuentan en el BPA ajustado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9.652,41x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13.677 M en FY2025 (el 324 % del capital invertido medio); ha subido más de un 5 % en 3 de 6 años: comprador en serie.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8,3 %.</w:t>
      </w:r>
    </w:p>
    <w:p>
      <w:pPr>
        <w:spacing w:after="100"/>
      </w:pPr>
      <w:r>
        <w:t xml:space="preserve">El ROIC del motor (71,8 % en FY2025) está inflado porque el capital invertido es casi nulo: el circulante comercial es de −9.002 M USD y los proveedores financian las existencias [1]. Una medida más exigente, sin el circulante negativo (inmovilizado + fondo de comercio + intangibles = 19.990 M USD en FY2025 y 25.284 M a jun-2026 con OneOncology) y con el resultado operativo ajustado después de impuestos (3.336 M en FY2025), da un ROIC del 16,7 %; sobre el capital de jun-2026 y el resultado ajustado guiado de FY2026 (≈ 4.790 M), un 15,2 % [2, 6, 7]. Frente a un WACC del 8,32 %, la empresa crea valor con margen (≈ +7-8 puntos en la medida exigente). Lo mueve la rotación (4,5 veces el activo) y no el margen. El crecimiento comprado rinde menos: RCA y OneOncology añaden ≈ 15.000 M USD de fondo de comercio e intangibles por un resultado que la empresa no desglosa, y PharmaLex acabó en deterioros [2, 7]. McKesson y Cardinal tienen el mismo perfil de capital negativo [35].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8.877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14.207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2.815 M USD a 30-jun-2026; línea sindicada ampliada a 7.000 M en julio de 2026 (vence en 2031), titulización de cuentas a cobrar de 1.000 M, programa de pagarés de 4.500 M respaldado por la línea y líneas no comprometidas de 500 + 500 M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Baa1 (bonos de 2026; S&amp;P y Fitch sin comprobar en fuente primaria)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por el acuerdo de opioides con los distribuidores (y Alabama) era de 4.200 M USD a 30-jun-2026, a pagar en 13 años (396 M en los próximos doce meses) [7]; es deuda asimilada. Siguen abiertos el caso de Baltimore (veredicto contra la empresa recurrido), la demanda civil del Departamento de Justicia por la Ley de Sustancias Controladas (dic-2022) y casos de tribus y de entidades no públicas, sin provisión [7]. Las compras de RCA y OneOncology dejan pagos contingentes: unidades de capital retenidas por los médicos (694 M y 752 M al cierre de cada compra, revalorizadas después: +153 M en 9M FY2026) y hasta 500 M de pagos por objetivos de RCA en FY2027-FY2028 (412,6 M estimados) [7]. Los arrendamientos son operativos (1.670 M de pasivo a sep-2025) y en US GAAP ya están en el EBITDA [1]. MWI Animal Health está en venta: 3.836 M de activos y 870 M de pasivos clasificados como mantenidos para la venta; la FTC pidió más información en mayo de 2026 [7].</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el crecimiento, compras en oncología y retina, recompras oportunistas, dividendo que crece con el beneficio y balance sólido [18]. El dividendo trimestral pasó de 0,55 a 0,60 USD en FY2026 [6]. En el 3T26 recompró 1.000 M USD de acciones, lo que preveía hacer hasta final de 2026 [6]. La guía a largo plazo (nov-2025) es de un crecimiento del resultado operativo ajustado del 6-9 % anual y del BPA ajustado del 9-13 %, del que 3-4 puntos vienen del despliegue de capital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Alliance Healthcare (mayoría de la distribución de Walgreens Boots Alliance en Europa)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6.275 M en caja (deuda) y 2 M de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el segmento internacional gana un 2,07 % de margen operativo ajustado en FY2025 frente al 1,15 % de EE. UU.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PharmaLex (servicios regulatorios para laboratorios)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418 M USD (FY2024) y 724 M (FY2025); parte de sus negocios pasó a «Otros» para su posible venta [2,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Retina Consultants of America (85 %)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de 1.800 M y préstamos de 1.500 M; 1.087 M de pagos contingentes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lo previsto según la dirección (3T26); préstamo de 1.500 M devuelto en julio de 2026 [7, 18].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OneOncology (mayoría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4.649 M en caja (bonos de 3.000 M y préstamos de 1.500 M); valor razonable de la participación previa 1.934 M; 752 M contingentes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desde el 2-feb-2026; aportó 820 M de ingresos hasta junio; 3.874 M de fondo de comercio y 3.062 M de intangibles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MWI Animal Health a Covetrus (fusión)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Cobro de 1.250 M en caja, 800 M en preferentes y 34,3 % de la nueva sociedad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la FTC pidió más información el 20-may-2026 [7, 17].</w:t>
            </w:r>
          </w:p>
        </w:tc>
      </w:tr>
    </w:tbl>
    <w:p>
      <w:pPr>
        <w:spacing w:after="160" w:before="0"/>
      </w:pPr>
    </w:p>
    <w:p>
      <w:pPr>
        <w:spacing w:after="100"/>
      </w:pPr>
      <w:r>
        <w:t xml:space="preserve">La dirección asigna capital con dos caras. En el negocio principal, el rendimiento es muy alto: el resultado operativo ajustado sube un 106 % entre FY2019 y FY2025 con poca inversión fija y circulante negativo [1, 13]. Las compras grandes han sido de dos tipos: las que refuerzan la distribución o la especialidad (Alliance, RCA, OneOncology), razonables, y las de diversificación (PharmaLex, consultoría), que acabaron en deterioros y en venta [2, 7]. En 18 meses ha gastado ≈ 9.500 M USD en caja en compras de consultas médicas (RCA y OneOncology) y la deuda bruta pasó de 4.388 M a 11.723 M [7]. Las recompras reducen las acciones diluidas de 212 M en FY2019 a 195 M en FY2025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P. Mauch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2007; dirigió la distribución de EE. UU. Como consejero delegado ha cerrado RCA y OneOncology y decidido vender MWI; ha cumplido o superado la guía de BPA en FY2025 y en FY2026 hasta el 3T [2, 6, 27].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 Boratto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directora financiera de CVS Health; sustituye a James Cleary, que se jubiló en junio de 2026 [6,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 Mark Durcan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consejero delegado de Micron; consejero coordinador en 2023-2025 y presidente desde el 1-oct-2025. Compró 8.000 acciones (2,16 M USD) en mayo y junio de 2026 tras la caída [27,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S. Campbell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jurídica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los litigios de opioides; vendió 4,8 M USD en acciones en 12 meses [27,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Silvana Battaglia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ejecutiva (personas y estrategia)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17,45-17,75 USD (nov-2025); ingresos +5-7 %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subida a 17,75-17,95 USD; ingresos rebajados al 4-6 % (pendiente: 4-nov-2026)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15,85-16,15 USD (nov-2024)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16,00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13,30-13,60 USD (nov-2023)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13,76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Largo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operativo ajustado +6-9 % y BPA ajustado +9-13 % anual (nov-2025)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+15,8 % y +16,3 %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con credibilidad: ha cumplido o superado la guía de BPA ajustado cada año desde FY2023 [2, 8, 9]. La sucesión de Collis por Mauch (anunciada con un año de antelación) fue ordenada. Hay rotación reciente en finanzas (Boratto sustituye a Cleary en junio de 2026) y en recursos humanos [6, 31]. La guía de ingresos de FY2026 sí falló: se rebajó dos puntos en mayo, aunque el BPA se mantuvo [6].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 Mark Durcan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P. Mauch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K. Clyburn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Ellen G. Cooper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 R. Greenberg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Lorence H. Kim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Redonda G. Miller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comisión especial de litigios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Dennis M. Nally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Lori J. Ryerkerk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 M. Tyler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Retribución; comisión especial de litigios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E. Sanchez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FY2025, también sobre el control interno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2,32 / ventas 16,73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Walgreens Boots Alliance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socio estratégico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en junio de 2025; ya no es accionista significativo</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(15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netas de 14,4 M USD en 12 meses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(107,5 M de acciones de 298,3 M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M de acciones en 9M FY2026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Krikorian Lazarus (SVP &amp; Chief Accounting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GREENBERG LON 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Krikorian Lazarus (SVP &amp; Chief Accounting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Elizabeth S (Executive Vice President)</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Lauren M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DURCAN DERMOT MARK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DURCAN DERMOT MARK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Mauch Robert P. (President &amp;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Mauch Robert P. (President &amp;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Mauch Robert P. (President &amp;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Battaglia Silvana (Executive Vice President)</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Elizabeth S (Executive Vice President)</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Mauch Robert P. (President &amp;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Krikorian Lazarus (SVP &amp; Chief Accounting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Mauch Robert P. (President &amp;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Mauch Robert P. (President &amp;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 FY2025 se mide con el resultado operativo ajustado (40 %), el BPA ajustado (25 %) y el flujo libre ajustado (25 %); pagó el 185,3 % del objetivo [27]. El variable a largo plazo (acciones por objetivos a tres años) se mide con el crecimiento anual del BPA ajustado (75 %) y el ROIC ajustado medio (25 %), con un modificador de ±15 % por la rentabilidad total frente a los competidores [27]. Todo en cifras ajustadas: premia comprar con deuda si el BPA ajustado sube, aunque la amortización y los costes de integración se excluyan. La retribución total del consejero delegado se duplicó en su primer año completo (18,3 M USD frente a 9,3 M) [27]. El voto en contra fue del 6,8 % en 2026 [28].</w:t>
      </w:r>
    </w:p>
    <w:p>
      <w:pPr>
        <w:pStyle w:val="Heading2"/>
      </w:pPr>
      <w:r>
        <w:t xml:space="preserve">Operaciones vinculadas, estructura de control y defensas</w:t>
      </w:r>
    </w:p>
    <w:p>
      <w:pPr>
        <w:spacing w:after="100"/>
      </w:pPr>
      <w:r>
        <w:t xml:space="preserve">Sin accionista de control desde que Walgreens bajó del 5 % en 2025 [27]. Una sola clase de acciones, consejo elegido cada año, mayoría para elegir consejeros y derecho de los accionistas con el 25 % a convocar una junta extraordinaria [27]. Los estatutos fijan Delaware como foro exclusivo para demandas derivadas. No hay operaciones vinculadas relevantes desde que Walgreens dejó de ser accionista significativo, aunque el contrato de distribución sigue [27].</w:t>
      </w:r>
    </w:p>
    <w:p>
      <w:pPr>
        <w:pStyle w:val="Heading2"/>
      </w:pPr>
      <w:r>
        <w:t xml:space="preserve">Señales de alerta</w:t>
      </w:r>
    </w:p>
    <w:p>
      <w:pPr>
        <w:pStyle w:val="ListParagraph"/>
        <w:numPr>
          <w:ilvl w:val="0"/>
          <w:numId w:val="2"/>
        </w:numPr>
        <w:spacing w:after="60"/>
      </w:pPr>
      <w:r>
        <w:t xml:space="preserve">Ventas de directivos: 16,7 M USD en 12 meses (8,9 M del consejero delegado), frente a 2,3 M de compras de dos consejeros tras la caída de mayo [29].</w:t>
      </w:r>
    </w:p>
    <w:p>
      <w:pPr>
        <w:pStyle w:val="ListParagraph"/>
        <w:numPr>
          <w:ilvl w:val="0"/>
          <w:numId w:val="2"/>
        </w:numPr>
        <w:spacing w:after="60"/>
      </w:pPr>
      <w:r>
        <w:t xml:space="preserve">Rotación en la dirección financiera: Cleary se jubila en junio de 2026 y entra Boratto [6, 31].</w:t>
      </w:r>
    </w:p>
    <w:p>
      <w:pPr>
        <w:pStyle w:val="ListParagraph"/>
        <w:numPr>
          <w:ilvl w:val="0"/>
          <w:numId w:val="2"/>
        </w:numPr>
        <w:spacing w:after="60"/>
      </w:pPr>
      <w:r>
        <w:t xml:space="preserve">Demanda derivada por la supervisión de opioides resuelta con un acuerdo aprobado en noviembre de 2025 [27].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FY2026 (ejercicio cerrado el 30-sep-2026, se publica el 4-nov-2026), actualizada el 5-ago-2026: ingresos +4-6 % (antes +5-7 % en noviembre de 2025 y +7-9 % antes de mayo), resultado operativo ajustado +13-14 %, BPA ajustado 17,75-17,95 USD, intereses netos ≈ 490 M, tipo impositivo ajustado ≈ 20 %, 194 M de acciones diluidas, flujo libre ajustado ≈ 3.000 M e inversión ≈ 900 M [7]. A largo plazo: resultado operativo ajustado +6-9 % y BPA ajustado +9-13 % anual [7]. La guía de FY2027 llegará en noviembre; FY2027 sumará cuatro meses más de OneOncology y perderá el volumen de Walgreens que salió el 1-jul-2026 y, previsiblemente, MWI a mitad de año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14 analistas (BPA ajustado) [33]; Stock Analysis 17,88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351.854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10 analistas (BPA ajustado) [33]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351.854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330,00 – 430,00</w:t>
            </w:r>
          </w:p>
        </w:tc>
      </w:tr>
    </w:tbl>
    <w:p>
      <w:pPr>
        <w:spacing w:after="160" w:before="0"/>
      </w:pPr>
    </w:p>
    <w:p>
      <w:pPr>
        <w:pStyle w:val="Heading2"/>
      </w:pPr>
      <w:r>
        <w:t xml:space="preserve">Revisiones de estimaciones</w:t>
      </w:r>
    </w:p>
    <w:p>
      <w:pPr>
        <w:spacing w:after="100"/>
      </w:pPr>
      <w:r>
        <w:t xml:space="preserve">El BPA ajustado de FY2026 del consenso pasó de 17.78 USD hace 90 días a 17.88 (+0.6 %) por la subida de la guía del 5-ago; el de FY2027, de 19.81 a 19.8, casi sin cambio [33]. Los ingresos se recortaron tras la rebaja de la guía de mayo (crecimiento previsto del 4,4 % en FY2027) [33]. El objetivo medio es de 370.17 USD (12 analistas en Yahoo; 14 en Stock Analysis: 10 comprar y 4 mantener) [33, 34]. Solo hay estimaciones gratuitas completas de una fuente; se contrastan el objetivo y las recomendaciones con Stock Analysis.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Cencora rentó un 24,4 % anual en cinco años frente al 13,0 % del S&amp;P 500 y el 8,1 % del sector salud (XLV) [32]: el BPA ajustado creció un 15 % anual y el PER subió. En 2026 se ha quedado atrás (+0,1 % en el año frente al +13,7 % del índice) por la caída del 17,4 % del 6-may-2026 tras rebajar la guía de ingresos y la del 5,9 % del 12-ago por el volumen de Walgreens que pasó a otros mayoristas [32]. Desde el mínimo de 244,82 USD del 6-may ha subido un 37 % con la subida de la guía de BPA y las recompras. La beta es baja (0,60 mensual a 5 años; 0,73 ajustada) y la volatilidad de un año (32,4 %) está inflada por esas dos sesiones [32].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BPA GAAP el PER histórico no dice nada (deterioros, opioides y la plusvalía de OneOncology lo deforman). En BPA ajustado, la base de la regla a 12 meses, el PER adelantado al cierre de cada ejercicio fue de 10,4-11,3 veces en FY2019-FY2022, subió a 13,1-14,1 en FY2023-FY2024, tocó 17,5 en septiembre de 2025 y fue de 15,2 en septiembre de 2026; hoy es de 17,0 [2, 32]. El EV/EBITDA de los últimos 12 meses (15,4 veces) está en el máximo de seis años, con una prima del 50 % sobre la media [32]. Lo que ha cambiado es estructural en parte: el mercado paga ahora la especialidad y la menor incertidumbre de los opioides (acuerdo de 2022), y los tipos más altos no han bajado el múltiplo. Pero la acción cotiza por encima de su historia, y la regla común no supone que se mantenga.</w:t>
      </w:r>
    </w:p>
    <w:p>
      <w:pPr>
        <w:pStyle w:val="Heading1"/>
      </w:pPr>
      <w:r>
        <w:t xml:space="preserve">18. Comparables cotizados</w:t>
      </w:r>
    </w:p>
    <w:p>
      <w:pPr>
        <w:pStyle w:val="Confianza"/>
        <w:spacing w:after="100"/>
      </w:pPr>
      <w:r>
        <w:t xml:space="preserve">Confianza: Media</w:t>
      </w:r>
    </w:p>
    <w:p>
      <w:pPr>
        <w:spacing w:after="100"/>
      </w:pPr>
      <w:r>
        <w:t xml:space="preserve">McKesson y Cardinal son los únicos comparables directos (mismo mercado, mismos clientes). Se añaden distribuidores de salud con modelo de diferencial pequeño sobre gran volumen: Henry Schein (dental y médico), tres mayoristas japoneses (Medipal, Alfresa, Suzuken), Galenica (Suiza) y EBOS (Australia y Nueva Zelanda). Se excluye Sinopharm (1099.HK): empresa pública china con PER de 6,2x por riesgo de gobierno y cobro, que no describe el mercado de Cencora. Owens &amp; Minor y Patterson no tienen cotización o datos utilizables.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Cencora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McKesson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Cardinal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Henry Schein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Medipal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Alfresa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Suzuken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Galenica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EBOS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 / 12,1x / 15,5x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 / 15,3x / 19,4x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332.771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 / 0,3x / 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Cencora cotiza a 17,0 veces el BPA del próximo ejercicio, por debajo de McKesson (20,4) y Cardinal (19,1) y por encima de la mediana de los ocho comparables (15,3), que bajan los mayoristas japoneses y EBOS [35]. El descuento frente a McKesson se explica por el crecimiento esperado (9,0 % frente a 4,4 %) y por la dependencia de Walgreens; frente a Cardinal, por la rebaja de la guía de ingresos de mayo. El EV/EBITDA LTM (15,4 veces con nuestro puente, que suma opioides y pagos contingentes) está entre los dos. Los japoneses (4,4-5,7 veces el EBITDA, caja neta) no son buena referencia de múltiplo: su mercado está regulado por precios oficiales y crece la mitad. El múltiplo razonable para Cencora es el de sus dos rivales con un descuento por concentración de clientes: 16-18 veces el BPA ajustado.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MWI Animal Health (fusión con Covetrus)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Covetrus (Clayton, Dubilier &amp; Rice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publicado [17]; ventas FY2025 de Animal Health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OneOncology (mayoría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Cencora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razonable total de la contraprestación por el 100 % [7]; sin EBITDA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Retina Consultants of America (85 %)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Cencora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total con contingentes [7].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de retina de EyeSouth Partners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(RCA)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Anunciada; sin múltiplo publicado [25].</w:t>
            </w:r>
          </w:p>
        </w:tc>
      </w:tr>
    </w:tbl>
    <w:p>
      <w:pPr>
        <w:spacing w:after="160" w:before="0"/>
      </w:pPr>
    </w:p>
    <w:p>
      <w:pPr>
        <w:spacing w:after="160" w:before="0"/>
      </w:pPr>
    </w:p>
    <w:p>
      <w:pPr>
        <w:spacing w:after="100"/>
      </w:pPr>
      <w:r>
        <w:t xml:space="preserve">Las operaciones recientes del sector son compras de consultas médicas especializadas por los propios distribuidores (RCA, OneOncology, EyeSouth; Cardinal con GI Alliance y Solaris; McKesson con Florida Cancer Specialists), sin múltiplos publicados [25]. La única con ventas publicadas, MWI, se valora en 0,61 veces las ventas, muy por encima de las 0,23 veces de Cencora, porque la distribución veterinaria tiene más margen. Cencora, con 64.000 M USD de capitalización, no es objetivo plausible de compra: el sector está en un oligopolio de tres y una fusión entre ellos no pasaría la competencia.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(+5,0 %, fijo) es el centro de la guía actualizada del 4-6 %, con 9M al +4,8 % [6]. FY2027e baja al 4,0 % porque se va parte del volumen de Walgreens desde julio de 2026 y, previsiblemente, MWI a mitad de año, y suben cuatro meses más de OneOncology [18]; el consenso espera un 4,4 % [33]. Después, 5,0 % en FY2028-FY2029 y descenso hasta el 3,0 % en FY2033e: por debajo del 8,4 % anual que IQVIA prevé para el gasto farmacéutico de EE. UU. en 2024-2029 [1] y del 10,2 % histórico, porque los precios de Medicare negociados, las bajadas de precio de marcas y los GLP-1 de menor precio quitan crecimiento facturado [5].</w:t>
      </w:r>
    </w:p>
    <w:p>
      <w:pPr>
        <w:keepNext/>
        <w:spacing w:after="100"/>
      </w:pPr>
      <w:r>
        <w:rPr>
          <w:b/>
          <w:bCs/>
        </w:rPr>
        <w:t xml:space="preserve">Márgenes.</w:t>
      </w:r>
    </w:p>
    <w:p>
      <w:pPr>
        <w:spacing w:after="100"/>
      </w:pPr>
      <w:r>
        <w:t xml:space="preserve">Margen EBITDA = EBITDA ajustado de la empresa menos 0,07 puntos de reestructuración recurrente: 1,52 % en FY2026e, calibrado con la guía de resultado operativo ajustado (+13-14 %) [6], hasta el 1,68 % en FY2031e. La subida (16 puntos básicos en cinco años) es la mezcla de especialidad (OneOncology y RCA todo el año) y el apalancamiento de costes, coherente con la guía a largo plazo (resultado operativo +6-9 % con ventas al 4-5 %) [2]; es menos de lo que subió en FY2019-FY2025 (de 1,26 % a 1,47 % en EBITDA ajustado) [2, 13].</w:t>
      </w:r>
    </w:p>
    <w:p>
      <w:pPr>
        <w:keepNext/>
        <w:spacing w:after="100"/>
      </w:pPr>
      <w:r>
        <w:rPr>
          <w:b/>
          <w:bCs/>
        </w:rPr>
        <w:t xml:space="preserve">Inversión y circulante.</w:t>
      </w:r>
    </w:p>
    <w:p>
      <w:pPr>
        <w:spacing w:after="100"/>
      </w:pPr>
      <w:r>
        <w:t xml:space="preserve">Inversión del 0,27 % de las ventas (≈ 900 M USD en FY2026, guía [6]); amortización del 0,31 % al 0,26 % porque la amortización de los intangibles comprados baja (401 M previstos en FY2026 y 342 M en FY2027 para los de antes de OneOncology) [1]. Circulante comercial del −2,7 % de las ventas (−2,8 % en FY2025 [1]): crecer genera caja. No se proyectan compras: el crecimiento comprado (OneOncology) ya está en la base de FY2026.</w:t>
      </w:r>
    </w:p>
    <w:p>
      <w:pPr>
        <w:keepNext/>
        <w:spacing w:after="100"/>
      </w:pPr>
      <w:r>
        <w:rPr>
          <w:b/>
          <w:bCs/>
        </w:rPr>
        <w:t xml:space="preserve">Coste del capital.</w:t>
      </w:r>
    </w:p>
    <w:p>
      <w:pPr>
        <w:spacing w:after="100"/>
      </w:pPr>
      <w:r>
        <w:t xml:space="preserve">Tasa libre del 5,19 % (bono del Tesoro a 10 años, 14-oct-2026 [36]); beta de 0,75, entre la ajustada mensual a 5 años (0,73) y una sectorial algo mayor por la deuda asimilada (opioides) [32]; prima del 5,5 %; coste de la deuda del 4,8 % antes de impuestos (cupones de 3,95-5,65 % de la emisión de 2026 [16]); peso de la deuda del 18 % a valor de mercado con los opioides y los contingentes. WACC del 8,32 %. Con la prima implícita del mercado (4,2 % [37]) el WACC baja al 7,52 % y el DCF sube a 403,15 USD: la recomendación depende de la tasa.</w:t>
      </w:r>
    </w:p>
    <w:p>
      <w:pPr>
        <w:keepNext/>
        <w:spacing w:after="100"/>
      </w:pPr>
      <w:r>
        <w:rPr>
          <w:b/>
          <w:bCs/>
        </w:rPr>
        <w:t xml:space="preserve">Valor terminal.</w:t>
      </w:r>
    </w:p>
    <w:p>
      <w:pPr>
        <w:spacing w:after="100"/>
      </w:pPr>
      <w:r>
        <w:t xml:space="preserve">Crecimiento a perpetuidad del 2,5 %, entre la inflación esperada de EE. UU. (≈ 2,3-2,5 %) y la tasa libre menos medio punto: el gasto en medicamentos crece con la población mayor y el volumen. El múltiplo de salida implícito (≈ 12-13 veces el EBITDA) queda por debajo de los 14,8-17,5 de McKesson y Cardinal hoy [35]. El valor terminal pesa un 68 %.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448.212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319,13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1.020,50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(reinvierte el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frente al 4,3 %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-3.362 M, con un capex bruto medio del 0,3 % de las ventas). En un negocio de activos ligeros, el crecimiento medio del 4,3 %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ingresos +4-6 % [6]: volumen de especialidad y GLP-1, menos bajadas de precio de marcas (≈ 2.000 M USD en el 2T) y clientes perdidos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4 %, precio casi plano; «otros» −0,5 puntos: salida de parte del volumen de Walgreens y venta de MWI, compensadas en parte por cuatro meses más de OneOncology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3,5 % (población mayor, especialidad, biosimilares) y precio del 1,5 % (inflación de marcas por debajo de la histórica por Medicare)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FY2028e; renovación de los contratos de Walgreens y Express Scripts (2029) sin pérdida de volumen en el caso base [22,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3 % y precio del 1,5 %: converge hacia el crecimiento del gasto farmacéutico real.</w:t>
            </w:r>
          </w:p>
        </w:tc>
      </w:tr>
    </w:tbl>
    <w:p>
      <w:pPr>
        <w:spacing w:after="160" w:before="0"/>
      </w:pPr>
    </w:p>
    <w:p>
      <w:pPr>
        <w:spacing w:after="100"/>
      </w:pPr>
      <w:r>
        <w:t xml:space="preserve">El crecimiento proyectado (4,3 % medio) está por debajo del histórico (10,2 % anual en FY2019-FY2025) y del mercado (8,4 % previsto por IQVIA hasta 2029) [1], y no necesita capital: el circulante es negativo y la inversión es del 0,27 % de las ventas. El motor da también «Sí»: crecimiento financiable bruto del 11,5 % frente al 4,3 % proyectado. La cuota (≈ 34 % del volumen de los tres grandes en EE. UU.) se mantiene en el caso base. La prueba que queda es el poder de precios, que es bajo; por eso el margen solo sube 16 puntos básicos y el riesgo está en la renovación de Walgreens y Express Scripts en 2029, que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(base: 1,7 %)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8,3 %)</w:t>
            </w:r>
          </w:p>
        </w:tc>
      </w:tr>
    </w:tbl>
    <w:p>
      <w:pPr>
        <w:spacing w:after="160" w:before="0"/>
      </w:pPr>
    </w:p>
    <w:p>
      <w:pPr>
        <w:spacing w:after="100"/>
      </w:pPr>
      <w:r>
        <w:t xml:space="preserve">El DCF da 337,93 USD por acción, un 0,5 % sobre el precio, con un WACC del 8,32 % y un valor terminal que pesa el 68 %. El DCF inverso dice que el precio descuenta un crecimiento del 4,1 % anual en FY2027e-FY2033e con nuestro margen, o un margen EBITDA del 1,7 % con nuestro crecimiento: exactamente nuestro caso base. No es exigente frente a la historia (10,2 % de crecimiento y 21 puntos básicos de margen ganados en seis años), pero tampoco deja colchón: el mercado ya paga la especialidad y la mejora de margen que la empresa guía. Con la prima de riesgo que hoy pide el mercado (4,2 %), el valor sube a 403,15 USD (+20 %); con la nuestra (5,5 %), se queda en el precio. La diferencia entre las dos es la tasa, no las cifras: por eso la convicción es baja. El bajista (crecimiento −2 puntos y margen −0,12 puntos, una renovación de Walgreens a peores condiciones) vale 207,99 USD (−38 %): el margen tan fino amplifica cualquier cesión de diferencial.</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Walgreens, ya en manos de Sycamore, renueva en 2029 con un recorte de diferencial o reparte su volumen entre dos mayoristas, y los precios negociados de Medicare y la política de nación más favorecida bajan las ventas facturadas: crecimiento 2 puntos menor y margen 12 puntos básicos menor (≈ −7 % del EBITDA). Le pasó a Cardinal al perder a CVS en 2014 y a OptumRx en 2023.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4-5 % con la especialidad (OneOncology, RCA, biosimilares) y margen que sube 16 puntos básicos en cinco años; renovaciones de 2029 sin pérdida relevante.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especialidad y los biosimilares de la parte B crecen más rápido, las consultas compradas aportan servicios a laboratorios y el apalancamiento operativo lleva el margen 6 puntos básicos por encima del base: crecimiento un punto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336,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318,19 USD (-5,3 %).</w:t>
      </w:r>
    </w:p>
    <w:p>
      <w:pPr>
        <w:spacing w:after="100"/>
      </w:pPr>
      <w:r>
        <w:t xml:space="preserve">La asimetría es desfavorable: el alcista vale 388,90 USD (+15,7 %) y el bajista 207,99 (−38,1 %), con una asimetría de 0,41 veces. El margen del 1,5-1,7 % multiplica cualquier cambio: 12 puntos básicos de margen son el 7 % del EBITDA, y el valor terminal pesa el 68 %. El bajista no es cosmético: es la cesión de diferencial en la renovación de un cliente que pesa el 25 % de las ventas, lo que el sector ha vivido antes. Con estos pesos, el valor ponderado de los escenarios queda por debajo del precio.</w:t>
      </w:r>
    </w:p>
    <w:p>
      <w:pPr>
        <w:pStyle w:val="Heading1"/>
      </w:pPr>
      <w:r>
        <w:t xml:space="preserve">22. Suma de partes</w:t>
      </w:r>
    </w:p>
    <w:p>
      <w:pPr>
        <w:pStyle w:val="Confianza"/>
        <w:spacing w:after="100"/>
      </w:pPr>
      <w:r>
        <w:t xml:space="preserve">Confianza: Media</w:t>
      </w:r>
    </w:p>
    <w:p>
      <w:pPr>
        <w:spacing w:after="100"/>
      </w:pPr>
      <w:r>
        <w:t xml:space="preserve">No aplica: la distribución de EE. UU. da el 85 % del resultado operativo ajustado; MWI, el mayor negocio distinto, está en venta (valor empresa de 3.500 M USD, ≈ 5 % del valor de la empresa) y el resto de «Otros» pesa poco [3, 17].</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336,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337,85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324,64 USD (-3,4 % sobre 336,17).</w:t>
      </w:r>
    </w:p>
    <w:p>
      <w:pPr>
        <w:spacing w:after="100"/>
      </w:pPr>
      <w:r>
        <w:t xml:space="preserve">Pesos: DCF 45 %, escenarios 40 % y comparables 15 %. El DCF es el método más fiable para un negocio estable con circulante negativo, pero su resultado depende mucho de la tasa: con la prima del mercado, +20 %. Los escenarios recogen la asimetría desfavorable (el bajista −38 %). Los comparables pesan poco porque solo dos son de verdad comparables y la mediana la bajan los japoneses. Las transacciones no pesan: no hay múltiplos publicados. El valor objetivo de la síntesis es de 324,64 USD (−3,4 %); el rango entre métodos (PER de comparables 281-385, DCF ± 0,5 puntos 286-411) muestra que el precio está en el centro. El puente resta 5.330 M USD de deuda asimilada: opioides después de impuestos (3.318 M) y pagos contingentes de RCA y OneOncology (≈ 2.012 M); sin ellos, el valor por acción subiría ≈ 28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(17x) a mitad de camino hacia abajo, hacia la mediana de 5 años (14.1x)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355,11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spacing w:after="100"/>
      </w:pPr>
      <w:r>
        <w:rPr>
          <w:b/>
          <w:bCs/>
        </w:rPr>
        <w:t xml:space="preserve">Objetivo a 12 meses (ponderado):</w:t>
      </w:r>
      <w:r>
        <w:t xml:space="preserve"> 308,78 USD · rentabilidad -7,4 % (base -0,1 %) · señal Mantener.</w:t>
      </w:r>
    </w:p>
    <w:p>
      <w:pPr>
        <w:spacing w:after="100"/>
      </w:pPr>
      <w:r>
        <w:t xml:space="preserve">Para comparar, con la regla v2 (historia al cierre, mismo precio): 12,3x / 16,4x / 16,4x, -1,6 %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FY2027e (19,77 USD) coincide con el del consenso (19,80) [33]; para FY2028e no hay consenso gratuito. Nuestro base no incluye recompras no anunciadas, que la empresa cifra en 3-4 puntos de crecimiento del BPA al año [2]: si recompra 1.500 M USD al año, el BPA de FY2028e subiría ≈ 2-3 %. La distancia con el objetivo medio de los analistas (370,17 USD, un 20 % sobre nuestro objetivo de 308,78) está en el múltiplo: ellos aplican 18-19 veces, el de McKesson y Cardinal, y la regla común lleva el PER a mitad de camino hacia la mediana de cinco años (14,1 veces), con un tope de ÷1,1 (15,5 veces).</w:t>
      </w:r>
    </w:p>
    <w:p>
      <w:pPr>
        <w:keepNext/>
        <w:spacing w:after="100"/>
      </w:pPr>
      <w:r>
        <w:rPr>
          <w:b/>
          <w:bCs/>
        </w:rPr>
        <w:t xml:space="preserve">Del valor intrínseco al objetivo a 12 meses.</w:t>
      </w:r>
    </w:p>
    <w:p>
      <w:pPr>
        <w:spacing w:after="100"/>
      </w:pPr>
      <w:r>
        <w:t xml:space="preserve">El objetivo a 12 meses (308,78 USD) queda un 5 % bajo el valor intrínseco (324,64) y un 8 % bajo el precio. Las dos cifras dicen lo mismo: el precio ya descuenta la mejora de márgenes y la especialidad. Para cerrar la distancia hacia arriba haría falta que el mercado mantuviera el PER actual (17 veces) y que la guía de FY2027 del 4-nov-2026 saliera por encima de 19,80 USD. El crecimiento del BPA base frente al último real del control (39 % anual) compara nuestro ajustado con el GAAP de FY2025 (7,96); en la misma base, el crecimiento es del 10,4 % anual.</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BPA de FY2027 frente a 19,80 USD del consenso; el efecto de Walgreens y de MWI</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FTC sobre la fusión de MWI con Covetrus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 1.250 M USD y salida de un negocio no farmacéutico; si se bloquea, se queda MWI</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tanda de precios negociados de Medicare (15 fármacos) y nuevas medidas de nación más favorecida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ventas facturadas; efecto en margen pequeño si las comisiones se renegocian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Negociación anticipada de los contratos de Walgreens y Express Scripts (vencen en 2029)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principal riesgo y catalizador del valor: 38 %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del Tribunal Supremo de Maryland (Baltimore) y demanda del Departamento de Justicia por la Ley de Sustancias Controladas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Posibles pagos fuera del acuerdo nacional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(1.000 M USD en el 3T26) con la deuda de OneOncology ya amortizándose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 de BPA al año según la empresa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de Walgreens (25 % de las ventas) y Express Scripts (13 %) en 2029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largos, integración logística y plataforma de genéricos común con Walgreens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volumen de Walgreens fuera del contrato principal (ya pasó en jul-2026) o anuncio de un concurso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los medicamentos (Medicare negociado, nación más favorecida, venta directa del laboratorio)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comisiones por servicio pueden renegociarse; los genéricos y biosimilares compensan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ingresos de EE. UU. por debajo del 4 % sin pérdida de clientes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Opioides fuera del acuerdo (Baltimore, Departamento de Justicia, tribus)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99 % de los municipios y 48 de 49 estados ya están en el acuerdo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firme en Maryland o acuerdo con el Departamento de Justicia por encima de 500 M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consultas médicas caras (RCA, OneOncology, EyeSouth) con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lo previsto según la dirección; flujo libre de 3.000 M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o pagos contingentes revalorizados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GLP-1: volumen sin margen y bajadas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casi nulo: pesa en ventas, poco en beneficio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EE. UU. a la baja con ventas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a medicamentos importados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distribuidor traslada el precio; puede ganar con la inflación (LIFO)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sectoriales a fármacos sin exención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(desintermediación digital)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Logística física con licencia de la DEA, que la IA no sustituye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Laboratorios que venden directamente con plataformas propias más del 5 % de su volumen</w:t>
            </w:r>
          </w:p>
        </w:tc>
      </w:tr>
    </w:tbl>
    <w:p>
      <w:pPr>
        <w:spacing w:after="160" w:before="0"/>
      </w:pPr>
    </w:p>
    <w:p>
      <w:pPr>
        <w:pStyle w:val="Heading2"/>
      </w:pPr>
      <w:r>
        <w:t xml:space="preserve">Pre-mortem</w:t>
      </w:r>
    </w:p>
    <w:p>
      <w:pPr>
        <w:spacing w:after="100"/>
      </w:pPr>
      <w:r>
        <w:t xml:space="preserve">Octubre de 2029: la acción ha perdido un 40 %. Sycamore, para pagar la deuda de la compra de Walgreens, sacó a concurso la distribución en 2028 y repartió el volumen entre Cencora y McKesson con un diferencial menor; Express Scripts siguió llevando a su propia red los biosimilares de especialidad. A la vez, la segunda y tercera tanda de precios de Medicare y los acuerdos de nación más favorecida bajaron el precio de lista de las marcas, y con él las comisiones. El margen operativo ajustado volvió del 1,43 % al 1,25 %, el BPA se estancó en 19-20 USD y el PER volvió a 12 veces, la media de 2019-2022. Las consultas de oncología y retina, compradas a 15.000 M USD, no compensaron: los pagos a médicos y la revalorización de las unidades de capital se comieron el margen. La señal temprana: el volumen de Walgreens que salió en julio de 2026 y la guía de FY2027 por debajo del consenso.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 a 3-5 años</w:t>
      </w:r>
    </w:p>
    <w:p>
      <w:pPr>
        <w:spacing w:after="100"/>
      </w:pPr>
      <w:r>
        <w:t xml:space="preserve">La IA no sustituye lo que vende Cencora: mover medicamentos físicos con licencia de la DEA y cadena de frío, con crédito a 30-45 días a miles de clientes. Toca los costes: previsión de demanda, automatización de almacenes y atención a farmacias, donde la empresa invierte en su programa de transformación digital (inversión de ≈ 900 M USD en FY2026, de la que una parte es tecnología) [6]. La amenaza es indirecta: plataformas digitales y laboratorios que venden directamente al paciente con apoyo de IA (farmacias en línea, TrumpRx), que pueden saltarse al mayorista en nichos de pago en efectivo. En la especialidad, la IA en ensayos clínicos y datos de consultas (RCA, OneOncology) es una oportunidad para vender servicios a laboratorios. Señal: que la venta directa del laboratorio supere el 5 % del volumen de marcas o que un gran cliente cambie de modelo de distribución.</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la distribución de sustancias controladas: el acuerdo de opioides cuesta 4.200 M USD pendientes de pago en 13 años y obliga a un sistema común de vigilancia de pedidos [7]. Sigue abierto el caso del Departamento de Justicia por la Ley de Sustancias Controladas, con posibles sanciones por cada pedido sospechoso no comunicado [7]. La seguridad de los datos de pacientes es el segundo asunto (acuerdo de 40 M USD por una filtración).</w:t>
      </w:r>
    </w:p>
    <w:p>
      <w:pPr>
        <w:pStyle w:val="Heading2"/>
      </w:pPr>
      <w:r>
        <w:t xml:space="preserve">Controversias</w:t>
      </w:r>
    </w:p>
    <w:p>
      <w:pPr>
        <w:spacing w:after="100"/>
      </w:pPr>
      <w:r>
        <w:t xml:space="preserve">Opioides: veredicto de responsabilidad en Baltimore (nov-2024), recurrido; demanda civil del Departamento de Justicia (dic-2022) pendiente [7]. Filtración de datos de 2024 resuelta con un acuerdo de 40 M USD.</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Walgreens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volumen de Walgreens está fuera del contrato principal, cuánto salió en julio de 2026 y qué condiciones tiene la renovación de 2029?</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25 % de las ventas y el escenario bajista vale −38 %.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Express Scripts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deja Evernorth tras la internalización de biosimilares de especialidad y qué se negoció en la prórroga a 2029?</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 de las ventas y menor crecimiento en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OneOncology y RCA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aportan y qué rentabilidad tienen sobre los ≈ 13.000 M USD pagados con contingentes?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crecimiento comprado decide si la estrategia crea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FY2027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restan MWI y Walgreens al BPA de FY2027 y cuánto suman cuatro meses más de OneOncology?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BPA de FY2027e (19,77) depende de ese neto.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Opioides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exposición máxima estima la empresa en Baltimore y en la demanda del Departamento de Justicia?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provisión y podrían superar los 500 M USD.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cambian las comisiones por servicio con los precios negociados de Medicare y las rebajas de nación más favorecida?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las comisiones son un porcentaje del precio de lista, el margen cae con el precio.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autores ven la caída de mayo como exagerada y la especialidad (RCA, OneOncology) como el cambio del modelo; uno de octubre defiende que la IA beneficia más a Cencora que a las farmacias en línea [40, 42, 43,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salida de parte del volumen de Walgreens (12-ago) y la investigación de la FTC sobre MWI generaron dudas; las subidas de objetivo de los analistas las compensaron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de fondo: mensajes alcistas sueltos, el acuerdo de 40 M USD por la filtración de datos y especulación sobre una compra de Outlook Therapeutics que nadie ha confirmado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Barchart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que los márgenes de la distribución no tienen poder de precios y que el mercado paga demasiado por un negocio de diferencial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especialidad (oncología y retina) cambia el modelo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parte: el segmento de EE. UU. sube su margen operativo del 1,02 % al 1,15 % entre FY2024 y FY2025 con RCA, pero esas compras han costado ≈ 9.500 M USD de caja y deuda.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Walgreens tras su compra por Sycamore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Justificado: 25 % de las ventas y contrato hasta 2029; la salida de volumen de julio confirma que el cliente negocia.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exagerada en mayo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les dieron la razón: el BPA siguió subiendo y la acción recuperó un 37 % desde el mínimo; hoy cotiza a 17 veces el BPA del próximo ejercicio, encima de su historia.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IA y las farmacias en línea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Razonable: la IA no sustituye la logística física con licencia; el riesgo es indirecto (desintermediación por venta directa).</w:t>
            </w:r>
          </w:p>
        </w:tc>
      </w:tr>
    </w:tbl>
    <w:p>
      <w:pPr>
        <w:spacing w:after="160" w:before="0"/>
      </w:pPr>
    </w:p>
    <w:p>
      <w:pPr>
        <w:spacing w:after="100"/>
      </w:pPr>
      <w:r>
        <w:t xml:space="preserve">El sentimiento es positivo y mejora desde el mínimo de mayo, en línea con los analistas (11 de 14 en comprar). No hay euforia ni capitulación: el debate se centra en Walgreens y en el precio de las compras de consultas, que ya están en el informe. Lo que el foro no discute es la valoración: la acción cotiza por encima de su PER histórico, y ese es el argumento de este informe para no comprar.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46 (25 primarias); citas distintas en el texto: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-2,7 % frente a -2,8 % real: genera una variación de circulante de -108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FY2028e (21,52) supone un 39,3 % anual desde 7,96 (FY2025): explícalo en valoracion.objetivo_12m.comentario o la confianza es baja. Explicación: Compara nuestro BPA ajustado de FY2028e (21,52) con el GAAP de FY2025 (7,96). En la misma base (ajustado de FY2025: 16,00 USD) el crecimiento es del 10,4 % anual, dentro de la guía a largo plazo de la empresa (9-13 %).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 30, 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trimestrales (dan resultado operativo ajustado, no EBITDA); 2) 10-Q (depreciación solo acumulada); 3) cálculo con la depreciación de 9M: impreciso por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de la empresa (no da notas externas); 2) MSCI ESG y Sustainalytics (páginas con JavaScript, sin texto legible); 3) búsqueda de prensa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EV/EBITDA de las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y 10-Q de Cencora (dan precio, no EBITDA); 2) notas de McKesson y Cardinal sobre sus compras de consultas (sin EBITDA); 3) prensa sectorial (Becker's, PE Hub: solo precios)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FINRA (sin acceso directo); 2) Yahoo quoteSummary (no lo da en este módulo);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consenso de FY2028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earningsTrend (solo dos ejercicios); 2) Stock Analysis (de pago); 3) MarketScreener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con múltiplo EV/EBITDA (mínimo de 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y 10-Q de Cencora (precio sin EBITDA); 2) notas de McKesson y Cardinal sobre sus compras de consultas; 3) prensa sectorial (Becker's, PE Hub): solo precios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FY2025 (cerrado el 30-sep-2025): cuentas, segmentos, clientes, deuda, litigios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Cencora,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https://www.sec.gov/Archives/edgar/data/1140859/000114085925000131/cor-20250930.htm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Cencora Reports Fiscal 2025 Fourth Quarter and Full Year Results (conciliación GAAP-ajustado, guía FY2026 y a largo plazo)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Cencora,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https://www.sec.gov/Archives/edgar/data/1140859/000114085925000128/exhibit991-q42025.htm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por segmentos revisada (EE. UU., Internacional y Otros) de FY2024 y FY2025,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https://www.sec.gov/Archives/edgar/data/1140859/000114085925000128/exhibit992.htm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Reports Fiscal 2026 First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https://www.sec.gov/Archives/edgar/data/1140859/000114085926000004/exhibit991-q12026.htm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Reports Fiscal 2026 Second Quarter Results (guía de ingresos rebajada al 4-6 %)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https://www.sec.gov/Archives/edgar/data/1140859/000114085926000018/exhibit991-q22026.htm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Reports Fiscal 2026 Third Quarter Results (9M FY2026, guía de BPA ajustado 17,75-17,95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https://www.sec.gov/Archives/edgar/data/1140859/000114085926000032/exhibit991-q32026.htm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3T FY2026 (30-jun-2026): balance, deuda, OneOncology, MWI en venta, pasivo de opioides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https://www.sec.gov/Archives/edgar/data/1140859/000114085926000034/cor-20260630.htm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Reports Fiscal 2024 Fourth Quarter and Full Year Results (BPA ajustado 13,76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https://www.sec.gov/Archives/edgar/data/1140859/000114085924000148/exhibit991-q42024.htm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Reports Fiscal 2023 Fourth Quarter and Full Year Results (BPA ajustado 11,99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https://www.sec.gov/Archives/edgar/data/1140859/000114085923000147/exhibit991-q42023.htm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AmerisourceBergen Reports Fiscal 2022 Fourth Quarter and Full Year Results (BPA ajustado 11,03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AmerisourceBergen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https://www.sec.gov/Archives/edgar/data/1140859/000114085922000064/exhibit991-q42022.htm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AmerisourceBergen Reports Fiscal 2021 Fourth Quarter and Full Year Results (BPA ajustado 9,26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AmerisourceBergen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https://www.sec.gov/Archives/edgar/data/1140859/000114085921000054/exhibit991-q42021.htm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AmerisourceBergen Reports Fiscal 2020 Fourth Quarter and Full Year Results (cargo de opioides; BPA ajustado 7,90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AmerisourceBergen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https://www.sec.gov/Archives/edgar/data/1140859/000114085920000046/exhibit991-q42020.htm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AmerisourceBergen Reports Fiscal 2019 Fourth Quarter and Full Year Results (BPA ajustado 7,09 USD; FY2018 6,49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AmerisourceBergen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https://www.sec.gov/Archives/edgar/data/1140859/000114085919000036/exhibit991-q42019.htm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(deuda a corto plazo, intereses pagados) de Cencora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https://data.sec.gov/api/xbrl/companyfacts/CIK0001140859.json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3T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https://s203.q4cdn.com/785768684/files/doc_financials/2026/q3/Q3-FY26-Earnings-Presentation-vF.pdf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Closes $3.0 Billion Senior Notes Offering (financiación de OneOncology)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https://www.sec.gov/Archives/edgar/data/1140859/000110465926015272/tm265391d5_ex99-1.htm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and MWI Animal Health to Merge (valor empresa de MWI 3.500 M USD; 1.250 M en caja, 800 M en preferentes y 34,3 %)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https://www.sec.gov/Archives/edgar/data/1140859/000110465926016785/tm266695d1_ex99-1.htm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Sees Specialty Strategy Fueling Growth Into Fiscal 2027 (conferencia de Morgan Stanley,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Markets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https://www.themarketsdaily.com/?p=9942776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Reports Fiscal 2026 Fourth Quarter and Full Year Results (North American Pharmaceutical: 336.652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https://s24.q4cdn.com/128197368/files/doc_financials/2026/q4/MCK-Q4-FY26-Earnings-Release_FINAL.pdf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FY2026 (Pharmaceutical and Specialty Solutions: 234.833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https://www.sec.gov/Archives/edgar/data/721371/000072137126000038/cah-20260630.htm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de los competidores (ventas, EBIT) en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https://finance.yahoo.com/quote/MCK/financials/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AmerisourceBergen to acquire Alliance Healthcare; U.S. distribution agreement with Walgreens extended to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https://www.businesswire.com/news/home/20210106005378/en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FY2024: prórroga del contrato con Evernorth (Express Scripts) hasta septiembre de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https://www.sec.gov/Archives/edgar/data/1140859/000114085924000177/cor-20240930.htm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farmacéutica: ficha sectorial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(sectores/distribucion-farmaceutica-2026-10-15.md)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sectores/distribucion-farmaceutica-2026-10-15.md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Cencora’s $10B+ physician acquisition spree: a breakdown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Becker’s ASC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https://www.beckersasc.com/asc-transactions-and-valuation-issues/cencoras-10b-physician-acquisition-spree-a-breakdown/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stock drops 17 percent after Q2 earnings miss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https://www.ad-hoc-news.de/boerse/news/ueberblick/cencora-stock-us15135b1017-drops-17-percent-after-q2-earnings-miss/69312613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retribución,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https://www.sec.gov/Archives/edgar/data/1140859/000162828026003061/cor-20260122.htm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punto 5.07: resultados de la junta de 2026 (voto consultivo de retribución: 156,9 M a favor, 11,4 M en contra)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https://www.sec.gov/Archives/edgar/data/1140859/000114085926000014/abc-20260305.htm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https://www.sec.gov/cgi-bin/browse-edgar?action=getcompany&amp;CIK=0001140859&amp;type=4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elects Robert E. Sanchez to its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https://www.sec.gov/Archives/edgar/data/1140859/000110465926110624/tm2626030d1_ex99-1.htm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CFO Cleary to retire in June 2026; reaffirms FY26 EPS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https://seekingalpha.com/symbol/COR/news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COR, SPY y XLV (precio, rango, volumen, betas,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https://finance.yahoo.com/quote/COR/history/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analistas de COR (earningsTrend, financialData, recommendationTrend, calendarEvents)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https://finance.yahoo.com/quote/COR/analysis/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(COR) Stock Forecast &amp; Price Target: BPA FY2026 de 17,88 USD; objetivo medio 370,17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https://stockanalysis.com/stocks/cor/forecast/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(MCK, CAH, HSIC, 7459.T, 2784.T, 9987.T, GALE.SW, EBO.AX, 1099.HK): precio, capitalización, valor empresa, EBITDA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10 años al 5,19 %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EUR/USD del 14-oct-2026 (1,1221 USD por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https://finance.yahoo.com/quote/EURUSD=X/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McKesson’s Fiscal 2027 Guidance «Encouraging», Cencora Selloff Overdone, Morgan Stanley Says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 Newswires (Placera)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https://www.placera.se/telegram/mckesson-s-fiscal-2027-guidance-encouraging-cencora-selloff-overdone-morgan-stanley-says-20260508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y artículos de COR (RSS),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https://seekingalpha.com/api/sa/combined/COR.xml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mensajes de $COR (últimos 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https://api.stocktwits.com/api/2/streams/symbol/COR.json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Disruption May Benefit Cencora More Than Hims &amp; Hers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https://seekingalpha.com/article/4954095-ai-disruption-may-benefit-cencora-more-than-hims-and-hers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Earnings Review: The Selloff Was Overdone In My 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https://seekingalpha.com/article/4900480-cencora-earnings-review-the-selloff-was-overdone-in-my-view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Cencora’s Pharmaceutical Distribution Margins Still Pretending Pricing Power Exists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https://www.barchart.com/story/news/3647885/cencora-s-pharmaceutical-distribution-margins-still-pretending-pricing-power-exists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Specialty Infrastructure Is Rewriting The Distributor Model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https://seekingalpha.com/article/4924309-cencora-specialty-infrastructure-is-rewriting-the-distributor-model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Escáner «calidad a precio» del repositorio: origen de la idea (PER adelantado ≈ 17x; ROIC − WACC ≈ +26; margen estable)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(escaneos/)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escaneos/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89,2 %</w:t>
      </w:r>
      <w:r>
        <w:t xml:space="preserve"> · Secciones con menos del 60 % de campos cubiertos: </w:t>
      </w:r>
      <w:r>
        <w:rPr>
          <w:b/>
          <w:bCs/>
        </w:rPr>
        <w:t xml:space="preserve">ninguna</w:t>
      </w:r>
      <w:r>
        <w:t xml:space="preserve"> · Generado el 15 oct 2026.</w:t>
      </w:r>
    </w:p>
    <w:p>
      <w:pPr>
        <w:pStyle w:val="Nota"/>
        <w:spacing w:after="100"/>
      </w:pPr>
      <w:r>
        <w:t xml:space="preserve">Cifras en millones de USD, ejercicio a 30 de septiembre etiquetado por el año en que termina (FY2025 = oct-24 a sep-25). FY2026 ya cerró pero se publica el 4-nov-2026: el último ejercicio real es FY2025 y el LTM llega a jun-2026. Precio: cierre del 14-oct-2026 (la sesión del 15-oct no había cerrado). Segmentos con la estructura vigente desde FY2026 (EE. UU., Internacional, Otros), reexpresada solo para FY2024 y FY2025. El BPA de la regla a 12 meses y su historia están en la base AJUSTADA de la empresa (sin amortización de intangibles comprados, opioides, deterioros, LIFO, integración ni reestructuración), la misma que el consenso; el BPA GAAP de las cuentas está deformado por esas partidas. El DCF resta 0,07 puntos de margen por la reestructuración recurrente. MWI Animal Health (en venta, pendiente de la FTC) sigue dentro de la proyección. Rating de S&amp;P y Fitch sin comprobar. Precio de una acción en EUR: ≈ 299,6 EUR (1,1221 USD por EUR [38]), un 1,0 %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Cencora, Inc. (COR)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336,17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(244,82 – 377,54)</c:v>
                </c:pt>
                <c:pt idx="1">
                  <c:v>Precio objetivo de los analistas (330,00 – 430,00)</c:v>
                </c:pt>
                <c:pt idx="2">
                  <c:v>Comparables: PER NTM (281,16 – 384,62)</c:v>
                </c:pt>
                <c:pt idx="3">
                  <c:v>DCF (WACC y g ± 0,5) (286,10 – 410,99)</c:v>
                </c:pt>
                <c:pt idx="4">
                  <c:v>Escenarios (bajista – alcista) (207,99 – 388,90)</c:v>
                </c:pt>
                <c:pt idx="5">
                  <c:v>DCF con la prima implícita del mercado (4,2 %)</c:v>
                </c:pt>
                <c:pt idx="6">
                  <c:v>Precio actual (336,17)</c:v>
                </c:pt>
              </c:strCache>
            </c:strRef>
          </c:cat>
          <c:val>
            <c:numRef>
              <c:f>Hoja1!$B$2:$B$8</c:f>
              <c:numCache>
                <c:formatCode>#,##0</c:formatCode>
                <c:ptCount val="7"/>
                <c:pt idx="0">
                  <c:v>244.82</c:v>
                </c:pt>
                <c:pt idx="1">
                  <c:v>330</c:v>
                </c:pt>
                <c:pt idx="2">
                  <c:v>281.16</c:v>
                </c:pt>
                <c:pt idx="3">
                  <c:v>286.1</c:v>
                </c:pt>
                <c:pt idx="4">
                  <c:v>207.99</c:v>
                </c:pt>
                <c:pt idx="5">
                  <c:v>360.14</c:v>
                </c:pt>
                <c:pt idx="6">
                  <c:v>334.49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(244,82 – 377,54)</c:v>
                </c:pt>
                <c:pt idx="1">
                  <c:v>Precio objetivo de los analistas (330,00 – 430,00)</c:v>
                </c:pt>
                <c:pt idx="2">
                  <c:v>Comparables: PER NTM (281,16 – 384,62)</c:v>
                </c:pt>
                <c:pt idx="3">
                  <c:v>DCF (WACC y g ± 0,5) (286,10 – 410,99)</c:v>
                </c:pt>
                <c:pt idx="4">
                  <c:v>Escenarios (bajista – alcista) (207,99 – 388,90)</c:v>
                </c:pt>
                <c:pt idx="5">
                  <c:v>DCF con la prima implícita del mercado (4,2 %)</c:v>
                </c:pt>
                <c:pt idx="6">
                  <c:v>Precio actual (336,17)</c:v>
                </c:pt>
              </c:strCache>
            </c:strRef>
          </c:cat>
          <c:val>
            <c:numRef>
              <c:f>Hoja1!$C$2:$C$8</c:f>
              <c:numCache>
                <c:formatCode>#,##0</c:formatCode>
                <c:ptCount val="7"/>
                <c:pt idx="0">
                  <c:v>132.72000000000003</c:v>
                </c:pt>
                <c:pt idx="1">
                  <c:v>100</c:v>
                </c:pt>
                <c:pt idx="2">
                  <c:v>103.45999999999998</c:v>
                </c:pt>
                <c:pt idx="3">
                  <c:v>124.88999999999999</c:v>
                </c:pt>
                <c:pt idx="4">
                  <c:v>180.90999999999997</c:v>
                </c:pt>
                <c:pt idx="5">
                  <c:v>95.58000000000004</c:v>
                </c:pt>
                <c:pt idx="6">
                  <c:v>3.3600000000000136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EE. UU. (U.S. Healthcare Solutions)</c:v>
                </c:pt>
              </c:strCache>
            </c:strRef>
          </c:tx>
          <c:spPr>
            <a:solidFill>
              <a:srgbClr val="2A78D6"/>
            </a:solidFill>
            <a:ln w="12700">
              <a:solidFill>
                <a:srgbClr val="FFFFFF"/>
              </a:solidFill>
            </a:ln>
          </c:spPr>
          <c:invertIfNegative val="0"/>
          <c:cat>
            <c:strRef>
              <c:f>Hoja1!$A$2:$A$3</c:f>
              <c:strCache>
                <c:ptCount val="2"/>
                <c:pt idx="0">
                  <c:v>FY2024</c:v>
                </c:pt>
                <c:pt idx="1">
                  <c:v>FY2025</c:v>
                </c:pt>
              </c:strCache>
            </c:strRef>
          </c:cat>
          <c:val>
            <c:numRef>
              <c:f>Hoja1!$B$2:$B$3</c:f>
              <c:numCache>
                <c:formatCode>#,##0</c:formatCode>
                <c:ptCount val="2"/>
                <c:pt idx="0">
                  <c:v>259634.9</c:v>
                </c:pt>
                <c:pt idx="1">
                  <c:v>284963.8</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Hoja1!$A$2:$A$3</c:f>
              <c:strCache>
                <c:ptCount val="2"/>
                <c:pt idx="0">
                  <c:v>FY2024</c:v>
                </c:pt>
                <c:pt idx="1">
                  <c:v>FY2025</c:v>
                </c:pt>
              </c:strCache>
            </c:strRef>
          </c:cat>
          <c:val>
            <c:numRef>
              <c:f>Hoja1!$C$2:$C$3</c:f>
              <c:numCache>
                <c:formatCode>#,##0</c:formatCode>
                <c:ptCount val="2"/>
                <c:pt idx="0">
                  <c:v>26736.3</c:v>
                </c:pt>
                <c:pt idx="1">
                  <c:v>28329.4</c:v>
                </c:pt>
              </c:numCache>
            </c:numRef>
          </c:val>
        </c:ser>
        <c:ser>
          <c:idx val="2"/>
          <c:order val="2"/>
          <c:tx>
            <c:strRef>
              <c:f>Hoja1!$D$1</c:f>
              <c:strCache>
                <c:ptCount val="1"/>
                <c:pt idx="0">
                  <c:v>Otros</c:v>
                </c:pt>
              </c:strCache>
            </c:strRef>
          </c:tx>
          <c:spPr>
            <a:solidFill>
              <a:srgbClr val="1BAF7A"/>
            </a:solidFill>
            <a:ln w="12700">
              <a:solidFill>
                <a:srgbClr val="FFFFFF"/>
              </a:solidFill>
            </a:ln>
          </c:spPr>
          <c:invertIfNegative val="0"/>
          <c:cat>
            <c:strRef>
              <c:f>Hoja1!$A$2:$A$3</c:f>
              <c:strCache>
                <c:ptCount val="2"/>
                <c:pt idx="0">
                  <c:v>FY2024</c:v>
                </c:pt>
                <c:pt idx="1">
                  <c:v>FY2025</c:v>
                </c:pt>
              </c:strCache>
            </c:strRef>
          </c:cat>
          <c:val>
            <c:numRef>
              <c:f>Hoja1!$D$2:$D$3</c:f>
              <c:numCache>
                <c:formatCode>#,##0</c:formatCode>
                <c:ptCount val="2"/>
                <c:pt idx="0">
                  <c:v>7739.3</c:v>
                </c:pt>
                <c:pt idx="1">
                  <c:v>8157.8</c:v>
                </c:pt>
              </c:numCache>
            </c:numRef>
          </c:val>
        </c:ser>
        <c:ser>
          <c:idx val="3"/>
          <c:order val="3"/>
          <c:tx>
            <c:strRef>
              <c:f>Hoja1!$E$1</c:f>
              <c:strCache>
                <c:ptCount val="1"/>
                <c:pt idx="0">
                  <c:v>Eliminaciones</c:v>
                </c:pt>
              </c:strCache>
            </c:strRef>
          </c:tx>
          <c:spPr>
            <a:solidFill>
              <a:srgbClr val="EDA100"/>
            </a:solidFill>
            <a:ln w="12700">
              <a:solidFill>
                <a:srgbClr val="FFFFFF"/>
              </a:solidFill>
            </a:ln>
          </c:spPr>
          <c:invertIfNegative val="0"/>
          <c:cat>
            <c:strRef>
              <c:f>Hoja1!$A$2:$A$3</c:f>
              <c:strCache>
                <c:ptCount val="2"/>
                <c:pt idx="0">
                  <c:v>FY2024</c:v>
                </c:pt>
                <c:pt idx="1">
                  <c:v>FY2025</c:v>
                </c:pt>
              </c:strCache>
            </c:strRef>
          </c:cat>
          <c:val>
            <c:numRef>
              <c:f>Hoja1!$E$2:$E$3</c:f>
              <c:numCache>
                <c:formatCode>#,##0</c:formatCode>
                <c:ptCount val="2"/>
                <c:pt idx="0">
                  <c:v>-151.9</c:v>
                </c:pt>
                <c:pt idx="1">
                  <c:v>-118.3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EE. UU. (U.S. Healthcare Solutions)</c:v>
                </c:pt>
                <c:pt idx="1">
                  <c:v>Internacional</c:v>
                </c:pt>
                <c:pt idx="2">
                  <c:v>Otros</c:v>
                </c:pt>
                <c:pt idx="3">
                  <c:v>Eliminaciones</c:v>
                </c:pt>
              </c:strCache>
            </c:strRef>
          </c:cat>
          <c:val>
            <c:numRef>
              <c:f>Hoja1!$B$2:$B$5</c:f>
              <c:numCache>
                <c:formatCode>General</c:formatCode>
                <c:ptCount val="4"/>
                <c:pt idx="0">
                  <c:v>88.7</c:v>
                </c:pt>
                <c:pt idx="1">
                  <c:v>8.8</c:v>
                </c:pt>
                <c:pt idx="2">
                  <c:v>2.5</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EE. UU. (segmento)</c:v>
                </c:pt>
                <c:pt idx="1">
                  <c:v>Internacional (Europa, Canadá y logística)</c:v>
                </c:pt>
                <c:pt idx="2">
                  <c:v>Otros (MWI, Profarma, consultoría)</c:v>
                </c:pt>
              </c:strCache>
            </c:strRef>
          </c:cat>
          <c:val>
            <c:numRef>
              <c:f>Hoja1!$B$2:$B$4</c:f>
              <c:numCache>
                <c:formatCode>0"%"</c:formatCode>
                <c:ptCount val="3"/>
                <c:pt idx="0">
                  <c:v>88.7</c:v>
                </c:pt>
                <c:pt idx="1">
                  <c:v>8.8</c:v>
                </c:pt>
                <c:pt idx="2">
                  <c:v>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(ventas de los segmentos de EE. UU. de los tres grandes;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2024</c:v>
                </c:pt>
                <c:pt idx="1">
                  <c:v>2025</c:v>
                </c:pt>
                <c:pt idx="2">
                  <c:v>2026e</c:v>
                </c:pt>
                <c:pt idx="3">
                  <c:v>2027e</c:v>
                </c:pt>
                <c:pt idx="4">
                  <c:v>2028e</c:v>
                </c:pt>
              </c:strCache>
            </c:strRef>
          </c:cat>
          <c:val>
            <c:numRef>
              <c:f>Hoja1!$B$2:$B$6</c:f>
              <c:numCache>
                <c:formatCode>#,##0</c:formatCode>
                <c:ptCount val="5"/>
                <c:pt idx="0">
                  <c:v>769000</c:v>
                </c:pt>
                <c:pt idx="1">
                  <c:v>856000</c:v>
                </c:pt>
                <c:pt idx="2">
                  <c:v>905000</c:v>
                </c:pt>
                <c:pt idx="3">
                  <c:v>950000</c:v>
                </c:pt>
                <c:pt idx="4">
                  <c:v>1000000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5</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Cencora</c:v>
                </c:pt>
                <c:pt idx="1">
                  <c:v>McKesson</c:v>
                </c:pt>
                <c:pt idx="2">
                  <c:v>Cardinal Health</c:v>
                </c:pt>
                <c:pt idx="3">
                  <c:v>Henry Schein</c:v>
                </c:pt>
                <c:pt idx="4">
                  <c:v>Medipal Holdings</c:v>
                </c:pt>
                <c:pt idx="5">
                  <c:v>Alfresa Holdings</c:v>
                </c:pt>
                <c:pt idx="6">
                  <c:v>Galenica</c:v>
                </c:pt>
              </c:strCache>
            </c:strRef>
          </c:cat>
          <c:val>
            <c:numRef>
              <c:f>Hoja1!$B$2:$B$8</c:f>
              <c:numCache>
                <c:formatCode>0.0"%"</c:formatCode>
                <c:ptCount val="7"/>
                <c:pt idx="0">
                  <c:v>1.1</c:v>
                </c:pt>
                <c:pt idx="1">
                  <c:v>1.6</c:v>
                </c:pt>
                <c:pt idx="2">
                  <c:v>0.99</c:v>
                </c:pt>
                <c:pt idx="3">
                  <c:v>5.18</c:v>
                </c:pt>
                <c:pt idx="4">
                  <c:v>2.14</c:v>
                </c:pt>
                <c:pt idx="5">
                  <c:v>2.01</c:v>
                </c:pt>
                <c:pt idx="6">
                  <c:v>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2</c:v>
                </c:pt>
                <c:pt idx="3">
                  <c:v>4</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FY2019</c:v>
                </c:pt>
                <c:pt idx="1">
                  <c:v>FY2020</c:v>
                </c:pt>
                <c:pt idx="2">
                  <c:v>FY2021</c:v>
                </c:pt>
                <c:pt idx="3">
                  <c:v>FY2022</c:v>
                </c:pt>
                <c:pt idx="4">
                  <c:v>FY2023</c:v>
                </c:pt>
                <c:pt idx="5">
                  <c:v>FY2024</c:v>
                </c:pt>
                <c:pt idx="6">
                  <c:v>FY2025</c:v>
                </c:pt>
                <c:pt idx="7">
                  <c:v>FY2026e</c:v>
                </c:pt>
                <c:pt idx="8">
                  <c:v>FY2027e</c:v>
                </c:pt>
                <c:pt idx="9">
                  <c:v>FY2028e</c:v>
                </c:pt>
                <c:pt idx="10">
                  <c:v>FY2029e</c:v>
                </c:pt>
                <c:pt idx="11">
                  <c:v>FY2030e</c:v>
                </c:pt>
                <c:pt idx="12">
                  <c:v>FY2031e</c:v>
                </c:pt>
                <c:pt idx="13">
                  <c:v>FY2032e</c:v>
                </c:pt>
                <c:pt idx="14">
                  <c:v>FY2033e</c:v>
                </c:pt>
              </c:strCache>
            </c:strRef>
          </c:cat>
          <c:val>
            <c:numRef>
              <c:f>Hoja1!$B$2:$B$16</c:f>
              <c:numCache>
                <c:formatCode>#,##0</c:formatCode>
                <c:ptCount val="15"/>
                <c:pt idx="0">
                  <c:v>179589.1</c:v>
                </c:pt>
                <c:pt idx="1">
                  <c:v>189893.9</c:v>
                </c:pt>
                <c:pt idx="2">
                  <c:v>213988.8</c:v>
                </c:pt>
                <c:pt idx="3">
                  <c:v>238587</c:v>
                </c:pt>
                <c:pt idx="4">
                  <c:v>262173.4</c:v>
                </c:pt>
                <c:pt idx="5">
                  <c:v>293958.6</c:v>
                </c:pt>
                <c:pt idx="6">
                  <c:v>321332.8</c:v>
                </c:pt>
                <c:pt idx="7">
                  <c:v>337399</c:v>
                </c:pt>
                <c:pt idx="8">
                  <c:v>350895</c:v>
                </c:pt>
                <c:pt idx="9">
                  <c:v>368440</c:v>
                </c:pt>
                <c:pt idx="10">
                  <c:v>386862</c:v>
                </c:pt>
                <c:pt idx="11">
                  <c:v>404271</c:v>
                </c:pt>
                <c:pt idx="12">
                  <c:v>420442</c:v>
                </c:pt>
                <c:pt idx="13">
                  <c:v>435157</c:v>
                </c:pt>
                <c:pt idx="14">
                  <c:v>448212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FY2019</c:v>
                </c:pt>
                <c:pt idx="1">
                  <c:v>FY2020</c:v>
                </c:pt>
                <c:pt idx="2">
                  <c:v>FY2021</c:v>
                </c:pt>
                <c:pt idx="3">
                  <c:v>FY2022</c:v>
                </c:pt>
                <c:pt idx="4">
                  <c:v>FY2023</c:v>
                </c:pt>
                <c:pt idx="5">
                  <c:v>FY2024</c:v>
                </c:pt>
                <c:pt idx="6">
                  <c:v>FY2025</c:v>
                </c:pt>
                <c:pt idx="7">
                  <c:v>FY2026e</c:v>
                </c:pt>
                <c:pt idx="8">
                  <c:v>FY2027e</c:v>
                </c:pt>
                <c:pt idx="9">
                  <c:v>FY2028e</c:v>
                </c:pt>
                <c:pt idx="10">
                  <c:v>FY2029e</c:v>
                </c:pt>
                <c:pt idx="11">
                  <c:v>FY2030e</c:v>
                </c:pt>
                <c:pt idx="12">
                  <c:v>FY2031e</c:v>
                </c:pt>
                <c:pt idx="13">
                  <c:v>FY2032e</c:v>
                </c:pt>
                <c:pt idx="14">
                  <c:v>FY2033e</c:v>
                </c:pt>
              </c:strCache>
            </c:strRef>
          </c:cat>
          <c:val>
            <c:numRef>
              <c:f>Hoja1!$C$2:$C$16</c:f>
              <c:numCache>
                <c:formatCode>#,##0</c:formatCode>
                <c:ptCount val="15"/>
                <c:pt idx="0">
                  <c:v>2353.9</c:v>
                </c:pt>
                <c:pt idx="1">
                  <c:v>2485</c:v>
                </c:pt>
                <c:pt idx="2">
                  <c:v>2977.2000000000003</c:v>
                </c:pt>
                <c:pt idx="3">
                  <c:v>3552.7000000000003</c:v>
                </c:pt>
                <c:pt idx="4">
                  <c:v>3702</c:v>
                </c:pt>
                <c:pt idx="5">
                  <c:v>4080</c:v>
                </c:pt>
                <c:pt idx="6">
                  <c:v>4721.1</c:v>
                </c:pt>
                <c:pt idx="7">
                  <c:v>5128</c:v>
                </c:pt>
                <c:pt idx="8">
                  <c:v>5544</c:v>
                </c:pt>
                <c:pt idx="9">
                  <c:v>5969</c:v>
                </c:pt>
                <c:pt idx="10">
                  <c:v>6383</c:v>
                </c:pt>
                <c:pt idx="11">
                  <c:v>6751</c:v>
                </c:pt>
                <c:pt idx="12">
                  <c:v>7063</c:v>
                </c:pt>
                <c:pt idx="13">
                  <c:v>7311</c:v>
                </c:pt>
                <c:pt idx="14">
                  <c:v>7530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2.9</c:v>
                </c:pt>
                <c:pt idx="1">
                  <c:v>2.7</c:v>
                </c:pt>
                <c:pt idx="2">
                  <c:v>3.2</c:v>
                </c:pt>
                <c:pt idx="3">
                  <c:v>3.5</c:v>
                </c:pt>
                <c:pt idx="4">
                  <c:v>3.4</c:v>
                </c:pt>
                <c:pt idx="5">
                  <c:v>3.4</c:v>
                </c:pt>
                <c:pt idx="6">
                  <c:v>3.6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1.3</c:v>
                </c:pt>
                <c:pt idx="1">
                  <c:v>1.3</c:v>
                </c:pt>
                <c:pt idx="2">
                  <c:v>1.4</c:v>
                </c:pt>
                <c:pt idx="3">
                  <c:v>1.5</c:v>
                </c:pt>
                <c:pt idx="4">
                  <c:v>1.4</c:v>
                </c:pt>
                <c:pt idx="5">
                  <c:v>1.4</c:v>
                </c:pt>
                <c:pt idx="6">
                  <c:v>1.5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1.1</c:v>
                </c:pt>
                <c:pt idx="1">
                  <c:v>1.1</c:v>
                </c:pt>
                <c:pt idx="2">
                  <c:v>1.2</c:v>
                </c:pt>
                <c:pt idx="3">
                  <c:v>1.2</c:v>
                </c:pt>
                <c:pt idx="4">
                  <c:v>1</c:v>
                </c:pt>
                <c:pt idx="5">
                  <c:v>1</c:v>
                </c:pt>
                <c:pt idx="6">
                  <c:v>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Hoja1!$E$2:$E$8</c:f>
              <c:numCache>
                <c:formatCode>0"%"</c:formatCode>
                <c:ptCount val="7"/>
                <c:pt idx="0">
                  <c:v>0.5</c:v>
                </c:pt>
                <c:pt idx="1">
                  <c:v>-1.8</c:v>
                </c:pt>
                <c:pt idx="2">
                  <c:v>0.7</c:v>
                </c:pt>
                <c:pt idx="3">
                  <c:v>0.7</c:v>
                </c:pt>
                <c:pt idx="4">
                  <c:v>0.7</c:v>
                </c:pt>
                <c:pt idx="5">
                  <c:v>0.5</c:v>
                </c:pt>
                <c:pt idx="6">
                  <c:v>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14.7</c:v>
                </c:pt>
                <c:pt idx="1">
                  <c:v>12.8</c:v>
                </c:pt>
                <c:pt idx="2">
                  <c:v>10.3</c:v>
                </c:pt>
                <c:pt idx="3">
                  <c:v>8.7</c:v>
                </c:pt>
                <c:pt idx="4">
                  <c:v>5.9</c:v>
                </c:pt>
                <c:pt idx="5">
                  <c:v>5.5</c:v>
                </c:pt>
                <c:pt idx="6">
                  <c:v>3.8</c:v>
                </c:pt>
                <c:pt idx="7">
                  <c:v>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25</c:v>
                </c:pt>
                <c:pt idx="1">
                  <c:v>27</c:v>
                </c:pt>
                <c:pt idx="2">
                  <c:v>31</c:v>
                </c:pt>
                <c:pt idx="3">
                  <c:v>28</c:v>
                </c:pt>
                <c:pt idx="4">
                  <c:v>29</c:v>
                </c:pt>
                <c:pt idx="5">
                  <c:v>30</c:v>
                </c:pt>
                <c:pt idx="6">
                  <c:v>29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23</c:v>
                </c:pt>
                <c:pt idx="1">
                  <c:v>25</c:v>
                </c:pt>
                <c:pt idx="2">
                  <c:v>27</c:v>
                </c:pt>
                <c:pt idx="3">
                  <c:v>25</c:v>
                </c:pt>
                <c:pt idx="4">
                  <c:v>25</c:v>
                </c:pt>
                <c:pt idx="5">
                  <c:v>24</c:v>
                </c:pt>
                <c:pt idx="6">
                  <c:v>24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59</c:v>
                </c:pt>
                <c:pt idx="1">
                  <c:v>63</c:v>
                </c:pt>
                <c:pt idx="2">
                  <c:v>67</c:v>
                </c:pt>
                <c:pt idx="3">
                  <c:v>64</c:v>
                </c:pt>
                <c:pt idx="4">
                  <c:v>66</c:v>
                </c:pt>
                <c:pt idx="5">
                  <c:v>65</c:v>
                </c:pt>
                <c:pt idx="6">
                  <c:v>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2033.8</c:v>
                </c:pt>
                <c:pt idx="1">
                  <c:v>1837.3</c:v>
                </c:pt>
                <c:pt idx="2">
                  <c:v>2228.4</c:v>
                </c:pt>
                <c:pt idx="3">
                  <c:v>2206.7999999999997</c:v>
                </c:pt>
                <c:pt idx="4">
                  <c:v>3452.9</c:v>
                </c:pt>
                <c:pt idx="5">
                  <c:v>2997.5</c:v>
                </c:pt>
                <c:pt idx="6">
                  <c:v>3207.1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855.4</c:v>
                </c:pt>
                <c:pt idx="1">
                  <c:v>-3408.7</c:v>
                </c:pt>
                <c:pt idx="2">
                  <c:v>1539.9</c:v>
                </c:pt>
                <c:pt idx="3">
                  <c:v>1698.8</c:v>
                </c:pt>
                <c:pt idx="4">
                  <c:v>1745.3</c:v>
                </c:pt>
                <c:pt idx="5">
                  <c:v>1509.1</c:v>
                </c:pt>
                <c:pt idx="6">
                  <c:v>1554.2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44.1</c:v>
                </c:pt>
                <c:pt idx="1">
                  <c:v>127</c:v>
                </c:pt>
                <c:pt idx="2">
                  <c:v>101</c:v>
                </c:pt>
                <c:pt idx="3">
                  <c:v>61.4</c:v>
                </c:pt>
                <c:pt idx="4">
                  <c:v>83.7</c:v>
                </c:pt>
                <c:pt idx="5">
                  <c:v>92.4</c:v>
                </c:pt>
                <c:pt idx="6">
                  <c:v>71.8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8.3</c:v>
                </c:pt>
                <c:pt idx="1">
                  <c:v>8.3</c:v>
                </c:pt>
                <c:pt idx="2">
                  <c:v>8.3</c:v>
                </c:pt>
                <c:pt idx="3">
                  <c:v>8.3</c:v>
                </c:pt>
                <c:pt idx="4">
                  <c:v>8.3</c:v>
                </c:pt>
                <c:pt idx="5">
                  <c:v>8.3</c:v>
                </c:pt>
                <c:pt idx="6">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29.7</c:v>
                </c:pt>
                <c:pt idx="1">
                  <c:v>-366.5</c:v>
                </c:pt>
                <c:pt idx="2">
                  <c:v>-387.2</c:v>
                </c:pt>
                <c:pt idx="3">
                  <c:v>28793.2</c:v>
                </c:pt>
                <c:pt idx="4">
                  <c:v>1124.5</c:v>
                </c:pt>
                <c:pt idx="5">
                  <c:v>258.4</c:v>
                </c:pt>
                <c:pt idx="6">
                  <c:v>144.3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0.0"x"</c:formatCode>
                <c:ptCount val="7"/>
                <c:pt idx="0">
                  <c:v>0.34</c:v>
                </c:pt>
                <c:pt idx="1">
                  <c:v>-0.19</c:v>
                </c:pt>
                <c:pt idx="2">
                  <c:v>1.39</c:v>
                </c:pt>
                <c:pt idx="3">
                  <c:v>0.65</c:v>
                </c:pt>
                <c:pt idx="4">
                  <c:v>0.59</c:v>
                </c:pt>
                <c:pt idx="5">
                  <c:v>0.31</c:v>
                </c:pt>
                <c:pt idx="6">
                  <c:v>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c:v>
                </c:pt>
                <c:pt idx="1">
                  <c:v>FY2028</c:v>
                </c:pt>
                <c:pt idx="2">
                  <c:v>FY2029</c:v>
                </c:pt>
                <c:pt idx="3">
                  <c:v>FY2030</c:v>
                </c:pt>
                <c:pt idx="4">
                  <c:v>FY2031</c:v>
                </c:pt>
                <c:pt idx="5">
                  <c:v>FY2032+</c:v>
                </c:pt>
              </c:strCache>
            </c:strRef>
          </c:cat>
          <c:val>
            <c:numRef>
              <c:f>Hoja1!$B$2:$B$7</c:f>
              <c:numCache>
                <c:formatCode>#,##0</c:formatCode>
                <c:ptCount val="6"/>
                <c:pt idx="0">
                  <c:v>1736</c:v>
                </c:pt>
                <c:pt idx="1">
                  <c:v>567</c:v>
                </c:pt>
                <c:pt idx="2">
                  <c:v>2094</c:v>
                </c:pt>
                <c:pt idx="3">
                  <c:v>994</c:v>
                </c:pt>
                <c:pt idx="4">
                  <c:v>995</c:v>
                </c:pt>
                <c:pt idx="5">
                  <c:v>5337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64</c:v>
                </c:pt>
                <c:pt idx="1">
                  <c:v>0</c:v>
                </c:pt>
                <c:pt idx="2">
                  <c:v>5563</c:v>
                </c:pt>
                <c:pt idx="3">
                  <c:v>133.8</c:v>
                </c:pt>
                <c:pt idx="4">
                  <c:v>1409.8</c:v>
                </c:pt>
                <c:pt idx="5">
                  <c:v>69.8</c:v>
                </c:pt>
                <c:pt idx="6">
                  <c:v>4095.6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339</c:v>
                </c:pt>
                <c:pt idx="1">
                  <c:v>343.6</c:v>
                </c:pt>
                <c:pt idx="2">
                  <c:v>366.6</c:v>
                </c:pt>
                <c:pt idx="3">
                  <c:v>391.7</c:v>
                </c:pt>
                <c:pt idx="4">
                  <c:v>398.8</c:v>
                </c:pt>
                <c:pt idx="5">
                  <c:v>416.2</c:v>
                </c:pt>
                <c:pt idx="6">
                  <c:v>437.1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674</c:v>
                </c:pt>
                <c:pt idx="1">
                  <c:v>420.4</c:v>
                </c:pt>
                <c:pt idx="2">
                  <c:v>82.2</c:v>
                </c:pt>
                <c:pt idx="3">
                  <c:v>483.7</c:v>
                </c:pt>
                <c:pt idx="4">
                  <c:v>1180.7</c:v>
                </c:pt>
                <c:pt idx="5">
                  <c:v>1491.4</c:v>
                </c:pt>
                <c:pt idx="6">
                  <c:v>435.5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10</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BlackRock</c:v>
                </c:pt>
                <c:pt idx="2">
                  <c:v>Walgreens Boots Alliance</c:v>
                </c:pt>
                <c:pt idx="3">
                  <c:v>Consejeros y directivos (15 personas)</c:v>
                </c:pt>
                <c:pt idx="4">
                  <c:v>Autocartera</c:v>
                </c:pt>
              </c:strCache>
            </c:strRef>
          </c:cat>
          <c:val>
            <c:numRef>
              <c:f>Hoja1!$B$2:$B$6</c:f>
              <c:numCache>
                <c:formatCode>0.0"%"</c:formatCode>
                <c:ptCount val="5"/>
                <c:pt idx="0">
                  <c:v>11.6</c:v>
                </c:pt>
                <c:pt idx="1">
                  <c:v>8.4</c:v>
                </c:pt>
                <c:pt idx="3">
                  <c:v>0.4</c:v>
                </c:pt>
                <c:pt idx="4">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-23.3</c:v>
                </c:pt>
                <c:pt idx="1">
                  <c:v>19.5</c:v>
                </c:pt>
                <c:pt idx="2">
                  <c:v>-17.6</c:v>
                </c:pt>
                <c:pt idx="3">
                  <c:v>23.5</c:v>
                </c:pt>
                <c:pt idx="4">
                  <c:v>23.4</c:v>
                </c:pt>
                <c:pt idx="5">
                  <c:v>44.1</c:v>
                </c:pt>
                <c:pt idx="6">
                  <c:v>26.3</c:v>
                </c:pt>
                <c:pt idx="7">
                  <c:v>25.3</c:v>
                </c:pt>
                <c:pt idx="8">
                  <c:v>10.4</c:v>
                </c:pt>
                <c:pt idx="9">
                  <c:v>51.5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0.0"x"</c:formatCode>
                <c:ptCount val="7"/>
                <c:pt idx="0">
                  <c:v>7.8</c:v>
                </c:pt>
                <c:pt idx="1">
                  <c:v>7.9</c:v>
                </c:pt>
                <c:pt idx="2">
                  <c:v>9.9</c:v>
                </c:pt>
                <c:pt idx="3">
                  <c:v>8.8</c:v>
                </c:pt>
                <c:pt idx="4">
                  <c:v>10.6</c:v>
                </c:pt>
                <c:pt idx="5">
                  <c:v>11.4</c:v>
                </c:pt>
                <c:pt idx="6">
                  <c:v>13.7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0.0"x"</c:formatCode>
                <c:ptCount val="7"/>
                <c:pt idx="0">
                  <c:v>10.3</c:v>
                </c:pt>
                <c:pt idx="1">
                  <c:v>10.3</c:v>
                </c:pt>
                <c:pt idx="2">
                  <c:v>10.3</c:v>
                </c:pt>
                <c:pt idx="3">
                  <c:v>10.3</c:v>
                </c:pt>
                <c:pt idx="4">
                  <c:v>10.3</c:v>
                </c:pt>
                <c:pt idx="5">
                  <c:v>10.3</c:v>
                </c:pt>
                <c:pt idx="6">
                  <c:v>10.3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Cencora</c:v>
                </c:pt>
                <c:pt idx="1">
                  <c:v>McKesson</c:v>
                </c:pt>
                <c:pt idx="2">
                  <c:v>Cardinal Health</c:v>
                </c:pt>
                <c:pt idx="3">
                  <c:v>Henry Schein</c:v>
                </c:pt>
                <c:pt idx="4">
                  <c:v>Medipal Holdings</c:v>
                </c:pt>
                <c:pt idx="5">
                  <c:v>Alfresa Holdings</c:v>
                </c:pt>
                <c:pt idx="6">
                  <c:v>Suzuken</c:v>
                </c:pt>
                <c:pt idx="7">
                  <c:v>Galenica</c:v>
                </c:pt>
                <c:pt idx="8">
                  <c:v>EBOS Group</c:v>
                </c:pt>
              </c:strCache>
            </c:strRef>
          </c:cat>
          <c:val>
            <c:numRef>
              <c:f>Hoja1!$B$2:$B$10</c:f>
              <c:numCache>
                <c:formatCode>0.0"x"</c:formatCode>
                <c:ptCount val="9"/>
                <c:pt idx="1">
                  <c:v>16</c:v>
                </c:pt>
                <c:pt idx="2">
                  <c:v>13.9</c:v>
                </c:pt>
                <c:pt idx="3">
                  <c:v>13</c:v>
                </c:pt>
                <c:pt idx="4">
                  <c:v>5.5</c:v>
                </c:pt>
                <c:pt idx="5">
                  <c:v>4.6</c:v>
                </c:pt>
                <c:pt idx="6">
                  <c:v>4.2</c:v>
                </c:pt>
                <c:pt idx="7">
                  <c:v>19.9</c:v>
                </c:pt>
                <c:pt idx="8">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McKesson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c:v>
                </c:pt>
              </c:numCache>
            </c:numRef>
          </c:xVal>
          <c:yVal>
            <c:numRef>
              <c:f>Hoja1!$C$2</c:f>
              <c:numCache>
                <c:formatCode>0.0"x"</c:formatCode>
                <c:ptCount val="1"/>
                <c:pt idx="0">
                  <c:v>16</c:v>
                </c:pt>
              </c:numCache>
            </c:numRef>
          </c:yVal>
          <c:smooth val="0"/>
        </c:ser>
        <c:ser>
          <c:idx val="1"/>
          <c:order val="1"/>
          <c:tx>
            <c:strRef>
              <c:f>Hoja1!$A$3</c:f>
              <c:strCache>
                <c:ptCount val="1"/>
                <c:pt idx="0">
                  <c:v>Cardinal Health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6.4</c:v>
                </c:pt>
              </c:numCache>
            </c:numRef>
          </c:xVal>
          <c:yVal>
            <c:numRef>
              <c:f>Hoja1!$C$3</c:f>
              <c:numCache>
                <c:formatCode>0.0"x"</c:formatCode>
                <c:ptCount val="1"/>
                <c:pt idx="0">
                  <c:v>13.9</c:v>
                </c:pt>
              </c:numCache>
            </c:numRef>
          </c:yVal>
          <c:smooth val="0"/>
        </c:ser>
        <c:ser>
          <c:idx val="2"/>
          <c:order val="2"/>
          <c:tx>
            <c:strRef>
              <c:f>Hoja1!$A$4</c:f>
              <c:strCache>
                <c:ptCount val="1"/>
                <c:pt idx="0">
                  <c:v>Henry Schein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5.2</c:v>
                </c:pt>
              </c:numCache>
            </c:numRef>
          </c:xVal>
          <c:yVal>
            <c:numRef>
              <c:f>Hoja1!$C$4</c:f>
              <c:numCache>
                <c:formatCode>0.0"x"</c:formatCode>
                <c:ptCount val="1"/>
                <c:pt idx="0">
                  <c:v>13</c:v>
                </c:pt>
              </c:numCache>
            </c:numRef>
          </c:yVal>
          <c:smooth val="0"/>
        </c:ser>
        <c:ser>
          <c:idx val="3"/>
          <c:order val="3"/>
          <c:tx>
            <c:strRef>
              <c:f>Hoja1!$A$5</c:f>
              <c:strCache>
                <c:ptCount val="1"/>
                <c:pt idx="0">
                  <c:v>Medipal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3.7</c:v>
                </c:pt>
              </c:numCache>
            </c:numRef>
          </c:xVal>
          <c:yVal>
            <c:numRef>
              <c:f>Hoja1!$C$5</c:f>
              <c:numCache>
                <c:formatCode>0.0"x"</c:formatCode>
                <c:ptCount val="1"/>
                <c:pt idx="0">
                  <c:v>5.5</c:v>
                </c:pt>
              </c:numCache>
            </c:numRef>
          </c:yVal>
          <c:smooth val="0"/>
        </c:ser>
        <c:ser>
          <c:idx val="4"/>
          <c:order val="4"/>
          <c:tx>
            <c:strRef>
              <c:f>Hoja1!$A$6</c:f>
              <c:strCache>
                <c:ptCount val="1"/>
                <c:pt idx="0">
                  <c:v>Alfresa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3.5</c:v>
                </c:pt>
              </c:numCache>
            </c:numRef>
          </c:xVal>
          <c:yVal>
            <c:numRef>
              <c:f>Hoja1!$C$6</c:f>
              <c:numCache>
                <c:formatCode>0.0"x"</c:formatCode>
                <c:ptCount val="1"/>
                <c:pt idx="0">
                  <c:v>4.6</c:v>
                </c:pt>
              </c:numCache>
            </c:numRef>
          </c:yVal>
          <c:smooth val="0"/>
        </c:ser>
        <c:ser>
          <c:idx val="5"/>
          <c:order val="5"/>
          <c:tx>
            <c:strRef>
              <c:f>Hoja1!$A$7</c:f>
              <c:strCache>
                <c:ptCount val="1"/>
                <c:pt idx="0">
                  <c:v>Suzuken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3.6</c:v>
                </c:pt>
              </c:numCache>
            </c:numRef>
          </c:xVal>
          <c:yVal>
            <c:numRef>
              <c:f>Hoja1!$C$7</c:f>
              <c:numCache>
                <c:formatCode>0.0"x"</c:formatCode>
                <c:ptCount val="1"/>
                <c:pt idx="0">
                  <c:v>4.2</c:v>
                </c:pt>
              </c:numCache>
            </c:numRef>
          </c:yVal>
          <c:smooth val="0"/>
        </c:ser>
        <c:ser>
          <c:idx val="6"/>
          <c:order val="6"/>
          <c:tx>
            <c:strRef>
              <c:f>Hoja1!$A$8</c:f>
              <c:strCache>
                <c:ptCount val="1"/>
                <c:pt idx="0">
                  <c:v>Galenica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c:v>
                </c:pt>
              </c:numCache>
            </c:numRef>
          </c:xVal>
          <c:yVal>
            <c:numRef>
              <c:f>Hoja1!$C$8</c:f>
              <c:numCache>
                <c:formatCode>0.0"x"</c:formatCode>
                <c:ptCount val="1"/>
                <c:pt idx="0">
                  <c:v>19.9</c:v>
                </c:pt>
              </c:numCache>
            </c:numRef>
          </c:yVal>
          <c:smooth val="0"/>
        </c:ser>
        <c:ser>
          <c:idx val="7"/>
          <c:order val="7"/>
          <c:tx>
            <c:strRef>
              <c:f>Hoja1!$A$9</c:f>
              <c:strCache>
                <c:ptCount val="1"/>
                <c:pt idx="0">
                  <c:v>EBOS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5.4</c:v>
                </c:pt>
              </c:numCache>
            </c:numRef>
          </c:xVal>
          <c:yVal>
            <c:numRef>
              <c:f>Hoja1!$C$9</c:f>
              <c:numCache>
                <c:formatCode>0.0"x"</c:formatCode>
                <c:ptCount val="1"/>
                <c:pt idx="0">
                  <c:v>10</c:v>
                </c:pt>
              </c:numCache>
            </c:numRef>
          </c:yVal>
          <c:smooth val="0"/>
        </c:ser>
        <c:axId val="10"/>
        <c:axId val="20"/>
      </c:scatterChart>
      <c:valAx>
        <c:axId val="10"/>
        <c:scaling>
          <c:orientation val="minMax"/>
          <c:max val="11"/>
          <c:min val="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FY2026e</c:v>
                </c:pt>
                <c:pt idx="1">
                  <c:v>FY2027e</c:v>
                </c:pt>
                <c:pt idx="2">
                  <c:v>FY2028e</c:v>
                </c:pt>
                <c:pt idx="3">
                  <c:v>FY2029e</c:v>
                </c:pt>
                <c:pt idx="4">
                  <c:v>FY2030e</c:v>
                </c:pt>
                <c:pt idx="5">
                  <c:v>FY2031e</c:v>
                </c:pt>
                <c:pt idx="6">
                  <c:v>FY2032e</c:v>
                </c:pt>
                <c:pt idx="7">
                  <c:v>FY2033e</c:v>
                </c:pt>
              </c:strCache>
            </c:strRef>
          </c:cat>
          <c:val>
            <c:numRef>
              <c:f>Hoja1!$B$2:$B$9</c:f>
              <c:numCache>
                <c:formatCode>#,##0</c:formatCode>
                <c:ptCount val="8"/>
                <c:pt idx="0">
                  <c:v>3468</c:v>
                </c:pt>
                <c:pt idx="1">
                  <c:v>4018</c:v>
                </c:pt>
                <c:pt idx="2">
                  <c:v>4419</c:v>
                </c:pt>
                <c:pt idx="3">
                  <c:v>4723</c:v>
                </c:pt>
                <c:pt idx="4">
                  <c:v>4941</c:v>
                </c:pt>
                <c:pt idx="5">
                  <c:v>5120</c:v>
                </c:pt>
                <c:pt idx="6">
                  <c:v>5235</c:v>
                </c:pt>
                <c:pt idx="7">
                  <c:v>5336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25408</c:v>
                </c:pt>
                <c:pt idx="1">
                  <c:v>53870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336,17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207.99</c:v>
                </c:pt>
                <c:pt idx="1">
                  <c:v>337.93</c:v>
                </c:pt>
                <c:pt idx="2">
                  <c:v>388.9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336,17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(244,82 – 377,54)</c:v>
                </c:pt>
                <c:pt idx="1">
                  <c:v>Precio objetivo de los analistas (330,00 – 430,00)</c:v>
                </c:pt>
                <c:pt idx="2">
                  <c:v>Comparables: PER NTM (281,16 – 384,62)</c:v>
                </c:pt>
                <c:pt idx="3">
                  <c:v>DCF (WACC y g ± 0,5) (286,10 – 410,99)</c:v>
                </c:pt>
                <c:pt idx="4">
                  <c:v>Escenarios (bajista – alcista) (207,99 – 388,90)</c:v>
                </c:pt>
                <c:pt idx="5">
                  <c:v>DCF con la prima implícita del mercado (4,2 %)</c:v>
                </c:pt>
                <c:pt idx="6">
                  <c:v>Precio actual (336,17)</c:v>
                </c:pt>
              </c:strCache>
            </c:strRef>
          </c:cat>
          <c:val>
            <c:numRef>
              <c:f>Hoja1!$B$2:$B$8</c:f>
              <c:numCache>
                <c:formatCode>#,##0</c:formatCode>
                <c:ptCount val="7"/>
                <c:pt idx="0">
                  <c:v>244.82</c:v>
                </c:pt>
                <c:pt idx="1">
                  <c:v>330</c:v>
                </c:pt>
                <c:pt idx="2">
                  <c:v>281.16</c:v>
                </c:pt>
                <c:pt idx="3">
                  <c:v>286.1</c:v>
                </c:pt>
                <c:pt idx="4">
                  <c:v>207.99</c:v>
                </c:pt>
                <c:pt idx="5">
                  <c:v>360.14</c:v>
                </c:pt>
                <c:pt idx="6">
                  <c:v>334.49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(244,82 – 377,54)</c:v>
                </c:pt>
                <c:pt idx="1">
                  <c:v>Precio objetivo de los analistas (330,00 – 430,00)</c:v>
                </c:pt>
                <c:pt idx="2">
                  <c:v>Comparables: PER NTM (281,16 – 384,62)</c:v>
                </c:pt>
                <c:pt idx="3">
                  <c:v>DCF (WACC y g ± 0,5) (286,10 – 410,99)</c:v>
                </c:pt>
                <c:pt idx="4">
                  <c:v>Escenarios (bajista – alcista) (207,99 – 388,90)</c:v>
                </c:pt>
                <c:pt idx="5">
                  <c:v>DCF con la prima implícita del mercado (4,2 %)</c:v>
                </c:pt>
                <c:pt idx="6">
                  <c:v>Precio actual (336,17)</c:v>
                </c:pt>
              </c:strCache>
            </c:strRef>
          </c:cat>
          <c:val>
            <c:numRef>
              <c:f>Hoja1!$C$2:$C$8</c:f>
              <c:numCache>
                <c:formatCode>#,##0</c:formatCode>
                <c:ptCount val="7"/>
                <c:pt idx="0">
                  <c:v>132.72000000000003</c:v>
                </c:pt>
                <c:pt idx="1">
                  <c:v>100</c:v>
                </c:pt>
                <c:pt idx="2">
                  <c:v>103.45999999999998</c:v>
                </c:pt>
                <c:pt idx="3">
                  <c:v>124.88999999999999</c:v>
                </c:pt>
                <c:pt idx="4">
                  <c:v>180.90999999999997</c:v>
                </c:pt>
                <c:pt idx="5">
                  <c:v>95.58000000000004</c:v>
                </c:pt>
                <c:pt idx="6">
                  <c:v>3.3600000000000136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