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e4989adcda85b540f646ddecb65ed2107fd87fd"/>
    <w:p>
      <w:pPr>
        <w:pStyle w:val="Heading1"/>
      </w:pPr>
      <w:r>
        <w:t xml:space="preserve">Arista Networks (ANET): análisis growth, 14-oct-2026</w:t>
      </w:r>
    </w:p>
    <w:p>
      <w:pPr>
        <w:pStyle w:val="FirstParagraph"/>
      </w:pPr>
      <w:r>
        <w:rPr>
          <w:bCs/>
          <w:b/>
        </w:rPr>
        <w:t xml:space="preserve">Señal (método v7, vigente): Mantener, en vigilancia</w:t>
      </w:r>
      <w:r>
        <w:t xml:space="preserve"> </w:t>
      </w:r>
      <w:r>
        <w:t xml:space="preserve">· Puntuación 78,8/100 · Señales de cambio de tendencia 5/8 · EV/beneficio bruto 27,2x</w:t>
      </w:r>
      <w:r>
        <w:t xml:space="preserve"> </w:t>
      </w:r>
      <w:r>
        <w:t xml:space="preserve">Precio 204,52 USD (cierre del 13-oct) · Objetivo 12 m 208,9 USD (ponderada +2,1 %, base +4,8 %, bajista −48,0 %, alcista +46,9 %) · Compra hasta 198,9 USD</w:t>
      </w:r>
      <w:r>
        <w:t xml:space="preserve"> </w:t>
      </w:r>
      <w:r>
        <w:rPr>
          <w:bCs/>
          <w:b/>
        </w:rPr>
        <w:t xml:space="preserve">Candidata v9 (parte de la guía de la empresa): igual</w:t>
      </w:r>
      <w:r>
        <w:t xml:space="preserve">, Mantener en vigilancia (+2,1 % / +4,8 %, compra hasta 198,9 USD). La guía (+42,9 % en el 2S26) más lo que Arista suele batirla (+6,6 pp) queda muy por encima de la partida mecánica (32,2 %), así que v9 no recorta nada.</w:t>
      </w:r>
      <w:r>
        <w:t xml:space="preserve"> </w:t>
      </w:r>
      <w:r>
        <w:rPr>
          <w:bCs/>
          <w:b/>
        </w:rPr>
        <w:t xml:space="preserve">Al precio actual</w:t>
      </w:r>
      <w:r>
        <w:t xml:space="preserve"> </w:t>
      </w:r>
      <w:r>
        <w:t xml:space="preserve">(195,92 USD, 14-oct a las 16:38 UTC, −4,2 % en la sesión): ya está por debajo del máximo de 198,9. Con el múltiplo del cierre, la regla da</w:t>
      </w:r>
      <w:r>
        <w:t xml:space="preserve"> </w:t>
      </w:r>
      <w:r>
        <w:rPr>
          <w:bCs/>
          <w:b/>
        </w:rPr>
        <w:t xml:space="preserve">Comprar (convicción media)</w:t>
      </w:r>
      <w:r>
        <w:t xml:space="preserve">, con ponderada +6,6 % y base +9,4 %, igual en v7 y en v9. Es una compra por la mínima.</w:t>
      </w:r>
      <w:r>
        <w:t xml:space="preserve"> </w:t>
      </w:r>
      <w:r>
        <w:t xml:space="preserve">Peso orientativo: 4 % por la regla, pero</w:t>
      </w:r>
      <w:r>
        <w:t xml:space="preserve"> </w:t>
      </w:r>
      <w:r>
        <w:rPr>
          <w:bCs/>
          <w:b/>
        </w:rPr>
        <w:t xml:space="preserve">no entra hoy</w:t>
      </w:r>
      <w:r>
        <w:t xml:space="preserve">. El bolsillo growth está lleno y su +6,6 % no justifica sustituir a Shopify (+17,7 %) ni a Snowflake (+16,1 %). Queda como</w:t>
      </w:r>
      <w:r>
        <w:t xml:space="preserve"> </w:t>
      </w:r>
      <w:r>
        <w:rPr>
          <w:bCs/>
          <w:b/>
        </w:rPr>
        <w:t xml:space="preserve">séptima suplente</w:t>
      </w:r>
      <w:r>
        <w:t xml:space="preserve">, por detrás de Toast y por delante de Wise (sección 13).</w:t>
      </w:r>
    </w:p>
    <w:p>
      <w:pPr>
        <w:pStyle w:val="BlockText"/>
      </w:pPr>
      <w:r>
        <w:rPr>
          <w:bCs/>
          <w:b/>
        </w:rPr>
        <w:t xml:space="preserve">Calculado con el método v7</w:t>
      </w:r>
      <w:r>
        <w:t xml:space="preserve"> </w:t>
      </w:r>
      <w:r>
        <w:t xml:space="preserve">(</w:t>
      </w:r>
      <w:r>
        <w:rPr>
          <w:rStyle w:val="VerbatimChar"/>
        </w:rPr>
        <w:t xml:space="preserve">verticales/growth/metodo.md</w:t>
      </w:r>
      <w:r>
        <w:t xml:space="preserve">) y con EV/EBITDA NTM, porque Arista gana dinero de forma estable desde hace una década (margen operativo de casi el 50 %). La regla mecánica proyecta las ventas: 17.743 M USD en el base, 13.910 M en el bajista y 19.406 M en el alcista, para los 12 meses a jun-2028. El múltiplo de hoy, 34,8x, se rebaja por desaceleración (×0,86): 29,9x en el base, 17,9x en el bajista y 38,9x en el alcista. Nuestra proyección (15.000 / 18.500 / 21.000 M) es solo contraste. En este motor, EV/EBITDA y EV/ventas dan el mismo resultado: el margen EBITDA implícito sale del propio múltiplo (49 %).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Arista vende los switches y el software (EOS, CloudVision) de las redes de los centros de datos de los hiperescaladores. Es el «sistema nervioso» de los grandes clústeres de IA. Factura</w:t>
      </w:r>
      <w:r>
        <w:t xml:space="preserve"> </w:t>
      </w:r>
      <w:r>
        <w:rPr>
          <w:bCs/>
          <w:b/>
        </w:rPr>
        <w:t xml:space="preserve">10.541 M USD en 12 meses (+32,6 %)</w:t>
      </w:r>
      <w:r>
        <w:t xml:space="preserve">, con un 63 % de margen bruto y casi un 50 % de margen operativo.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crecimiento se acelera</w:t>
      </w:r>
      <w:r>
        <w:t xml:space="preserve">: del +27,5 % en el 3T25 al +37,7 % en el 2T26. La guía del 3T es de +43 % y la de 2026, de ~12.600 M (+40 %), subida tres veces este año. Bate su propia guía trimestral por ~6,6 puntos de media.</w:t>
      </w:r>
    </w:p>
    <w:p>
      <w:pPr>
        <w:numPr>
          <w:ilvl w:val="0"/>
          <w:numId w:val="1001"/>
        </w:numPr>
        <w:pStyle w:val="Compact"/>
      </w:pPr>
      <w:r>
        <w:t xml:space="preserve">El negocio es excelente: sin deuda, 13.343 M de caja, FCF de ~5.155 M en 12 meses, pagos en acciones de solo el 4,8 % de las ventas y dilución casi nula.</w:t>
      </w:r>
    </w:p>
    <w:p>
      <w:pPr>
        <w:numPr>
          <w:ilvl w:val="0"/>
          <w:numId w:val="1001"/>
        </w:numPr>
        <w:pStyle w:val="Compact"/>
      </w:pPr>
      <w:r>
        <w:t xml:space="preserve">Pero</w:t>
      </w:r>
      <w:r>
        <w:t xml:space="preserve"> </w:t>
      </w:r>
      <w:r>
        <w:rPr>
          <w:bCs/>
          <w:b/>
        </w:rPr>
        <w:t xml:space="preserve">el precio ya lo descuenta</w:t>
      </w:r>
      <w:r>
        <w:t xml:space="preserve">. EV/EBITDA NTM de ~35x, el más alto de sus últimos 3 años (mediana ~25x). La acción ha subido un 76 % desde el mínimo de marzo. Con la rebaja por desaceleración, el base apenas deja un +5 %.</w:t>
      </w:r>
    </w:p>
    <w:p>
      <w:pPr>
        <w:numPr>
          <w:ilvl w:val="0"/>
          <w:numId w:val="1001"/>
        </w:numPr>
        <w:pStyle w:val="Compact"/>
      </w:pPr>
      <w:r>
        <w:t xml:space="preserve">Hay dos riesgos de fondo: dos clientes (Microsoft y Meta, según la memoria) suman el 42 % de las ventas, y</w:t>
      </w:r>
      <w:r>
        <w:t xml:space="preserve"> </w:t>
      </w:r>
      <w:r>
        <w:rPr>
          <w:bCs/>
          <w:b/>
        </w:rPr>
        <w:t xml:space="preserve">Nvidia ya vende más Ethernet de centro de datos que Arista</w:t>
      </w:r>
      <w:r>
        <w:t xml:space="preserve"> </w:t>
      </w:r>
      <w:r>
        <w:t xml:space="preserve">(IDC, 1T26). Es una gran empresa a un precio justo: se compra por debajo de ~199 USD y con prudencia por debajo de ~190 USD.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Arista (Santa Clara; fundada por Andy Bechtolsheim, David Cheriton y Ken Duda; consejera delegada Jayshree Ullal desde 2008) vende [1][4][5]: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Redes de centro de datos y de IA</w:t>
      </w:r>
      <w:r>
        <w:t xml:space="preserve"> </w:t>
      </w:r>
      <w:r>
        <w:t xml:space="preserve">(la mayor parte): switches Ethernet de alta velocidad (400G y 800G, con la familia 1,6T 7060X-E7 desde principios de 2027) para</w:t>
      </w:r>
      <w:r>
        <w:t xml:space="preserve"> </w:t>
      </w:r>
      <w:r>
        <w:rPr>
          <w:iCs/>
          <w:i/>
        </w:rPr>
        <w:t xml:space="preserve">scale-out</w:t>
      </w:r>
      <w:r>
        <w:t xml:space="preserve"> </w:t>
      </w:r>
      <w:r>
        <w:t xml:space="preserve">(el back-end que une miles de GPU o TPU),</w:t>
      </w:r>
      <w:r>
        <w:t xml:space="preserve"> </w:t>
      </w:r>
      <w:r>
        <w:rPr>
          <w:iCs/>
          <w:i/>
        </w:rPr>
        <w:t xml:space="preserve">scale-across</w:t>
      </w:r>
      <w:r>
        <w:t xml:space="preserve"> </w:t>
      </w:r>
      <w:r>
        <w:t xml:space="preserve">(entre centros de datos) y, desde 2026,</w:t>
      </w:r>
      <w:r>
        <w:t xml:space="preserve"> </w:t>
      </w:r>
      <w:r>
        <w:rPr>
          <w:iCs/>
          <w:i/>
        </w:rPr>
        <w:t xml:space="preserve">scale-up</w:t>
      </w:r>
      <w:r>
        <w:t xml:space="preserve"> </w:t>
      </w:r>
      <w:r>
        <w:t xml:space="preserve">con aceleradores que no son de Nvidia (TPU de Google) y racks a medida. Objetivo de IA para 2026: al menos 3.500 M USD.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Campus y empresa</w:t>
      </w:r>
      <w:r>
        <w:t xml:space="preserve"> </w:t>
      </w:r>
      <w:r>
        <w:t xml:space="preserve">(al menos 1.250 M en 2026) y</w:t>
      </w:r>
      <w:r>
        <w:t xml:space="preserve"> </w:t>
      </w:r>
      <w:r>
        <w:rPr>
          <w:bCs/>
          <w:b/>
        </w:rPr>
        <w:t xml:space="preserve">enrutamiento</w:t>
      </w:r>
      <w:r>
        <w:t xml:space="preserve"> </w:t>
      </w:r>
      <w:r>
        <w:t xml:space="preserve">(</w:t>
      </w:r>
      <w:r>
        <w:rPr>
          <w:iCs/>
          <w:i/>
        </w:rPr>
        <w:t xml:space="preserve">routing</w:t>
      </w:r>
      <w:r>
        <w:t xml:space="preserve">). Gartner la pone como líder en LAN cableada e inalámbrica de empresa (2026).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Servicios y software</w:t>
      </w:r>
      <w:r>
        <w:t xml:space="preserve"> </w:t>
      </w:r>
      <w:r>
        <w:t xml:space="preserve">(430,5 M en el 2T26, el 14 % de las ventas), con ingresos diferidos de 6.866 M a 30-jun.</w:t>
      </w:r>
    </w:p>
    <w:p>
      <w:pPr>
        <w:pStyle w:val="FirstParagraph"/>
      </w:pPr>
      <w:r>
        <w:rPr>
          <w:bCs/>
          <w:b/>
        </w:rPr>
        <w:t xml:space="preserve">Lo diferencial</w:t>
      </w:r>
      <w:r>
        <w:t xml:space="preserve"> </w:t>
      </w:r>
      <w:r>
        <w:t xml:space="preserve">es un único sistema operativo (EOS) para todos los productos y la telemetría (CloudVision). Con eso los hiperescaladores automatizan redes enormes. La red de Arista es abierta (Ethernet estándar, el consorcio UEC), mientras que la de Nvidia viene integrada con sus GPU.</w:t>
      </w:r>
      <w:r>
        <w:t xml:space="preserve"> </w:t>
      </w:r>
      <w:r>
        <w:rPr>
          <w:bCs/>
          <w:b/>
        </w:rPr>
        <w:t xml:space="preserve">Tecnología: 4/5.</w:t>
      </w:r>
      <w:r>
        <w:t xml:space="preserve"> </w:t>
      </w:r>
      <w:r>
        <w:t xml:space="preserve">El silicio es en buena parte comercial (Broadcom: «dependencia de un proveedor de silicio predominante», 10-K), así que la ventaja está en el software, la calidad y la relación con el cliente, no en un chip propio.</w:t>
      </w:r>
      <w:r>
        <w:t xml:space="preserve"> </w:t>
      </w:r>
      <w:r>
        <w:rPr>
          <w:bCs/>
          <w:b/>
        </w:rPr>
        <w:t xml:space="preserve">Posición: 4/5.</w:t>
      </w:r>
      <w:r>
        <w:t xml:space="preserve"> </w:t>
      </w:r>
      <w:r>
        <w:t xml:space="preserve">Fue la primera en Ethernet de centro de datos y ahora está empatada con Nvidia (20,7 % frente a 21,5 % en el 1T26, según IDC) [9].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GAAP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(punto medio)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2.204,8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+3,2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2.487,8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+7,1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+5,4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3.035,7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+37,7 %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+10,7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3T26 (guía)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+43,0 %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~63 % no GAAP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5.860,2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7.003,1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9.005,7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(guía de 4-ago)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+39,9 %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 (consenso)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+29,9 %</w:t>
            </w:r>
          </w:p>
        </w:tc>
      </w:tr>
    </w:tbl>
    <w:p>
      <w:pPr>
        <w:pStyle w:val="BodyText"/>
      </w:pPr>
      <w:r>
        <w:t xml:space="preserve">Fuentes: [1][2][3][8].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Ventas de 12 meses</w:t>
      </w:r>
      <w:r>
        <w:t xml:space="preserve"> </w:t>
      </w:r>
      <w:r>
        <w:t xml:space="preserve">(3T25-2T26):</w:t>
      </w:r>
      <w:r>
        <w:t xml:space="preserve"> </w:t>
      </w:r>
      <w:r>
        <w:rPr>
          <w:bCs/>
          <w:b/>
        </w:rPr>
        <w:t xml:space="preserve">10.540,8 M, +32,6 %</w:t>
      </w:r>
      <w:r>
        <w:t xml:space="preserve"> </w:t>
      </w:r>
      <w:r>
        <w:t xml:space="preserve">sobre los 7.950,9 M de un año antes.</w:t>
      </w:r>
      <w:r>
        <w:t xml:space="preserve"> </w:t>
      </w:r>
      <w:r>
        <w:rPr>
          <w:bCs/>
          <w:b/>
        </w:rPr>
        <w:t xml:space="preserve">CAGR propio a 2 años: 29,2 %</w:t>
      </w:r>
      <w:r>
        <w:t xml:space="preserve"> </w:t>
      </w:r>
      <w:r>
        <w:t xml:space="preserve">(6.311,8 M en los 12 meses a jun-2024).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Aceleración</w:t>
      </w:r>
      <w:r>
        <w:t xml:space="preserve">: el 2T26 crece un 37,7 % frente a una media del 30,5 % en los cuatro trimestres anteriores:</w:t>
      </w:r>
      <w:r>
        <w:t xml:space="preserve"> </w:t>
      </w:r>
      <w:r>
        <w:rPr>
          <w:bCs/>
          <w:b/>
        </w:rPr>
        <w:t xml:space="preserve">+7,2 pp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Retención</w:t>
      </w:r>
      <w:r>
        <w:t xml:space="preserve">: no aplica (venta de equipos).</w:t>
      </w:r>
      <w:r>
        <w:t xml:space="preserve"> </w:t>
      </w:r>
      <w:r>
        <w:rPr>
          <w:rStyle w:val="VerbatimChar"/>
        </w:rPr>
        <w:t xml:space="preserve">nrr_pct</w:t>
      </w:r>
      <w:r>
        <w:t xml:space="preserve"> </w:t>
      </w:r>
      <w:r>
        <w:t xml:space="preserve">= null. Sí hay un indicador adelantado: los ingresos diferidos suben de 5.372 M (dic-2025) a 6.866 M (jun-2026), y los compromisos de compra, de 3.600 M a 9.700 M en un año [4][5]. Arista se aprovisiona para un 2027 grande.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</w:t>
      </w:r>
      <w:r>
        <w:t xml:space="preserve">: 2026 pasó de ~10.500 M (Día del Analista de 2025) a 11.250 (feb), 11.500 (may) y ~12.600 M (ago) [5]. El 2S26 implícito crece un</w:t>
      </w:r>
      <w:r>
        <w:t xml:space="preserve"> </w:t>
      </w:r>
      <w:r>
        <w:rPr>
          <w:bCs/>
          <w:b/>
        </w:rPr>
        <w:t xml:space="preserve">42,9 %</w:t>
      </w:r>
      <w:r>
        <w:t xml:space="preserve"> </w:t>
      </w:r>
      <w:r>
        <w:t xml:space="preserve">(6.855 M frente a 4.796 M). Margen bruto de 2026 del 62-64 %. No hay guía de 2027 todavía: la primera indicación llegará el 3-nov.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alcanzable: ~90.000 M USD en 2028</w:t>
      </w:r>
      <w:r>
        <w:t xml:space="preserve"> </w:t>
      </w:r>
      <w:r>
        <w:t xml:space="preserve">(estimación propia). El Día del Analista de 2025 fijó un mercado total de ~105.000 M en 2029, dato de memoria [13]. IDC mide 15.400 M en un solo trimestre de switches Ethernet de centro de datos (1T26, +39,8 %) [9].</w:t>
      </w:r>
      <w:r>
        <w:t xml:space="preserve"> </w:t>
      </w:r>
      <w:r>
        <w:rPr>
          <w:bCs/>
          <w:b/>
        </w:rPr>
        <w:t xml:space="preserve">Penetración: 11,7 %.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Cuota y rivales</w:t>
      </w:r>
      <w:r>
        <w:t xml:space="preserve"> </w:t>
      </w:r>
      <w:r>
        <w:t xml:space="preserve">(IDC, 1T26, switches Ethernet de centro de datos): Nvidia 21,5 % (menos del 4 % hace dos años), Arista 20,7 %, Cisco 17,8 %, y después la caja blanca (Celestica, Accton) y HPE-Juniper [9].</w:t>
      </w:r>
      <w:r>
        <w:t xml:space="preserve"> </w:t>
      </w:r>
      <w:r>
        <w:rPr>
          <w:bCs/>
          <w:b/>
        </w:rPr>
        <w:t xml:space="preserve">La competencia de Nvidia es el punto clave.</w:t>
      </w:r>
      <w:r>
        <w:t xml:space="preserve"> </w:t>
      </w:r>
      <w:r>
        <w:t xml:space="preserve">Spectrum-X se vende en paquete con las GPU, y en 2025 Meta y Oracle anunciaron que lo adoptarían (de memoria; la acción cayó un ~3 % ese día) [11]. Arista responde con redes abiertas y multiproveedor, con</w:t>
      </w:r>
      <w:r>
        <w:t xml:space="preserve"> </w:t>
      </w:r>
      <w:r>
        <w:rPr>
          <w:iCs/>
          <w:i/>
        </w:rPr>
        <w:t xml:space="preserve">scale-up</w:t>
      </w:r>
      <w:r>
        <w:t xml:space="preserve"> </w:t>
      </w:r>
      <w:r>
        <w:t xml:space="preserve">para TPU y otros aceleradores, y con su ventaja en</w:t>
      </w:r>
      <w:r>
        <w:t xml:space="preserve"> </w:t>
      </w:r>
      <w:r>
        <w:rPr>
          <w:iCs/>
          <w:i/>
        </w:rPr>
        <w:t xml:space="preserve">scale-out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scale-across</w:t>
      </w:r>
      <w:r>
        <w:t xml:space="preserve"> </w:t>
      </w:r>
      <w:r>
        <w:t xml:space="preserve">[5]. De momento crece más rápido que nunca, pero la cuota de Nvidia sube muy deprisa.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</w:t>
      </w:r>
      <w:r>
        <w:t xml:space="preserve">: el software (un EOS para todo), la calidad (los hiperescaladores pagan por no tener caídas en clústeres de miles de millones), la neutralidad frente al proveedor de GPU y más de 100 clientes de Etherlink, frente a 4-5 en 2024 [5].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Concentración de clientes</w:t>
      </w:r>
      <w:r>
        <w:t xml:space="preserve"> </w:t>
      </w:r>
      <w:r>
        <w:t xml:space="preserve">[4]: dos clientes finales suman el</w:t>
      </w:r>
      <w:r>
        <w:t xml:space="preserve"> </w:t>
      </w:r>
      <w:r>
        <w:rPr>
          <w:bCs/>
          <w:b/>
        </w:rPr>
        <w:t xml:space="preserve">42 % de las ventas de 2025</w:t>
      </w:r>
      <w:r>
        <w:t xml:space="preserve"> </w:t>
      </w:r>
      <w:r>
        <w:t xml:space="preserve">(26 % y 16 %; 35 % en 2024 y 39 % en 2023). El 10-K no dice quiénes son. Por los 10-K anteriores, son Microsoft y Meta (de memoria [13]). Las dos invierten en IA a un ritmo récord. Si una frena su inversión o se pasa a Spectrum-X en una generación, las ventas de Arista caen deprisa. En 2025 el mayor cliente pasó del 20 % al 26 %: la concentración sube, no baja.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Tercera subida de la guía de 2026 (de 11.500 a 12.600 M, el 4-ago). El consenso de 2026 (12.700) supera la guía y el de 2027 está en 16.360 M. Citi sube el objetivo de 215 a 248 (8-oct). Strong Buy de 22 a 24 desde mayo.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[1][5][8]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204,52 frente a 161,8 USD, una media que sube (153,7 hace un mes).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+34,5 % frente a +13,3 % del S&amp;P 500 y +20,4 % del Nasdaq-100.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NTM de ~10,7x (finales de marzo) a ~17,1x: +60 %.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era muy rentable. El margen operativo no GAAP sube 1,1 pp (48,8 % → 49,9 %).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está arriba: 31 de 32 analistas en Comprar y StockTwits compra cada caída. No mejora desde abajo, y está cerca de la euforia.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compra. Los fundadores venden fuerte: Ullal ~600 M USD y Bechtolsheim ~400 M USD desde julio (formularios 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el 3-nov, con la primera indicación de 2027; 1,6T desde principios de 2027;</w:t>
            </w:r>
            <w:r>
              <w:t xml:space="preserve"> </w:t>
            </w:r>
            <w:r>
              <w:rPr>
                <w:iCs/>
                <w:i/>
              </w:rPr>
              <w:t xml:space="preserve">scale-up</w:t>
            </w:r>
            <w:r>
              <w:t xml:space="preserve"> </w:t>
            </w:r>
            <w:r>
              <w:t xml:space="preserve">con TPU.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[5][12]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Ha subido un +38,7 % en 12 meses (de 147,45 a 204,52 USD) con un EV/beneficio bruto de 27,2x. El veto pide ≥ 150 % con más de 20x, así que queda lejos. Desde el mínimo de marzo (116,13 USD, 30-mar) sube un +76 %. Hay un aviso: tras el 1T (5-may) cayó un 13,6 % en un día solo porque la guía «subió poco». Con estas expectativas, no basta con cumplir.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bruto</w:t>
      </w:r>
      <w:r>
        <w:t xml:space="preserve">:</w:t>
      </w:r>
      <w:r>
        <w:t xml:space="preserve"> </w:t>
      </w:r>
      <w:r>
        <w:rPr>
          <w:bCs/>
          <w:b/>
        </w:rPr>
        <w:t xml:space="preserve">63,0 %</w:t>
      </w:r>
      <w:r>
        <w:t xml:space="preserve"> </w:t>
      </w:r>
      <w:r>
        <w:t xml:space="preserve">GAAP en 12 meses (63,4 % no GAAP en el 2T26). Baja desde el 65 % por la mezcla de hiperescaladores y IA y por el coste de la memoria. La guía es del 62-64 % [1][5].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operativo</w:t>
      </w:r>
      <w:r>
        <w:t xml:space="preserve">: 45,4 % GAAP y 49,9 % no GAAP en el 2T26; guía del 48-49 % en el 3T.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FCF</w:t>
      </w:r>
      <w:r>
        <w:t xml:space="preserve">: flujo de operaciones de 5.306,6 M menos inversiones de 151,3 M =</w:t>
      </w:r>
      <w:r>
        <w:t xml:space="preserve"> </w:t>
      </w:r>
      <w:r>
        <w:rPr>
          <w:bCs/>
          <w:b/>
        </w:rPr>
        <w:t xml:space="preserve">5.155 M (48,9 % de las ventas)</w:t>
      </w:r>
      <w:r>
        <w:t xml:space="preserve"> </w:t>
      </w:r>
      <w:r>
        <w:t xml:space="preserve">en 12 meses [2]. Está inflado por el cobro anticipado: los ingresos diferidos aportaron +1.494 M solo en el 1S26. Sin ese efecto, el margen FCF ronda el 35-40 %.</w:t>
      </w:r>
      <w:r>
        <w:t xml:space="preserve"> </w:t>
      </w:r>
      <w:r>
        <w:rPr>
          <w:bCs/>
          <w:b/>
        </w:rPr>
        <w:t xml:space="preserve">FCF creciente.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Regla del 40</w:t>
      </w:r>
      <w:r>
        <w:t xml:space="preserve">: 32,6 + 48,9 =</w:t>
      </w:r>
      <w:r>
        <w:t xml:space="preserve"> </w:t>
      </w:r>
      <w:r>
        <w:rPr>
          <w:bCs/>
          <w:b/>
        </w:rPr>
        <w:t xml:space="preserve">81,5</w:t>
      </w:r>
      <w:r>
        <w:t xml:space="preserve">. Aun sin el efecto de los ingresos diferidos, supera 65.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los gastos operativos bajan del 20,5 % al 17,5 % de las ventas (2T25 → 2T26) [1].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Caja</w:t>
      </w:r>
      <w:r>
        <w:t xml:space="preserve">: 2.290,2 M de efectivo y 11.053,1 M de valores negociables =</w:t>
      </w:r>
      <w:r>
        <w:t xml:space="preserve"> </w:t>
      </w:r>
      <w:r>
        <w:rPr>
          <w:bCs/>
          <w:b/>
        </w:rPr>
        <w:t xml:space="preserve">13.343 M USD</w:t>
      </w:r>
      <w:r>
        <w:t xml:space="preserve"> </w:t>
      </w:r>
      <w:r>
        <w:t xml:space="preserve">(30-jun).</w:t>
      </w:r>
      <w:r>
        <w:t xml:space="preserve"> </w:t>
      </w:r>
      <w:r>
        <w:rPr>
          <w:bCs/>
          <w:b/>
        </w:rPr>
        <w:t xml:space="preserve">Deuda financiera: cero.</w:t>
      </w:r>
      <w:r>
        <w:t xml:space="preserve"> </w:t>
      </w:r>
      <w:r>
        <w:t xml:space="preserve">No hay convertibles [1].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Pista</w:t>
      </w:r>
      <w:r>
        <w:t xml:space="preserve">: el FCF es positivo; no hay quema.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Dilución</w:t>
      </w:r>
      <w:r>
        <w:t xml:space="preserve">: acciones diluidas medias de 1.276,0 M en el 2T26 frente a 1.271,2 M un año antes:</w:t>
      </w:r>
      <w:r>
        <w:t xml:space="preserve"> </w:t>
      </w:r>
      <w:r>
        <w:rPr>
          <w:bCs/>
          <w:b/>
        </w:rPr>
        <w:t xml:space="preserve">+0,4 %</w:t>
      </w:r>
      <w:r>
        <w:t xml:space="preserve">. Recompró 1.603 M en 2025 y nada en el 1S26 (la caja se acumula) [2][4].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Pagos en acciones</w:t>
      </w:r>
      <w:r>
        <w:t xml:space="preserve">: 502 M en 12 meses, el</w:t>
      </w:r>
      <w:r>
        <w:t xml:space="preserve"> </w:t>
      </w:r>
      <w:r>
        <w:rPr>
          <w:bCs/>
          <w:b/>
        </w:rPr>
        <w:t xml:space="preserve">4,8 % de las ventas</w:t>
      </w:r>
      <w:r>
        <w:t xml:space="preserve"> </w:t>
      </w:r>
      <w:r>
        <w:t xml:space="preserve">(lejos del 15 % que el método marca en rojo).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Compromisos de compra</w:t>
      </w:r>
      <w:r>
        <w:t xml:space="preserve">: 9.700 M, 9.400 de ellos a 12 meses (frente a 3.600 M un año antes) [4]. Aseguran el suministro, pero si la demanda girase, serían existencias y depreciaciones.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Historial (5/5)</w:t>
      </w:r>
      <w:r>
        <w:t xml:space="preserve">: supera la guía de ventas cada trimestre (los cuatro últimos, entre 3 y 11 pp de crecimiento) y ha subido la guía anual tres veces en 2026 [3][5].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Dirección (4/5)</w:t>
      </w:r>
      <w:r>
        <w:t xml:space="preserve">: equipo fundador y estable. Ullal es consejera delegada desde 2008; Bechtolsheim y Duda (CTO) son fundadores. Los accionistas de más del 10 % tienen el ~17 % del capital [4]. Asignación de capital sensata: sin deuda, sin compras caras y recompras en las caídas (2025). Resta un punto por el ritmo de ventas de los fundadores: Ullal unos 600 M USD y Bechtolsheim unos 400 M USD entre julio y el 8-oct [7]. Son pequeñas frente a lo que tienen, pero constantes, y coinciden con máximos.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Ejercicio objetivo</w:t>
      </w:r>
      <w:r>
        <w:t xml:space="preserve">: los 12 meses a jun-2028.</w:t>
      </w:r>
      <w:r>
        <w:t xml:space="preserve"> </w:t>
      </w:r>
      <w:r>
        <w:rPr>
          <w:bCs/>
          <w:b/>
        </w:rPr>
        <w:t xml:space="preserve">Métrica</w:t>
      </w:r>
      <w:r>
        <w:t xml:space="preserve">: EV/EBITDA NTM, porque Arista es rentable de forma estable. El código saca de los dos múltiplos un margen EBITDA implícito del 49 %.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 de hoy</w:t>
      </w:r>
      <w:r>
        <w:t xml:space="preserve">: 204,52 × 1.276,0 − 13.343 =</w:t>
      </w:r>
      <w:r>
        <w:t xml:space="preserve"> </w:t>
      </w:r>
      <w:r>
        <w:rPr>
          <w:bCs/>
          <w:b/>
        </w:rPr>
        <w:t xml:space="preserve">247.625 M USD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Ventas NTM</w:t>
      </w:r>
      <w:r>
        <w:t xml:space="preserve"> </w:t>
      </w:r>
      <w:r>
        <w:t xml:space="preserve">(3T26-2T27):</w:t>
      </w:r>
      <w:r>
        <w:t xml:space="preserve"> </w:t>
      </w:r>
      <w:r>
        <w:rPr>
          <w:bCs/>
          <w:b/>
        </w:rPr>
        <w:t xml:space="preserve">~14.455 M (+37,1 %)</w:t>
      </w:r>
      <w:r>
        <w:t xml:space="preserve">. Son la guía del 3T (3.300), el 4T implícito en la guía anual (3.555) y un 1S27 de ~7.600 M (+32 %), estimación propia [14].</w:t>
      </w:r>
      <w:r>
        <w:t xml:space="preserve"> </w:t>
      </w:r>
      <w:r>
        <w:rPr>
          <w:bCs/>
          <w:b/>
        </w:rPr>
        <w:t xml:space="preserve">EV/ventas NTM 17,1x; EV/EBITDA NTM ~34,8x</w:t>
      </w:r>
      <w:r>
        <w:t xml:space="preserve"> </w:t>
      </w:r>
      <w:r>
        <w:t xml:space="preserve">(EBITDA de ~7.110 M);</w:t>
      </w:r>
      <w:r>
        <w:t xml:space="preserve"> </w:t>
      </w:r>
      <w:r>
        <w:rPr>
          <w:bCs/>
          <w:b/>
        </w:rPr>
        <w:t xml:space="preserve">EV/beneficio bruto NTM 27,2x</w:t>
      </w:r>
      <w:r>
        <w:t xml:space="preserve"> </w:t>
      </w:r>
      <w:r>
        <w:t xml:space="preserve">(el tope de compra es 35x). Sobre 12 meses pasados, EV/EBITDA GAAP de 52,7x (StockAnalysis). PER de 2026 de ~50x y de 2027 de ~39x con el consenso.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Historia de 3 años</w:t>
      </w:r>
      <w:r>
        <w:t xml:space="preserve"> </w:t>
      </w:r>
      <w:r>
        <w:t xml:space="preserve">(estimada con las ventas reales de los 12 meses siguientes [14]):</w:t>
      </w:r>
      <w:r>
        <w:t xml:space="preserve"> </w:t>
      </w:r>
      <w:r>
        <w:rPr>
          <w:bCs/>
          <w:b/>
        </w:rPr>
        <w:t xml:space="preserve">mediana de ~25x, mínimo de ~17x</w:t>
      </w:r>
      <w:r>
        <w:t xml:space="preserve"> </w:t>
      </w:r>
      <w:r>
        <w:t xml:space="preserve">(sep-2023), 31x en dic-2024, 19x en mar-2025 y 22x en mar-2026. Hoy está en el máximo del periodo.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Comparables</w:t>
      </w:r>
      <w:r>
        <w:t xml:space="preserve"> </w:t>
      </w:r>
      <w:r>
        <w:t xml:space="preserve">(NTM estimado a partir de los múltiplos de 12 meses pasados [8]): Cisco ~20x, Nvidia ~16x, HPE-Juniper ~10x, Celestica ~16,5x.</w:t>
      </w:r>
      <w:r>
        <w:t xml:space="preserve"> </w:t>
      </w:r>
      <w:r>
        <w:rPr>
          <w:bCs/>
          <w:b/>
        </w:rPr>
        <w:t xml:space="preserve">Mediana de ~18x.</w:t>
      </w:r>
      <w:r>
        <w:t xml:space="preserve"> </w:t>
      </w:r>
      <w:r>
        <w:t xml:space="preserve">Arista crece más que todos salvo Nvidia y Celestica.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Desaceleración</w:t>
      </w:r>
      <w:r>
        <w:t xml:space="preserve">: crecimiento NTM del 37,1 % frente al 27,4 % del año objetivo según la regla. Factor de 0,86.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a jun-2028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Supuesto (regla mecánica)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mitad del crecimiento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−48,0 %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+32,2 % y +27,4 % (media del pasado y del CAGR propio, con decaimiento)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×1,2 el crecimiento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+46,9 %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208,9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+2,1 %</w:t>
            </w:r>
          </w:p>
        </w:tc>
      </w:tr>
    </w:tbl>
    <w:p>
      <w:pPr>
        <w:pStyle w:val="BodyText"/>
      </w:pPr>
      <w:r>
        <w:t xml:space="preserve">Sin dividendo.</w:t>
      </w:r>
      <w:r>
        <w:t xml:space="preserve"> </w:t>
      </w:r>
      <w:r>
        <w:rPr>
          <w:bCs/>
          <w:b/>
        </w:rPr>
        <w:t xml:space="preserve">Asimetría</w:t>
      </w:r>
      <w:r>
        <w:t xml:space="preserve">: 1,0.</w:t>
      </w:r>
      <w:r>
        <w:t xml:space="preserve"> </w:t>
      </w:r>
      <w:r>
        <w:rPr>
          <w:bCs/>
          <w:b/>
        </w:rPr>
        <w:t xml:space="preserve">Precio máximo de compra: 198,9 USD.</w:t>
      </w:r>
      <w:r>
        <w:t xml:space="preserve"> </w:t>
      </w:r>
      <w:r>
        <w:t xml:space="preserve">Lo fija la ponderada del 5 %. El tope de 35x el beneficio bruto daría ~260 USD.</w:t>
      </w:r>
    </w:p>
    <w:p>
      <w:pPr>
        <w:pStyle w:val="BodyText"/>
      </w:pPr>
      <w:r>
        <w:rPr>
          <w:bCs/>
          <w:b/>
        </w:rPr>
        <w:t xml:space="preserve">v9</w:t>
      </w:r>
      <w:r>
        <w:t xml:space="preserve">: partida de 32,2 % frente a guía + exceso de 49,5 %. No hay recorte, y los resultados son idénticos.</w:t>
      </w:r>
    </w:p>
    <w:p>
      <w:pPr>
        <w:pStyle w:val="BodyText"/>
      </w:pPr>
      <w:r>
        <w:rPr>
          <w:bCs/>
          <w:b/>
        </w:rPr>
        <w:t xml:space="preserve">Al precio actual (195,92 USD, 16:38 UTC)</w:t>
      </w:r>
      <w:r>
        <w:t xml:space="preserve">: con el múltiplo y el objetivo del cierre (EV/ventas NTM de 17,13x fijo), la ponderada es</w:t>
      </w:r>
      <w:r>
        <w:t xml:space="preserve"> </w:t>
      </w:r>
      <w:r>
        <w:rPr>
          <w:bCs/>
          <w:b/>
        </w:rPr>
        <w:t xml:space="preserve">+6,6 %</w:t>
      </w:r>
      <w:r>
        <w:t xml:space="preserve">, el base</w:t>
      </w:r>
      <w:r>
        <w:t xml:space="preserve"> </w:t>
      </w:r>
      <w:r>
        <w:rPr>
          <w:bCs/>
          <w:b/>
        </w:rPr>
        <w:t xml:space="preserve">+9,4 %</w:t>
      </w:r>
      <w:r>
        <w:t xml:space="preserve"> </w:t>
      </w:r>
      <w:r>
        <w:t xml:space="preserve">y el bajista −45,7 %.</w:t>
      </w:r>
      <w:r>
        <w:t xml:space="preserve"> </w:t>
      </w:r>
      <w:r>
        <w:rPr>
          <w:bCs/>
          <w:b/>
        </w:rPr>
        <w:t xml:space="preserve">Comprar (media)</w:t>
      </w:r>
      <w:r>
        <w:t xml:space="preserve"> </w:t>
      </w:r>
      <w:r>
        <w:t xml:space="preserve">en v7 y en v9, con compra hasta 198,9. Ver la mejora del método 1 (sección 14): si se cambia solo el precio en este</w:t>
      </w:r>
      <w:r>
        <w:t xml:space="preserve"> </w:t>
      </w:r>
      <w:r>
        <w:rPr>
          <w:rStyle w:val="VerbatimChar"/>
        </w:rPr>
        <w:t xml:space="preserve">datos.json</w:t>
      </w:r>
      <w:r>
        <w:t xml:space="preserve"> </w:t>
      </w:r>
      <w:r>
        <w:t xml:space="preserve">(EV/EBITDA), el código vuelve a dar +2,1 %, porque reescala el objetivo con el precio.</w:t>
      </w:r>
    </w:p>
    <w:p>
      <w:pPr>
        <w:pStyle w:val="BodyText"/>
      </w:pPr>
      <w:r>
        <w:rPr>
          <w:bCs/>
          <w:b/>
        </w:rPr>
        <w:t xml:space="preserve">Sensibilidad</w:t>
      </w:r>
      <w:r>
        <w:t xml:space="preserve"> </w:t>
      </w:r>
      <w:r>
        <w:t xml:space="preserve">(mismo código, sin cambiarlo):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Vigente, cierre de 204,52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 (vigilancia)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 actual de 195,92, objetivo del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(media)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Probabilidades de 35/50/15 (concentración en dos clientes y ciclo)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Crecimiento NTM de la regla (32,2 %) en lugar del de la guía (37,1 %)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(media), hasta 220,5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Lectura</w:t>
      </w:r>
      <w:r>
        <w:t xml:space="preserve">: la señal depende de un solo campo, el crecimiento NTM que mide la desaceleración (igual que en Celestica). Con el de la guía (+37 %), la regla castiga que en 2027-28 se crezca «solo» un 27 %. Es el supuesto más prudente y el que dejamos.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Consenso</w:t>
      </w:r>
      <w:r>
        <w:t xml:space="preserve">: objetivo medio de 245,14 USD (+20 %; de 190 a 290; 32 analistas). Ventas de 2027 de 16.360 M y BPA de 5,22 [8]. Nuestra proyección base (18.500 M a jun-2028) está algo por encima de la mecánica (17.743).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DCF inverso</w:t>
      </w:r>
      <w:r>
        <w:t xml:space="preserve">: con un WACC del 10 %, un margen FCF normal del 40 % y un crecimiento terminal del 3 %, el precio descuenta</w:t>
      </w:r>
      <w:r>
        <w:t xml:space="preserve"> </w:t>
      </w:r>
      <w:r>
        <w:rPr>
          <w:bCs/>
          <w:b/>
        </w:rPr>
        <w:t xml:space="preserve">~22 % anual durante 10 años</w:t>
      </w:r>
      <w:r>
        <w:t xml:space="preserve"> </w:t>
      </w:r>
      <w:r>
        <w:t xml:space="preserve">(~75.000 M de ventas en 2036, siete veces las de hoy). Con un margen del 35 %, ~24 %. Es exigente para un fabricante de equipos ligado a un ciclo de inversión.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Analistas</w:t>
      </w:r>
      <w:r>
        <w:t xml:space="preserve">: 31 de 32 en Comprar (24 Strong Buy), objetivo medio de 245 USD. En octubre, Citi sube a 248, BofA se queda en 240 y Bernstein en 250 [8].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StockTwits ($ANET, 10-14 oct)</w:t>
      </w:r>
      <w:r>
        <w:t xml:space="preserve">: muy alcista. «OMG, this stock is a cash cow… $225», «$250 by end of year», «price target by Dec 2027 ~$350», «Keep going I’ll buy more at 190», «Betting low 190s… then another all-time high before earnings». Algún bajista suelto («190 target»). Las caídas del 13 y 14-oct se leen como oportunidad de compra, no como aviso [10].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Prensa y Seeking Alpha / Motley Fool</w:t>
      </w:r>
      <w:r>
        <w:t xml:space="preserve">: el debate es Nvidia. Por un lado, «Nvidia could send this AI networking stock 6 feet underground» (Barchart) y el dato de IDC de que Nvidia pasa a Arista. Por otro, «Every analyst is watching the wrong AI stock» (Motley Fool, may-2026) y TIKR («tripled from its 52-week low… analysts still signal a buy»). Zacks recuerda la concentración en hiperescaladores y la prima de valoración [11].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Reddit y foros en castellano (Rankia, Investing ES)</w:t>
      </w:r>
      <w:r>
        <w:t xml:space="preserve">: las búsquedas no devolvieron hilos recientes indexados. Es una</w:t>
      </w:r>
      <w:r>
        <w:t xml:space="preserve"> </w:t>
      </w:r>
      <w:r>
        <w:rPr>
          <w:bCs/>
          <w:b/>
        </w:rPr>
        <w:t xml:space="preserve">laguna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negocio justifica el optimismo (aceleración, tres subidas de guía). Pero el consenso ya está casi unánime y los minoristas compran cada caída: eso es sentimiento maduro, no un giro. Como en mayo (−13,6 % en un día), una guía de 2027 «solo buena» el 3-nov puede costar un 10-15 %.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Ciclo de inversión de los hiperescaladores</w:t>
      </w:r>
      <w:r>
        <w:t xml:space="preserve"> </w:t>
      </w:r>
      <w:r>
        <w:t xml:space="preserve">(el principal). El 42 % de las ventas viene de dos clientes, y el resto del crecimiento de IA, de unos pocos más (Oracle,</w:t>
      </w:r>
      <w:r>
        <w:t xml:space="preserve"> </w:t>
      </w:r>
      <w:r>
        <w:rPr>
          <w:iCs/>
          <w:i/>
        </w:rPr>
        <w:t xml:space="preserve">neoclouds</w:t>
      </w:r>
      <w:r>
        <w:t xml:space="preserve">). Si Microsoft o Meta frenan su inversión de 2027 (la guiarán a finales de octubre), Arista lo nota con uno o dos trimestres de retraso. Los compromisos de compra de 9.700 M amplificarían la caída del margen.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Nvidia en Ethernet</w:t>
      </w:r>
      <w:r>
        <w:t xml:space="preserve">: pasó del &lt; 4 % al 21,5 % del mercado en dos años vendiendo la red con la GPU. Si los hiperescaladores compran «el rack entero» de Nvidia, Arista se queda con la parte abierta (TPU, aceleradores propios,</w:t>
      </w:r>
      <w:r>
        <w:t xml:space="preserve"> </w:t>
      </w:r>
      <w:r>
        <w:rPr>
          <w:iCs/>
          <w:i/>
        </w:rPr>
        <w:t xml:space="preserve">scale-across</w:t>
      </w:r>
      <w:r>
        <w:t xml:space="preserve">). Crece, pero con menos cuota y peor precio.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Valoración</w:t>
      </w:r>
      <w:r>
        <w:t xml:space="preserve">: 35x EBITDA, en el máximo de 3 años. En el bajista de la regla (18x, cerca de su mínimo de 3 años) la acción caería un −48 % sin que el negocio se hunda.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Proveedores</w:t>
      </w:r>
      <w:r>
        <w:t xml:space="preserve">: depende de Broadcom en el silicio y de fabricantes externos. A eso se suman la escasez de memoria, los aranceles y la presión en el margen bruto (de 65 % a 63 %).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Ventas de los fundadores</w:t>
      </w:r>
      <w:r>
        <w:t xml:space="preserve">: ~1.000 M USD en tres meses. No es una señal de tesis rota, pero tampoco ayuda.</w:t>
      </w:r>
    </w:p>
    <w:p>
      <w:pPr>
        <w:pStyle w:val="FirstParagraph"/>
      </w:pPr>
      <w:r>
        <w:rPr>
          <w:bCs/>
          <w:b/>
        </w:rPr>
        <w:t xml:space="preserve">Señales de venta concretas</w:t>
      </w:r>
      <w:r>
        <w:t xml:space="preserve"> </w:t>
      </w:r>
      <w:r>
        <w:t xml:space="preserve">(para quien la tenga):</w:t>
      </w:r>
      <w:r>
        <w:t xml:space="preserve"> </w:t>
      </w:r>
      <w:r>
        <w:t xml:space="preserve">- Guía del 4T26 o primera indicación de 2027 por debajo del +20 %, o crecimiento del 3T por debajo de la guía (~3.300 M).</w:t>
      </w:r>
      <w:r>
        <w:t xml:space="preserve"> </w:t>
      </w:r>
      <w:r>
        <w:t xml:space="preserve">- Pérdida o recorte fuerte de uno de los dos grandes clientes: uno de ellos por debajo del 10 % de las ventas sin otro que lo sustituya.</w:t>
      </w:r>
      <w:r>
        <w:t xml:space="preserve"> </w:t>
      </w:r>
      <w:r>
        <w:t xml:space="preserve">- Margen bruto no GAAP por debajo del 60 % dos trimestres seguidos.</w:t>
      </w:r>
      <w:r>
        <w:t xml:space="preserve"> </w:t>
      </w:r>
      <w:r>
        <w:t xml:space="preserve">- Ingresos diferidos que bajan y compromisos de compra que se recortan a la vez (señal de demanda que se enfría).</w:t>
      </w:r>
    </w:p>
    <w:p>
      <w:pPr>
        <w:pStyle w:val="BodyText"/>
      </w:pPr>
      <w:r>
        <w:t xml:space="preserve">Hoy no hay tesis rota.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28-oct a principios de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e inversión prevista de Alphabet, Meta, Microsoft, Amazon y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Visibilidad del gasto en IA de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3-nov-2026 (tras el cierre)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3T26 (guía de ~3.300 M, margen operativo del 48-49 %) y primera indicación de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que más mueve la 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Nov-dic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Posible Día del Analista con objetivos a largo plazo (en 2025 fue en septiembre; de memoria)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Fija el mercado y la guía de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Entregas de la familia 1,6T (7060X-E7) y de</w:t>
            </w:r>
            <w:r>
              <w:t xml:space="preserve"> </w:t>
            </w:r>
            <w:r>
              <w:rPr>
                <w:iCs/>
                <w:i/>
              </w:rPr>
              <w:t xml:space="preserve">scale-up</w:t>
            </w:r>
            <w:r>
              <w:t xml:space="preserve"> </w:t>
            </w:r>
            <w:r>
              <w:t xml:space="preserve">con TPU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Mezcla, cuota frente a Nvidia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4T26 y guía formal de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 o no la desaceleración que supone la regla</w:t>
            </w:r>
          </w:p>
        </w:tc>
      </w:tr>
    </w:tbl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Señal</w:t>
      </w:r>
      <w:r>
        <w:t xml:space="preserve">: al cierre,</w:t>
      </w:r>
      <w:r>
        <w:t xml:space="preserve"> </w:t>
      </w:r>
      <w:r>
        <w:rPr>
          <w:bCs/>
          <w:b/>
        </w:rPr>
        <w:t xml:space="preserve">Mantener en vigilancia</w:t>
      </w:r>
      <w:r>
        <w:t xml:space="preserve"> </w:t>
      </w:r>
      <w:r>
        <w:t xml:space="preserve">(v7 y v9). Al precio actual de 195,92 USD (16:38 UTC),</w:t>
      </w:r>
      <w:r>
        <w:t xml:space="preserve"> </w:t>
      </w:r>
      <w:r>
        <w:rPr>
          <w:bCs/>
          <w:b/>
        </w:rPr>
        <w:t xml:space="preserve">Comprar por la mínima</w:t>
      </w:r>
      <w:r>
        <w:t xml:space="preserve">: ponderada +6,6 %, base +9,4 %, convicción media, 4 % por la regla.</w:t>
      </w:r>
      <w:r>
        <w:t xml:space="preserve"> </w:t>
      </w:r>
      <w:r>
        <w:rPr>
          <w:bCs/>
          <w:b/>
        </w:rPr>
        <w:t xml:space="preserve">Regla del precio actual cumplida</w:t>
      </w:r>
      <w:r>
        <w:t xml:space="preserve">: la orden solo tendría sentido por debajo de 198,9 USD, y con prudencia por debajo de ~190 USD (ponderada ≥ 10 %).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Frente a la cartera 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informes/cartera-2026-10-14-15h.md</w:t>
      </w:r>
      <w:r>
        <w:t xml:space="preserve">) y a</w:t>
      </w:r>
      <w:r>
        <w:t xml:space="preserve"> </w:t>
      </w:r>
      <w:r>
        <w:rPr>
          <w:rStyle w:val="VerbatimChar"/>
        </w:rPr>
        <w:t xml:space="preserve">MEMORIA.md</w:t>
      </w:r>
      <w:r>
        <w:t xml:space="preserve">: la exposición al gasto en IA ya entra por</w:t>
      </w:r>
      <w:r>
        <w:t xml:space="preserve"> </w:t>
      </w:r>
      <w:r>
        <w:rPr>
          <w:bCs/>
          <w:b/>
        </w:rPr>
        <w:t xml:space="preserve">Alphabet</w:t>
      </w:r>
      <w:r>
        <w:t xml:space="preserve">, que se queda por decisión del usuario, y en menor medida por SAP e Intuit. Celestica, el otro proveedor de redes para hiperescaladores analizado hoy, salió</w:t>
      </w:r>
      <w:r>
        <w:t xml:space="preserve"> </w:t>
      </w:r>
      <w:r>
        <w:rPr>
          <w:bCs/>
          <w:b/>
        </w:rPr>
        <w:t xml:space="preserve">no comprar</w:t>
      </w:r>
      <w:r>
        <w:t xml:space="preserve">. El usuario ha dicho que le da miedo el ciclo de la IA (Duolingo, 14-oct). Arista es justo una apuesta al ciclo de inversión en IA de unos pocos clientes.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Frente al bolsillo growth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informes-growth/cartera-growth.md</w:t>
      </w:r>
      <w:r>
        <w:t xml:space="preserve">,</w:t>
      </w:r>
      <w:r>
        <w:t xml:space="preserve"> </w:t>
      </w:r>
      <w:r>
        <w:rPr>
          <w:bCs/>
          <w:b/>
        </w:rPr>
        <w:t xml:space="preserve">lleno, ~20 %</w:t>
      </w:r>
      <w:r>
        <w:t xml:space="preserve">: Nu, argenx, Shopify, Axon y Snowflake; liquidez de ≈27 EUR): solo cabe sustituyendo.</w:t>
      </w:r>
      <w:r>
        <w:t xml:space="preserve"> </w:t>
      </w:r>
      <w:r>
        <w:rPr>
          <w:bCs/>
          <w:b/>
        </w:rPr>
        <w:t xml:space="preserve">No sustituye a ninguna.</w:t>
      </w:r>
    </w:p>
    <w:p>
      <w:pPr>
        <w:numPr>
          <w:ilvl w:val="1"/>
          <w:numId w:val="1013"/>
        </w:numPr>
        <w:pStyle w:val="Compact"/>
      </w:pPr>
      <w:r>
        <w:t xml:space="preserve">Shopify: +17,7 % al precio actual, frente al +6,6 % de Arista. Le saca 11 pp.</w:t>
      </w:r>
    </w:p>
    <w:p>
      <w:pPr>
        <w:numPr>
          <w:ilvl w:val="1"/>
          <w:numId w:val="1013"/>
        </w:numPr>
        <w:pStyle w:val="Compact"/>
      </w:pPr>
      <w:r>
        <w:t xml:space="preserve">Snowflake: +16,1 %, frente al +6,6 %. Le saca 9,5 pp, y su tramo 1 ya está decidido.</w:t>
      </w:r>
    </w:p>
    <w:p>
      <w:pPr>
        <w:numPr>
          <w:ilvl w:val="1"/>
          <w:numId w:val="1013"/>
        </w:numPr>
        <w:pStyle w:val="Compact"/>
      </w:pPr>
      <w:r>
        <w:t xml:space="preserve">Rotar costaría comisión y daría menos rentabilidad, con más riesgo de ciclo y de concentración.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Puesto en suplentes: 7.º, detrás de Toast (~+11 %) y delante de Wise</w:t>
      </w:r>
      <w:r>
        <w:t xml:space="preserve"> </w:t>
      </w:r>
      <w:r>
        <w:t xml:space="preserve">(+5,5 % con v7; con v9 pasa a Mantener). Las seis primeras (Samsara, Datadog, MongoDB, Zscaler, Dexcom y Toast) dan más rentabilidad y no añaden riesgo de IA. La única que da menos es Wise. Arista subiría puestos solo con una caída por debajo de ~180-185 USD (ponderada ≥ 12-15 %), sin cambio de tesis tras el 3-nov.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 entrara</w:t>
      </w:r>
      <w:r>
        <w:t xml:space="preserve"> </w:t>
      </w:r>
      <w:r>
        <w:t xml:space="preserve">(liquidez nueva o una salida por tesis): 4 % (≈1.170 EUR, unas 7 acciones a ~169 EUR, con 1,16 USD/EUR), en dos tramos. El primero con límite de 190 USD; el segundo tras los resultados del 3-nov si la indicación de 2027 es ≥ +20 %, o con una caída del 10 % sin cambio de tesis.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+32,6 % (4), CAGR 2 años 29,2 % (3), aceleración +7,2 pp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11,7 % (2), tecnología (4), posición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de 8 señales (revisiones, media de 200, fuerza relativa, múltiplo, catalizador)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63,0 % (4), regla del 40 de 81,5 (5),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(5), dilución del 0,4 %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(5), dirección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Mejoras del método que propone este informe</w:t>
      </w:r>
      <w:r>
        <w:t xml:space="preserve"> </w:t>
      </w:r>
      <w:r>
        <w:t xml:space="preserve">(sin tocar el código; pendientes del backtest):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Recalcular «solo cambiando el precio» no funciona cuando la métrica no es de ventas o cuando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multiplo_actual</w:t>
      </w:r>
      <w:r>
        <w:rPr>
          <w:bCs/>
          <w:b/>
        </w:rPr>
        <w:t xml:space="preserve"> </w:t>
      </w:r>
      <w:r>
        <w:rPr>
          <w:bCs/>
          <w:b/>
        </w:rPr>
        <w:t xml:space="preserve">está vacío.</w:t>
      </w:r>
      <w:r>
        <w:t xml:space="preserve"> </w:t>
      </w:r>
      <w:r>
        <w:t xml:space="preserve">Con EV/EBITDA o P/beneficio, el código saca el margen implícito como EV/ventas NTM ÷</w:t>
      </w:r>
      <w:r>
        <w:t xml:space="preserve"> </w:t>
      </w:r>
      <w:r>
        <w:rPr>
          <w:rStyle w:val="VerbatimChar"/>
        </w:rPr>
        <w:t xml:space="preserve">multiplo_actual</w:t>
      </w:r>
      <w:r>
        <w:t xml:space="preserve">. Así el objetivo se mueve en proporción al precio, y la ponderada y la base apenas cambian. El «precio máximo de compra» queda siempre un ~3-5 % por debajo de cualquier precio, sea el que sea. Aquí, a 195,92 USD el código vuelve a dar +2,1 % y compra hasta 190,5, cuando con el objetivo del cierre da +6,6 % y compra hasta 198,9.</w:t>
      </w:r>
      <w:r>
        <w:t xml:space="preserve"> </w:t>
      </w:r>
      <w:r>
        <w:rPr>
          <w:bCs/>
          <w:b/>
        </w:rPr>
        <w:t xml:space="preserve">Afecta a la tabla de revisión de precios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cartera-growth.md</w:t>
      </w:r>
      <w:r>
        <w:t xml:space="preserve">: el límite de Nu (P/beneficio; de 18,9 a «18,3 USD» al recalcular) y el de Dexcom (EV/EBITDA) salen de ese efecto. Propuesta: un campo</w:t>
      </w:r>
      <w:r>
        <w:t xml:space="preserve"> </w:t>
      </w:r>
      <w:r>
        <w:rPr>
          <w:rStyle w:val="VerbatimChar"/>
        </w:rPr>
        <w:t xml:space="preserve">margen_multiplo_pct</w:t>
      </w:r>
      <w:r>
        <w:t xml:space="preserve"> </w:t>
      </w:r>
      <w:r>
        <w:t xml:space="preserve">fijo (margen EBITDA o neto NTM) en lugar del implícito. Al revisar precios, fijar el múltiplo de la fecha del informe (o el EV/ventas equivalente) y no recalcularlo.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La señal depende demasiado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crecimiento_actual_pct</w:t>
      </w:r>
      <w:r>
        <w:t xml:space="preserve"> </w:t>
      </w:r>
      <w:r>
        <w:t xml:space="preserve">(ya visto con Celestica). Aquí pasa de Mantener (+2,1 %) a Comprar (+13,2 %) solo por usar el crecimiento de la guía o el de la regla para medir la desaceleración. Conviene fijar una sola fuente, de preferencia la misma proyección.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Concentración de clientes</w:t>
      </w:r>
      <w:r>
        <w:t xml:space="preserve">: el método no la puntúa ni cambia las probabilidades salvo «un solo producto». Propuesta: 35/50/15 cuando dos clientes superan el 40 % de las ventas. Aquí la ponderada bajaría a −7,4 %.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Margen FCF inflado por cobros anticipados</w:t>
      </w:r>
      <w:r>
        <w:t xml:space="preserve">: en Arista, los ingresos diferidos suben el margen FCF del ~37 % al 49 %. No cambia la nota (la regla del 40 sigue por encima de 60), pero convendría un campo de margen FCF sin variación de ingresos diferidos.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Arista Networks, Second Quarter 2026 Financial Results (8-K, ex. 99.1, 4-ago-2026, SEC EDGAR): ventas, márgenes, BPA, guía del 3T26, balance a 30-jun y flujo de caja del 1S26.</w:t>
      </w:r>
      <w:r>
        <w:t xml:space="preserve"> </w:t>
      </w:r>
      <w:r>
        <w:t xml:space="preserve">[2] SEC EDGAR, XBRL companyfacts de Arista (10-K 2023-2025 y 10-Q 2026): ventas, beneficio bruto, flujo de operaciones, inversiones, pagos en acciones y acciones diluidas por trimestre.</w:t>
      </w:r>
      <w:r>
        <w:t xml:space="preserve"> </w:t>
      </w:r>
      <w:r>
        <w:t xml:space="preserve">[3] Arista, notas de resultados (8-K) del 5-ago-2025, 4-nov-2025, 12-feb-2026 y 5-may-2026: guías trimestrales de 2.250, 2.300-2.400, ~2.600 y ~2.800 M USD.</w:t>
      </w:r>
      <w:r>
        <w:t xml:space="preserve"> </w:t>
      </w:r>
      <w:r>
        <w:t xml:space="preserve">[4] Arista, 10-Q del 2T26 (5-ago-2026) y 10-K de 2025 (17-feb-2026): clientes finales de más del 10 % (16 % y 26 % en 2025), compromisos de compra de 9.700 M, competencia, recompras y acciones en circulación.</w:t>
      </w:r>
      <w:r>
        <w:t xml:space="preserve"> </w:t>
      </w:r>
      <w:r>
        <w:t xml:space="preserve">[5] Quartr y SDxCentral, resumen de la llamada del 2T26 (4-ago-2026): guía de 2026 de 12.600 M (antes 11.250 y ~10.500), IA ≥ 3.500 M, campus ≥ 1.250 M, margen bruto del 62-64 %, Etherlink con más de 100 clientes, 1,6T en 2027,</w:t>
      </w:r>
      <w:r>
        <w:t xml:space="preserve"> </w:t>
      </w:r>
      <w:r>
        <w:rPr>
          <w:iCs/>
          <w:i/>
        </w:rPr>
        <w:t xml:space="preserve">scale-up</w:t>
      </w:r>
      <w:r>
        <w:t xml:space="preserve"> </w:t>
      </w:r>
      <w:r>
        <w:t xml:space="preserve">con TPU y compromisos de 9.700 M (3.600 M un año antes).</w:t>
      </w:r>
      <w:r>
        <w:t xml:space="preserve"> </w:t>
      </w:r>
      <w:r>
        <w:t xml:space="preserve">[6] Cotización: Yahoo Finance chart API (serie diaria de 2 años y mensual de 5 años) y Nasdaq.com (histórico): cierre del 13-oct-2026 de 204,52 USD en ambas; 147,45 el 13-oct-2025 y 152,02 el 13-abr-2026; intradía del 14-oct de 195,92 USD a las 16:38 UTC; S&amp;P 500, Nasdaq-100, CSCO, NVDA, HPE y CLS.</w:t>
      </w:r>
      <w:r>
        <w:t xml:space="preserve"> </w:t>
      </w:r>
      <w:r>
        <w:t xml:space="preserve">[7] SEC EDGAR, formularios 4 (jul-oct 2026): ventas de J. Ullal (~600 M USD), A. Bechtolsheim (~400 M USD), K. Duda, C. Giancarlo, M. Templeton y C. Breithaupt; ninguna compra.</w:t>
      </w:r>
      <w:r>
        <w:t xml:space="preserve"> </w:t>
      </w:r>
      <w:r>
        <w:t xml:space="preserve">[8] StockAnalysis.com (datos de S&amp;P Global, 9 y 14-oct-2026): objetivo medio de 245,14 USD (32 analistas), recomendaciones, consenso de ventas y BPA de 2026-2027, cambios de objetivo de octubre; estadísticas de ANET, CSCO, NVDA y HPE.</w:t>
      </w:r>
      <w:r>
        <w:t xml:space="preserve"> </w:t>
      </w:r>
      <w:r>
        <w:t xml:space="preserve">[9] IDC, vía Data Center Knowledge y otros (jun-jul 2026): cuotas de switches Ethernet de centro de datos en el 1T26 (Nvidia 21,5 %, Arista 20,7 %, Cisco 17,8 %) y tamaño del mercado.</w:t>
      </w:r>
      <w:r>
        <w:t xml:space="preserve"> </w:t>
      </w:r>
      <w:r>
        <w:t xml:space="preserve">[10] StockTwits, flujo de $ANET (10 al 14-oct-2026).</w:t>
      </w:r>
      <w:r>
        <w:t xml:space="preserve"> </w:t>
      </w:r>
      <w:r>
        <w:t xml:space="preserve">[11] TipRanks (Nvidia, Meta y Oracle con Spectrum-X), Motley Fool (23-may-2026), Barchart, TIKR y Zacks/Chartmill; Reddit, Rankia e Investing.com ES sin hilos recientes indexados (laguna).</w:t>
      </w:r>
      <w:r>
        <w:t xml:space="preserve"> </w:t>
      </w:r>
      <w:r>
        <w:t xml:space="preserve">[12] Arista, nota de prensa del 6-oct-2026: resultados del 3T26 el 3-nov-2026.</w:t>
      </w:r>
      <w:r>
        <w:t xml:space="preserve"> </w:t>
      </w:r>
      <w:r>
        <w:t xml:space="preserve">[13] De memoria, sin comprobar: mercado total de ~105.000 M USD en 2029 (Día del Analista de 2025) e identidad de los dos grandes clientes (Microsoft y Meta).</w:t>
      </w:r>
      <w:r>
        <w:t xml:space="preserve"> </w:t>
      </w:r>
      <w:r>
        <w:t xml:space="preserve">[14] Estimación propia: ventas NTM (~14.455 M), EBITDA NTM (~7.110 M) y EV/EBITDA NTM histórico aproximado con las ventas reales de los 12 meses siguientes y un margen del 48 %.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2026-10-14T16:48:30Z</dcterms:created>
  <dcterms:modified xsi:type="dcterms:W3CDTF">2026-10-14T16:48:30Z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