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2c59a9eb594abcb68e1bb577f89a0a25a7e35c2"/>
    <w:p>
      <w:pPr>
        <w:pStyle w:val="Heading1"/>
      </w:pPr>
      <w:r>
        <w:t xml:space="preserve">DoorDash (DASH): análisis growth, 14-oct-2026</w:t>
      </w:r>
    </w:p>
    <w:p>
      <w:pPr>
        <w:pStyle w:val="FirstParagraph"/>
      </w:pPr>
      <w:r>
        <w:rPr>
          <w:bCs/>
          <w:b/>
        </w:rPr>
        <w:t xml:space="preserve">Señal (método v7): Mantener, en vigilancia</w:t>
      </w:r>
      <w:r>
        <w:t xml:space="preserve"> </w:t>
      </w:r>
      <w:r>
        <w:t xml:space="preserve">· Puntuación 63,8/100 · Señales de cambio de tendencia 3/8 · EV/beneficio bruto 8,8x</w:t>
      </w:r>
      <w:r>
        <w:t xml:space="preserve"> </w:t>
      </w:r>
      <w:r>
        <w:t xml:space="preserve">Precio 193,09 USD (cierre del 13-oct) · Objetivo 12 m 201,5 USD (ponderada +4,4 %, base +7,2 %, bajista −44,9 %, alcista +48,1 %) · Compra hasta 191,9 USD</w:t>
      </w:r>
      <w:r>
        <w:t xml:space="preserve"> </w:t>
      </w:r>
      <w:r>
        <w:t xml:space="preserve">Peso orientativo: no entra. Le falta rentabilidad (ponderada &lt; 5 %); el bolsillo growth está lleno y no supera a ninguna de las cinco.</w:t>
      </w:r>
    </w:p>
    <w:p>
      <w:pPr>
        <w:pStyle w:val="BlockText"/>
      </w:pPr>
      <w:r>
        <w:rPr>
          <w:bCs/>
          <w:b/>
        </w:rPr>
        <w:t xml:space="preserve">Calculado con el método v7</w:t>
      </w:r>
      <w:r>
        <w:t xml:space="preserve"> </w:t>
      </w:r>
      <w:r>
        <w:t xml:space="preserve">(</w:t>
      </w:r>
      <w:r>
        <w:rPr>
          <w:rStyle w:val="VerbatimChar"/>
        </w:rPr>
        <w:t xml:space="preserve">verticales/growth/metodo.md</w:t>
      </w:r>
      <w:r>
        <w:t xml:space="preserve">).</w:t>
      </w:r>
      <w:r>
        <w:t xml:space="preserve"> </w:t>
      </w:r>
      <w:r>
        <w:rPr>
          <w:bCs/>
          <w:b/>
        </w:rPr>
        <w:t xml:space="preserve">Qué se toma como ventas</w:t>
      </w:r>
      <w:r>
        <w:t xml:space="preserve">: los ingresos GAAP, es decir, lo que DoorDash se queda de cada pedido (comisión del comercio y tarifas del cliente, ya restado lo que paga a repartidores y comercios), que son el 13,5 % del GOV (valor bruto de los pedidos).</w:t>
      </w:r>
      <w:r>
        <w:t xml:space="preserve"> </w:t>
      </w:r>
      <w:r>
        <w:rPr>
          <w:bCs/>
          <w:b/>
        </w:rPr>
        <w:t xml:space="preserve">El crecimiento es orgánico, sin Deliveroo</w:t>
      </w:r>
      <w:r>
        <w:t xml:space="preserve"> </w:t>
      </w:r>
      <w:r>
        <w:t xml:space="preserve">(comprada el 2-oct-2025): la empresa publica sus ingresos sin Deliveroo. Con las cifras publicadas (+33,6 % en 12 meses), la regla proyectaría dos años al +32 % un salto que no se repite desde el 4T26. Las ventas de partida son las publicadas de 12 meses (15.891 M USD, con 3 trimestres de Deliveroo). Ventas del año objetivo por la regla mecánica: 23.778 M en el base, partiendo de +24,2 %. Múltiplos: 2,3x / 3,8x / 4,9x EV/ventas NTM.</w:t>
      </w:r>
    </w:p>
    <w:p>
      <w:pPr>
        <w:pStyle w:val="BlockText"/>
      </w:pPr>
      <w:r>
        <w:rPr>
          <w:bCs/>
          <w:b/>
        </w:rPr>
        <w:t xml:space="preserve">Candidata v9: el mismo resultado</w:t>
      </w:r>
      <w:r>
        <w:t xml:space="preserve"> </w:t>
      </w:r>
      <w:r>
        <w:t xml:space="preserve">(Mantener en vigilancia, +4,4 %). DoorDash solo guía el trimestre siguiente, y en GOV y EBITDA, no en ingresos; por la regla de la plantilla,</w:t>
      </w:r>
      <w:r>
        <w:t xml:space="preserve"> </w:t>
      </w:r>
      <w:r>
        <w:rPr>
          <w:rStyle w:val="VerbatimChar"/>
        </w:rPr>
        <w:t xml:space="preserve">guia_12m_pct</w:t>
      </w:r>
      <w:r>
        <w:t xml:space="preserve"> </w:t>
      </w:r>
      <w:r>
        <w:t xml:space="preserve">= null y v9 = v7.</w:t>
      </w:r>
      <w:r>
        <w:t xml:space="preserve"> </w:t>
      </w:r>
      <w:r>
        <w:rPr>
          <w:bCs/>
          <w:b/>
        </w:rPr>
        <w:t xml:space="preserve">Extrapolando a 12 meses la guía del 3T26 pasada a ventas</w:t>
      </w:r>
      <w:r>
        <w:t xml:space="preserve"> </w:t>
      </w:r>
      <w:r>
        <w:t xml:space="preserve">(+20,5 % orgánico, más su batida media de +1,7 pp = 22,2 %), sale</w:t>
      </w:r>
      <w:r>
        <w:t xml:space="preserve"> </w:t>
      </w:r>
      <w:r>
        <w:rPr>
          <w:bCs/>
          <w:b/>
        </w:rPr>
        <w:t xml:space="preserve">ponderada +1,4 %</w:t>
      </w:r>
      <w:r>
        <w:t xml:space="preserve">, base +4,1 %, bajista −45,7 % y compra hasta</w:t>
      </w:r>
      <w:r>
        <w:t xml:space="preserve"> </w:t>
      </w:r>
      <w:r>
        <w:rPr>
          <w:bCs/>
          <w:b/>
        </w:rPr>
        <w:t xml:space="preserve">186,5 USD</w:t>
      </w:r>
      <w:r>
        <w:t xml:space="preserve">: también Mantener (en vigilancia).</w:t>
      </w:r>
    </w:p>
    <w:p>
      <w:pPr>
        <w:pStyle w:val="BlockText"/>
      </w:pPr>
      <w:r>
        <w:rPr>
          <w:bCs/>
          <w:b/>
        </w:rPr>
        <w:t xml:space="preserve">Precio actual</w:t>
      </w:r>
      <w:r>
        <w:t xml:space="preserve"> </w:t>
      </w:r>
      <w:r>
        <w:t xml:space="preserve">(regla del usuario): hoy, 14-oct, a las</w:t>
      </w:r>
      <w:r>
        <w:t xml:space="preserve"> </w:t>
      </w:r>
      <w:r>
        <w:rPr>
          <w:bCs/>
          <w:b/>
        </w:rPr>
        <w:t xml:space="preserve">16:39 UTC, 181,31 USD (−6,1 %)</w:t>
      </w:r>
      <w:r>
        <w:t xml:space="preserve"> </w:t>
      </w:r>
      <w:r>
        <w:t xml:space="preserve">(Nasdaq; Yahoo da 181,23 a las 16:38 UTC). Es un día de caída general (Nasdaq-100 −1,7 %, Uber −3,2 %, Grab −4,2 %), sin noticia propia confirmada.</w:t>
      </w:r>
      <w:r>
        <w:t xml:space="preserve"> </w:t>
      </w:r>
      <w:r>
        <w:rPr>
          <w:bCs/>
          <w:b/>
        </w:rPr>
        <w:t xml:space="preserve">Con el mismo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datos.json</w:t>
      </w:r>
      <w:r>
        <w:rPr>
          <w:bCs/>
          <w:b/>
        </w:rPr>
        <w:t xml:space="preserve"> </w:t>
      </w:r>
      <w:r>
        <w:rPr>
          <w:bCs/>
          <w:b/>
        </w:rPr>
        <w:t xml:space="preserve">y solo el precio cambiado</w:t>
      </w:r>
      <w:r>
        <w:t xml:space="preserve"> </w:t>
      </w:r>
      <w:r>
        <w:t xml:space="preserve">(la convención de</w:t>
      </w:r>
      <w:r>
        <w:t xml:space="preserve"> </w:t>
      </w:r>
      <w:r>
        <w:rPr>
          <w:rStyle w:val="VerbatimChar"/>
        </w:rPr>
        <w:t xml:space="preserve">cartera-growth.md</w:t>
      </w:r>
      <w:r>
        <w:t xml:space="preserve">): ponderada</w:t>
      </w:r>
      <w:r>
        <w:t xml:space="preserve"> </w:t>
      </w:r>
      <w:r>
        <w:rPr>
          <w:bCs/>
          <w:b/>
        </w:rPr>
        <w:t xml:space="preserve">+11,1 %</w:t>
      </w:r>
      <w:r>
        <w:t xml:space="preserve">, base +14,1 %, bajista −41,3 %, es decir</w:t>
      </w:r>
      <w:r>
        <w:t xml:space="preserve"> </w:t>
      </w:r>
      <w:r>
        <w:rPr>
          <w:bCs/>
          <w:b/>
        </w:rPr>
        <w:t xml:space="preserve">Comprar (baja)</w:t>
      </w:r>
      <w:r>
        <w:t xml:space="preserve"> </w:t>
      </w:r>
      <w:r>
        <w:t xml:space="preserve">con v7, y +8,0 % (Comprar baja) con la guía extrapolada.</w:t>
      </w:r>
      <w:r>
        <w:t xml:space="preserve"> </w:t>
      </w:r>
      <w:r>
        <w:rPr>
          <w:bCs/>
          <w:b/>
        </w:rPr>
        <w:t xml:space="preserve">Pero</w:t>
      </w:r>
      <w:r>
        <w:t xml:space="preserve"> </w:t>
      </w:r>
      <w:r>
        <w:t xml:space="preserve">si también se rebaja el múltiplo de hoy a 4,0x (el que da ese precio), la ponderada vuelve a +4,4 % y el precio máximo a 180,4 USD. El Comprar de hoy sale solo de una sesión a la baja (sección 13).</w:t>
      </w:r>
    </w:p>
    <w:bookmarkStart w:id="20" w:name="la-tesis-en-cinco-líneas"/>
    <w:p>
      <w:pPr>
        <w:pStyle w:val="Heading2"/>
      </w:pPr>
      <w:r>
        <w:t xml:space="preserve">1. La tesis en cinco líneas</w:t>
      </w:r>
    </w:p>
    <w:p>
      <w:pPr>
        <w:numPr>
          <w:ilvl w:val="0"/>
          <w:numId w:val="1001"/>
        </w:numPr>
        <w:pStyle w:val="Compact"/>
      </w:pPr>
      <w:r>
        <w:t xml:space="preserve">DoorDash es la plataforma de reparto local líder de EE. UU. (restaurantes y, cada vez más, alimentación y tiendas), con Wolt y, desde octubre de 2025, Deliveroo fuera de EE. UU. (~40 países). Factura</w:t>
      </w:r>
      <w:r>
        <w:t xml:space="preserve"> </w:t>
      </w:r>
      <w:r>
        <w:rPr>
          <w:bCs/>
          <w:b/>
        </w:rPr>
        <w:t xml:space="preserve">15.891 M USD en 12 meses</w:t>
      </w:r>
      <w:r>
        <w:t xml:space="preserve"> </w:t>
      </w:r>
      <w:r>
        <w:t xml:space="preserve">y crece</w:t>
      </w:r>
      <w:r>
        <w:t xml:space="preserve"> </w:t>
      </w:r>
      <w:r>
        <w:rPr>
          <w:bCs/>
          <w:b/>
        </w:rPr>
        <w:t xml:space="preserve">+24 % orgánico</w:t>
      </w:r>
      <w:r>
        <w:t xml:space="preserve"> </w:t>
      </w:r>
      <w:r>
        <w:t xml:space="preserve">(+36 % publicado con Deliveroo) a una escala de ~130.000 M USD de GOV anual. Genera</w:t>
      </w:r>
      <w:r>
        <w:t xml:space="preserve"> </w:t>
      </w:r>
      <w:r>
        <w:rPr>
          <w:bCs/>
          <w:b/>
        </w:rPr>
        <w:t xml:space="preserve">2.139 M USD de FCF</w:t>
      </w:r>
      <w:r>
        <w:t xml:space="preserve"> </w:t>
      </w:r>
      <w:r>
        <w:t xml:space="preserve">(13,5 % de las ventas).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es comercio minorista</w:t>
      </w:r>
      <w:r>
        <w:t xml:space="preserve">: no compra ni vende mercancía (salvo DashMart, pequeño, de memoria). Cobra una comisión por conectar comercios, clientes y repartidores y por la logística. Es una plataforma de servicios, como Uber Eats.</w:t>
      </w:r>
    </w:p>
    <w:p>
      <w:pPr>
        <w:numPr>
          <w:ilvl w:val="0"/>
          <w:numId w:val="1001"/>
        </w:numPr>
        <w:pStyle w:val="Compact"/>
      </w:pPr>
      <w:r>
        <w:t xml:space="preserve">La percepción está rota:</w:t>
      </w:r>
      <w:r>
        <w:t xml:space="preserve"> </w:t>
      </w:r>
      <w:r>
        <w:rPr>
          <w:bCs/>
          <w:b/>
        </w:rPr>
        <w:t xml:space="preserve">−29 % en 12 meses</w:t>
      </w:r>
      <w:r>
        <w:t xml:space="preserve">. Le pesan cuatro golpes: el plan de inversión de noviembre de 2025 (−17 % en un día), la caída hasta 146,6 USD en marzo, el miedo a los agentes de IA en septiembre (−16 % en un mes) y la consolidación de Uber (Delivery Hero, ezCater). Solo</w:t>
      </w:r>
      <w:r>
        <w:t xml:space="preserve"> </w:t>
      </w:r>
      <w:r>
        <w:rPr>
          <w:bCs/>
          <w:b/>
        </w:rPr>
        <w:t xml:space="preserve">3 de 8 señales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El negocio no está roto: cumple la guía todos los trimestres, el EBITDA del 2T batió su rango y el FCF sube un 25 %.</w:t>
      </w:r>
      <w:r>
        <w:t xml:space="preserve"> </w:t>
      </w:r>
      <w:r>
        <w:rPr>
          <w:bCs/>
          <w:b/>
        </w:rPr>
        <w:t xml:space="preserve">Pero no está barato para lo que crece</w:t>
      </w:r>
      <w:r>
        <w:t xml:space="preserve">: 4,3x ventas NTM, ~26x EBITDA ajustado y PER GAAP ~100. La regla deja la ponderada en</w:t>
      </w:r>
      <w:r>
        <w:t xml:space="preserve"> </w:t>
      </w:r>
      <w:r>
        <w:rPr>
          <w:bCs/>
          <w:b/>
        </w:rPr>
        <w:t xml:space="preserve">+4,4 %</w:t>
      </w:r>
      <w:r>
        <w:t xml:space="preserve">, a 0,6 puntos del listón del 5 %, con un</w:t>
      </w:r>
      <w:r>
        <w:t xml:space="preserve"> </w:t>
      </w:r>
      <w:r>
        <w:rPr>
          <w:bCs/>
          <w:b/>
        </w:rPr>
        <w:t xml:space="preserve">bajista de −45 %</w:t>
      </w:r>
      <w:r>
        <w:t xml:space="preserve"> </w:t>
      </w:r>
      <w:r>
        <w:t xml:space="preserve">(asimetría de 1,1).</w:t>
      </w:r>
    </w:p>
    <w:p>
      <w:pPr>
        <w:numPr>
          <w:ilvl w:val="0"/>
          <w:numId w:val="1001"/>
        </w:numPr>
        <w:pStyle w:val="Compact"/>
      </w:pPr>
      <w:r>
        <w:t xml:space="preserve">Conclusión:</w:t>
      </w:r>
      <w:r>
        <w:t xml:space="preserve"> </w:t>
      </w:r>
      <w:r>
        <w:rPr>
          <w:bCs/>
          <w:b/>
        </w:rPr>
        <w:t xml:space="preserve">Mantener en vigilancia; no entra en un bolsillo lleno</w:t>
      </w:r>
      <w:r>
        <w:t xml:space="preserve">. Además duplica la exposición que el usuario ya tiene en</w:t>
      </w:r>
      <w:r>
        <w:t xml:space="preserve"> </w:t>
      </w:r>
      <w:r>
        <w:rPr>
          <w:bCs/>
          <w:b/>
        </w:rPr>
        <w:t xml:space="preserve">Uber</w:t>
      </w:r>
      <w:r>
        <w:t xml:space="preserve"> </w:t>
      </w:r>
      <w:r>
        <w:t xml:space="preserve">(reparto, ciclo, regulación de repartidores, autónomos), y el usuario descartó Duolingo justo por miedo al ciclo y a la IA. Se revisa con los resultados del 3T (4-nov).</w:t>
      </w:r>
    </w:p>
    <w:bookmarkEnd w:id="20"/>
    <w:bookmarkStart w:id="21" w:name="negocio-y-tecnología"/>
    <w:p>
      <w:pPr>
        <w:pStyle w:val="Heading2"/>
      </w:pPr>
      <w:r>
        <w:t xml:space="preserve">2. Negocio y tecnología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Marketplaces</w:t>
      </w:r>
      <w:r>
        <w:t xml:space="preserve"> </w:t>
      </w:r>
      <w:r>
        <w:t xml:space="preserve">(DoorDash en EE. UU. y otros países, Wolt en el norte y el este de Europa, Deliveroo en Reino Unido, Francia, Italia, Oriente Medio y Asia): el cliente pide y un repartidor independiente («Dasher») recoge y entrega. DoorDash cobra comisión al comercio (en torno al 15-30 %, de memoria) y tarifas de envío y servicio al cliente. Paga al repartidor. Le queda el</w:t>
      </w:r>
      <w:r>
        <w:t xml:space="preserve"> </w:t>
      </w:r>
      <w:r>
        <w:rPr>
          <w:bCs/>
          <w:b/>
        </w:rPr>
        <w:t xml:space="preserve">13,5 % del GOV</w:t>
      </w:r>
      <w:r>
        <w:t xml:space="preserve"> </w:t>
      </w:r>
      <w:r>
        <w:t xml:space="preserve">como ingresos [1].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Suscripciones</w:t>
      </w:r>
      <w:r>
        <w:t xml:space="preserve">: DashPass, Wolt+ y Deliveroo Plus, más de</w:t>
      </w:r>
      <w:r>
        <w:t xml:space="preserve"> </w:t>
      </w:r>
      <w:r>
        <w:rPr>
          <w:bCs/>
          <w:b/>
        </w:rPr>
        <w:t xml:space="preserve">35 millones de socios</w:t>
      </w:r>
      <w:r>
        <w:t xml:space="preserve"> </w:t>
      </w:r>
      <w:r>
        <w:t xml:space="preserve">a final de 2025. Bajan las tarifas a cambio de frecuencia: en el 2T26 los socios hicieron ~75 % de los pedidos de alimentación y tiendas en EE. UU. [1][2].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Plataforma para comercios</w:t>
      </w:r>
      <w:r>
        <w:t xml:space="preserve"> </w:t>
      </w:r>
      <w:r>
        <w:t xml:space="preserve">(Commerce Platform): Drive (reparto para el canal propio del comercio), pedidos online propios (150.000 comercios, +40 %), SevenRooms (reservas y CRM de restauración, comprada en 2025; locales nuevos +100 %), publicidad (Symbiosys) [1].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Tecnología 3/5</w:t>
      </w:r>
      <w:r>
        <w:t xml:space="preserve">: logística muy optimizada (asignación, rutas, predicción) con datos de ~1.000 M de pedidos por trimestre, más efecto red local (más comercios atraen más clientes y repartidores, y bajan los tiempos). Pero</w:t>
      </w:r>
      <w:r>
        <w:t xml:space="preserve"> </w:t>
      </w:r>
      <w:r>
        <w:rPr>
          <w:bCs/>
          <w:b/>
        </w:rPr>
        <w:t xml:space="preserve">Uber Eats lo replica</w:t>
      </w:r>
      <w:r>
        <w:t xml:space="preserve"> </w:t>
      </w:r>
      <w:r>
        <w:t xml:space="preserve">en casi todos los mercados: es un buen producto con alternativas. Lo nuevo es el asistente «Ask», el agente de pedidos en Mensajes de Apple (30-sep), dd-cli para agentes de IA, el robot de reparto</w:t>
      </w:r>
      <w:r>
        <w:t xml:space="preserve"> </w:t>
      </w:r>
      <w:r>
        <w:rPr>
          <w:bCs/>
          <w:b/>
        </w:rPr>
        <w:t xml:space="preserve">Dot</w:t>
      </w:r>
      <w:r>
        <w:t xml:space="preserve"> </w:t>
      </w:r>
      <w:r>
        <w:t xml:space="preserve">y DoorDash Air (drones con licencia FAA Part 135) [1][10].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Posición 5/5</w:t>
      </w:r>
      <w:r>
        <w:t xml:space="preserve">: líder claro en EE. UU. (en torno a dos tercios del reparto de comida, de memoria [13]), con crecimiento de nuevos clientes y de la frecuencia de las cohortes antiguas. Fuera de EE. UU. es nº 1 o 2 en la mayoría de países de Wolt y Deliveroo.</w:t>
      </w:r>
    </w:p>
    <w:bookmarkEnd w:id="21"/>
    <w:bookmarkStart w:id="22" w:name="crecimiento"/>
    <w:p>
      <w:pPr>
        <w:pStyle w:val="Heading2"/>
      </w:pPr>
      <w:r>
        <w:t xml:space="preserve">3. Crecimiento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Trimestre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Pedidos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Ingresos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 publicado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 sin Deliveroo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Beneficio bruto GAAP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 ajustado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24.244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29.683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Guía 3T26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33.000-34.000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~4.520 (cálculo)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~+31 %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~+20 %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950-1.100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Fuentes: [1][2][3]. Ingresos sin Deliveroo: 3.608 (4T25), 3.674 (1T26), 4.071 (2T26) M USD.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Ejercicio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Ingresos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(M 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10.722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27,9 % (24,7 % sin Deliveroo)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1.826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12 meses</w:t>
      </w:r>
      <w:r>
        <w:t xml:space="preserve"> </w:t>
      </w:r>
      <w:r>
        <w:t xml:space="preserve">(3T25-2T26):</w:t>
      </w:r>
      <w:r>
        <w:t xml:space="preserve"> </w:t>
      </w:r>
      <w:r>
        <w:rPr>
          <w:bCs/>
          <w:b/>
        </w:rPr>
        <w:t xml:space="preserve">15.891 M USD</w:t>
      </w:r>
      <w:r>
        <w:t xml:space="preserve">;</w:t>
      </w:r>
      <w:r>
        <w:t xml:space="preserve"> </w:t>
      </w:r>
      <w:r>
        <w:rPr>
          <w:bCs/>
          <w:b/>
        </w:rPr>
        <w:t xml:space="preserve">+24,4 % sin Deliveroo</w:t>
      </w:r>
      <w:r>
        <w:t xml:space="preserve"> </w:t>
      </w:r>
      <w:r>
        <w:t xml:space="preserve">(14.799 frente a 11.895 M) y +33,6 % publicado.</w:t>
      </w:r>
      <w:r>
        <w:t xml:space="preserve"> </w:t>
      </w:r>
      <w:r>
        <w:rPr>
          <w:bCs/>
          <w:b/>
        </w:rPr>
        <w:t xml:space="preserve">CAGR propio a 2 años: 24,1 %</w:t>
      </w:r>
      <w:r>
        <w:t xml:space="preserve"> </w:t>
      </w:r>
      <w:r>
        <w:t xml:space="preserve">orgánico (28,6 % publicado).</w:t>
      </w:r>
      <w:r>
        <w:t xml:space="preserve"> </w:t>
      </w:r>
      <w:r>
        <w:rPr>
          <w:bCs/>
          <w:b/>
        </w:rPr>
        <w:t xml:space="preserve">Aceleración: −0,8 pp</w:t>
      </w:r>
      <w:r>
        <w:t xml:space="preserve"> </w:t>
      </w:r>
      <w:r>
        <w:t xml:space="preserve">(+24,0 % frente a una media de +24,8 % en los cuatro anteriores; con Deliveroo saldría +4,9 pp, un espejismo).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Motor del crecimiento</w:t>
      </w:r>
      <w:r>
        <w:t xml:space="preserve">: los pedidos sin Deliveroo crecen un +17 % (nuevos clientes y frecuencia) y el GOV un +23 %, por el ticket medio y por la alimentación y las tiendas. El restaurante de EE. UU. aceleró «ligeramente» en el 2T y crece como en 2022.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Retención neta</w:t>
      </w:r>
      <w:r>
        <w:t xml:space="preserve">: no aplica ni se publica (</w:t>
      </w:r>
      <w:r>
        <w:rPr>
          <w:rStyle w:val="VerbatimChar"/>
        </w:rPr>
        <w:t xml:space="preserve">nrr_pct</w:t>
      </w:r>
      <w:r>
        <w:t xml:space="preserve"> </w:t>
      </w:r>
      <w:r>
        <w:t xml:space="preserve">= null). Lo que da la empresa son cohortes: la frecuencia de pedido de las cohortes antiguas sigue subiendo.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Guía</w:t>
      </w:r>
      <w:r>
        <w:t xml:space="preserve">:</w:t>
      </w:r>
      <w:r>
        <w:t xml:space="preserve"> </w:t>
      </w:r>
      <w:r>
        <w:rPr>
          <w:bCs/>
          <w:b/>
        </w:rPr>
        <w:t xml:space="preserve">solo trimestral, en GOV y EBITDA ajustado</w:t>
      </w:r>
      <w:r>
        <w:t xml:space="preserve">; no guía ingresos ni el año.</w:t>
      </w:r>
      <w:r>
        <w:t xml:space="preserve"> </w:t>
      </w:r>
      <w:r>
        <w:rPr>
          <w:bCs/>
          <w:b/>
        </w:rPr>
        <w:t xml:space="preserve">Paso a ventas</w:t>
      </w:r>
      <w:r>
        <w:t xml:space="preserve">: 3T26 GOV 33.500 M (punto medio) × 13,5 % = ~4.520 M de ingresos (+31 % publicado). Sin Deliveroo (~3.300 M de GOV por trimestre), el GOV orgánico guiado crece ~+20,7 %. Los ingresos orgánicos han crecido al ritmo del GOV (±1-3 pp), así que la guía en ventas ≈</w:t>
      </w:r>
      <w:r>
        <w:t xml:space="preserve"> </w:t>
      </w:r>
      <w:r>
        <w:rPr>
          <w:bCs/>
          <w:b/>
        </w:rPr>
        <w:t xml:space="preserve">+20,5 % orgánico</w:t>
      </w:r>
      <w:r>
        <w:t xml:space="preserve">: un frenazo frente al +24 % del 2T.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Batida sobre la guía</w:t>
      </w:r>
      <w:r>
        <w:t xml:space="preserve"> </w:t>
      </w:r>
      <w:r>
        <w:t xml:space="preserve">(</w:t>
      </w:r>
      <w:r>
        <w:rPr>
          <w:rStyle w:val="VerbatimChar"/>
        </w:rPr>
        <w:t xml:space="preserve">exceso_guia_pp</w:t>
      </w:r>
      <w:r>
        <w:t xml:space="preserve"> </w:t>
      </w:r>
      <w:r>
        <w:t xml:space="preserve">= 1,7): GOV real frente al punto medio guiado, en puntos de crecimiento: +2,8 (3T25), +2,3 (4T25), +0,9 (1T26) y +0,7 (2T26).</w:t>
      </w:r>
      <w:r>
        <w:t xml:space="preserve"> </w:t>
      </w:r>
      <w:r>
        <w:rPr>
          <w:bCs/>
          <w:b/>
        </w:rPr>
        <w:t xml:space="preserve">Mengua</w:t>
      </w:r>
      <w:r>
        <w:t xml:space="preserve">: en febrero la empresa avisó de que, después de batir siempre el máximo del rango, su plan ya lo situaba dentro, y así fue en el 1T y el 2T [2].</w:t>
      </w:r>
    </w:p>
    <w:bookmarkEnd w:id="22"/>
    <w:bookmarkStart w:id="27" w:name="mercado-y-competencia"/>
    <w:p>
      <w:pPr>
        <w:pStyle w:val="Heading2"/>
      </w:pPr>
      <w:r>
        <w:t xml:space="preserve">4. Mercado y competencia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Mercado alcanzable: ~100.000 M USD de ingresos en 2028</w:t>
      </w:r>
      <w:r>
        <w:t xml:space="preserve"> </w:t>
      </w:r>
      <w:r>
        <w:t xml:space="preserve">(estimación propia de memoria [13]): reparto local de restaurantes, alimentación y tiendas en sus ~40 países, a una comisión neta del ~13 % sobre un GOV posible de ~750.000 M.</w:t>
      </w:r>
      <w:r>
        <w:t xml:space="preserve"> </w:t>
      </w:r>
      <w:r>
        <w:rPr>
          <w:bCs/>
          <w:b/>
        </w:rPr>
        <w:t xml:space="preserve">Penetración: 15,9 %</w:t>
      </w:r>
      <w:r>
        <w:t xml:space="preserve">. Es la cifra más blanda del informe; con un mercado de 60.000 M la penetración sería del 26 % y la puntuación bajaría 1,3 puntos.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Rivales</w:t>
      </w:r>
      <w:r>
        <w:t xml:space="preserve">: en EE. UU.,</w:t>
      </w:r>
      <w:r>
        <w:t xml:space="preserve"> </w:t>
      </w:r>
      <w:r>
        <w:rPr>
          <w:bCs/>
          <w:b/>
        </w:rPr>
        <w:t xml:space="preserve">Uber Eats</w:t>
      </w:r>
      <w:r>
        <w:t xml:space="preserve"> </w:t>
      </w:r>
      <w:r>
        <w:t xml:space="preserve">(nº 2, que el usuario tiene en cartera vía Uber), Instacart en alimentación, Amazon (alimentación en el día, Grubhub con Prime en el pasado) y los canales propios de las cadenas. Fuera, Uber +</w:t>
      </w:r>
      <w:r>
        <w:t xml:space="preserve"> </w:t>
      </w:r>
      <w:r>
        <w:rPr>
          <w:bCs/>
          <w:b/>
        </w:rPr>
        <w:t xml:space="preserve">Delivery Hero</w:t>
      </w:r>
      <w:r>
        <w:t xml:space="preserve"> </w:t>
      </w:r>
      <w:r>
        <w:t xml:space="preserve">(OPA de ~14.800 M USD, cierre en el 2S27 [8]), Just Eat Takeaway (de Prosus) y Glovo. En el 10-Q, DoorDash cita a Amazon, Uber Eats, Prosus y Delivery Hero [4].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Por qué gana</w:t>
      </w:r>
      <w:r>
        <w:t xml:space="preserve">: densidad en los suburbios y ciudades medianas de EE. UU. (más rentables que los grandes centros), DashPass y una ejecución operativa muy disciplinada. La compra de Deliveroo le da escala internacional para repartir el coste de la plataforma tecnológica única (1S27).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Comparables</w:t>
      </w:r>
      <w:r>
        <w:t xml:space="preserve"> </w:t>
      </w:r>
      <w:r>
        <w:t xml:space="preserve">(EV/ventas de 12 meses, 8-oct [8]): Instacart 2,45x, Grab 2,96x, Lyft 0,74x y Uber ~3x (de memoria). Mediana tomada:</w:t>
      </w:r>
      <w:r>
        <w:t xml:space="preserve"> </w:t>
      </w:r>
      <w:r>
        <w:rPr>
          <w:bCs/>
          <w:b/>
        </w:rPr>
        <w:t xml:space="preserve">2,7x</w:t>
      </w:r>
      <w:r>
        <w:t xml:space="preserve">, frente a 5,1x de DoorDash. La prima se explica porque crece el doble que Uber en reparto y en el EBITDA, pero deja poco margen.</w:t>
      </w:r>
    </w:p>
    <w:bookmarkStart w:id="23" w:name="X319e0f3e1ceebbfd9f39afcf48fa960ccd40730"/>
    <w:p>
      <w:pPr>
        <w:pStyle w:val="Heading3"/>
      </w:pPr>
      <w:r>
        <w:t xml:space="preserve">Ciclo de consumo (la preocupación del usuario)</w:t>
      </w:r>
    </w:p>
    <w:p>
      <w:pPr>
        <w:pStyle w:val="FirstParagraph"/>
      </w:pPr>
      <w:r>
        <w:rPr>
          <w:bCs/>
          <w:b/>
        </w:rPr>
        <w:t xml:space="preserve">DoorDash es más cíclica que el software y algo más que Toast.</w:t>
      </w:r>
      <w:r>
        <w:t xml:space="preserve"> </w:t>
      </w:r>
      <w:r>
        <w:t xml:space="preserve">Pedir a domicilio es un gasto discrecional, de conveniencia, con tarifas altas (comisión + envío + servicio + propina). En una recesión, el cliente reduce primero la frecuencia y el tamaño del pedido, y la empresa lo dice en cada guía: «el gasto del consumidor podría deteriorarse» [1]. Sensibilidades concretas: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Precio de la gasolina</w:t>
      </w:r>
      <w:r>
        <w:t xml:space="preserve">: en el 2T26 financió un «programa de alivio de la gasolina» a los repartidores de más de 50 M USD [2]. Un repunte del petróleo sube el coste por pedido.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Seguros y costes regulados</w:t>
      </w:r>
      <w:r>
        <w:t xml:space="preserve">: suben cada año (aviso del 4T).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Atenuantes</w:t>
      </w:r>
      <w:r>
        <w:t xml:space="preserve">: (1) en 2022-2023, con inflación alta y tipos al alza, siguió creciendo por encima del 20 % (de memoria); (2) el crecimiento viene de clientes nuevos y de la frecuencia de los socios de DashPass, que crece con la antigüedad de la cohorte; (3) la alimentación y las tiendas (~30 % de los usuarios mensuales de EE. UU.) son menos discrecionales; (4) es muy internacional (40 países), lo que diversifica el ciclo de EE. UU.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Comparación con Toast</w:t>
      </w:r>
      <w:r>
        <w:t xml:space="preserve">: Toast cobra sobre todo el gasto del restaurante (también en el local) y crece abriendo locales, así que una recesión la frenaría hacia +15 %. DoorDash depende del gasto más prescindible (la conveniencia), pero con más palancas de frecuencia.</w:t>
      </w:r>
      <w:r>
        <w:t xml:space="preserve"> </w:t>
      </w:r>
      <w:r>
        <w:rPr>
          <w:bCs/>
          <w:b/>
        </w:rPr>
        <w:t xml:space="preserve">Conclusión: riesgo cíclico medio-alto.</w:t>
      </w:r>
      <w:r>
        <w:t xml:space="preserve"> </w:t>
      </w:r>
      <w:r>
        <w:t xml:space="preserve">El bajista de la regla (−45 %, volver a 2,3x ventas, cerca del mínimo de 3 años de 2,8x) es justo lo que pasó en 2022 y en marzo de 2026 (−46 % desde el máximo).</w:t>
      </w:r>
    </w:p>
    <w:bookmarkEnd w:id="23"/>
    <w:bookmarkStart w:id="24" w:name="regulación-laboral-de-los-repartidores"/>
    <w:p>
      <w:pPr>
        <w:pStyle w:val="Heading3"/>
      </w:pPr>
      <w:r>
        <w:t xml:space="preserve">Regulación laboral de los repartidores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EE. UU.</w:t>
      </w:r>
      <w:r>
        <w:t xml:space="preserve">: la Proposición 22 de California mantiene a los repartidores como independientes con mínimos de pago. Nueva York exige</w:t>
      </w:r>
      <w:r>
        <w:t xml:space="preserve"> </w:t>
      </w:r>
      <w:r>
        <w:rPr>
          <w:bCs/>
          <w:b/>
        </w:rPr>
        <w:t xml:space="preserve">22,13 USD/hora</w:t>
      </w:r>
      <w:r>
        <w:t xml:space="preserve"> </w:t>
      </w:r>
      <w:r>
        <w:t xml:space="preserve">antes de propinas (abr-2026), y DoorDash subió hasta 0,50 USD por pedido en tarifas; en septiembre reconoció pagos atrasados a repartidores de NY [10]. Seattle tiene un mínimo por encargo. Cada nuevo mínimo encarece el pedido y baja la demanda (lo dice el 10-Q [4]).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Europa</w:t>
      </w:r>
      <w:r>
        <w:t xml:space="preserve">: la</w:t>
      </w:r>
      <w:r>
        <w:t xml:space="preserve"> </w:t>
      </w:r>
      <w:r>
        <w:rPr>
          <w:bCs/>
          <w:b/>
        </w:rPr>
        <w:t xml:space="preserve">Directiva europea de trabajo en plataformas</w:t>
      </w:r>
      <w:r>
        <w:t xml:space="preserve"> </w:t>
      </w:r>
      <w:r>
        <w:t xml:space="preserve">(en vigor desde dic-2024, transposición nacional hasta dic-2026) puede presumir la relación laboral. El 10-Q lo señala como riesgo para su modelo de independientes en el Espacio Económico Europeo [4]: afecta a Wolt y a la parte europea de Deliveroo (Francia, Italia, Bélgica…). Reino Unido (el mayor mercado de Deliveroo) no está en la UE y su Supremo avaló en 2023 a los repartidores autónomos de Deliveroo (de memoria).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Australia</w:t>
      </w:r>
      <w:r>
        <w:t xml:space="preserve">: orden de estándares mínimos desde el 17-ago-2026 [10].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Competencia</w:t>
      </w:r>
      <w:r>
        <w:t xml:space="preserve">: Uber demandó a DoorDash en 2025 por prácticas anticompetitivas (exclusivas con comercios) [4]. En marzo de 2026, un proyecto de ley del Senado de EE. UU. contra los acuerdos especiales con grandes cadenas le costó un −4 % en un día [10].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Lectura</w:t>
      </w:r>
      <w:r>
        <w:t xml:space="preserve">: es un riesgo de costes continuo, no de existencia. La empresa lo traslada a precios y tiene escala para absorberlo mejor que los rivales pequeños, pero es la misma exposición que ya tiene el usuario con Uber.</w:t>
      </w:r>
    </w:p>
    <w:bookmarkEnd w:id="24"/>
    <w:bookmarkStart w:id="25" w:name="la-compra-de-deliveroo"/>
    <w:p>
      <w:pPr>
        <w:pStyle w:val="Heading3"/>
      </w:pPr>
      <w:r>
        <w:t xml:space="preserve">La compra de Deliveroo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Precio</w:t>
      </w:r>
      <w:r>
        <w:t xml:space="preserve">: 3.724 M USD en caja (2-oct-2025), con 1.987 M de fondo de comercio y ~450 M al año de amortización de intangibles, que hunde el beneficio GAAP [4].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Lo que aporta</w:t>
      </w:r>
      <w:r>
        <w:t xml:space="preserve">: ~380 M USD de ingresos por trimestre (+10 % al grupo), ~200 M de EBITDA en 2026 (lo que se esperaba al comprarla) y aceleración de pedidos y usuarios en Reino Unido, Francia e Italia; en el 2T superó lo previsto [1][2].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Riesgos</w:t>
      </w:r>
      <w:r>
        <w:t xml:space="preserve">: integración en la plataforma tecnológica única (1S27); Reino Unido y Francia son mercados maduros con Uber Eats y Just Eat. La empresa invierte para recuperar cuota (por eso Deliveroo aportó menos de 25 M de EBITDA en el 1T26). Y</w:t>
      </w:r>
      <w:r>
        <w:t xml:space="preserve"> </w:t>
      </w:r>
      <w:r>
        <w:rPr>
          <w:bCs/>
          <w:b/>
        </w:rPr>
        <w:t xml:space="preserve">el crecimiento publicado se inflará hasta el 3T26 y caerá de golpe al orgánico (~+20 %) en el 4T26</w:t>
      </w:r>
      <w:r>
        <w:t xml:space="preserve">: el mercado lo sabe, pero los titulares de «crecimiento que frena» llegarán en febrero de 2027.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Valoración</w:t>
      </w:r>
      <w:r>
        <w:t xml:space="preserve">: compra razonable (~1,5x ventas, muy por debajo de DoorDash), financiada sin ampliar capital (bonos convertibles de 2.750 M al 0 % con conversión a 292 USD). Suma diversificación geográfica (menos ciclo de EE. UU.), pero también regulación europea.</w:t>
      </w:r>
    </w:p>
    <w:bookmarkEnd w:id="25"/>
    <w:bookmarkStart w:id="26" w:name="riesgo-de-ia-y-vehículos-autónomos"/>
    <w:p>
      <w:pPr>
        <w:pStyle w:val="Heading3"/>
      </w:pPr>
      <w:r>
        <w:t xml:space="preserve">Riesgo de IA y vehículos autónomos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Agentes de IA</w:t>
      </w:r>
      <w:r>
        <w:t xml:space="preserve"> </w:t>
      </w:r>
      <w:r>
        <w:t xml:space="preserve">(el miedo de septiembre): si ChatGPT, Gemini o Siri piden directamente al restaurante, DoorDash podría perder la relación con el cliente y la comisión de «descubrimiento».</w:t>
      </w:r>
      <w:r>
        <w:t xml:space="preserve"> </w:t>
      </w:r>
      <w:r>
        <w:rPr>
          <w:bCs/>
          <w:b/>
        </w:rPr>
        <w:t xml:space="preserve">Defensa</w:t>
      </w:r>
      <w:r>
        <w:t xml:space="preserve">: el valor está en la ejecución física (repartidor, tiempos, reclamaciones), no en el menú. DoorDash se ofrece como la capa de pedidos de esos agentes: app en ChatGPT, agente en Mensajes de Apple, dd-cli. Tony Xu los compara con «los nuevos Google»: un canal de captación, no un sustituto [10].</w:t>
      </w:r>
      <w:r>
        <w:t xml:space="preserve"> </w:t>
      </w:r>
      <w:r>
        <w:rPr>
          <w:bCs/>
          <w:b/>
        </w:rPr>
        <w:t xml:space="preserve">Riesgo real a medio plazo</w:t>
      </w:r>
      <w:r>
        <w:t xml:space="preserve">: si el agente es el canal, se lleva parte del margen, como Google con las agencias de viajes.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Autónomos</w:t>
      </w:r>
      <w:r>
        <w:t xml:space="preserve">: robots de acera, drones y coches sin conductor (Waymo, Tesla, Zoox) pueden</w:t>
      </w:r>
      <w:r>
        <w:t xml:space="preserve"> </w:t>
      </w:r>
      <w:r>
        <w:rPr>
          <w:bCs/>
          <w:b/>
        </w:rPr>
        <w:t xml:space="preserve">bajar el coste por pedido</w:t>
      </w:r>
      <w:r>
        <w:t xml:space="preserve">, que hoy es sobre todo el repartidor (la mayor partida del coste). DoorDash invierte (Dot, DoorDash Air) y prevé que Dot haga «un porcentaje de un dígito alto» de los pedidos en su mayor mercado de prueba a final de año [1]. Pero el autónomo</w:t>
      </w:r>
      <w:r>
        <w:t xml:space="preserve"> </w:t>
      </w:r>
      <w:r>
        <w:rPr>
          <w:bCs/>
          <w:b/>
        </w:rPr>
        <w:t xml:space="preserve">también baja la barrera de entrada</w:t>
      </w:r>
      <w:r>
        <w:t xml:space="preserve">: Amazon, Waymo o Uber podrían repartir sin red de repartidores. En reparto, la densidad de pedidos (donde DoorDash es líder) sigue siendo la ventaja: el autónomo hace más rentable al que más pedidos concentra.</w:t>
      </w:r>
      <w:r>
        <w:t xml:space="preserve"> </w:t>
      </w:r>
      <w:r>
        <w:rPr>
          <w:bCs/>
          <w:b/>
        </w:rPr>
        <w:t xml:space="preserve">Pesa menos que en Uber</w:t>
      </w:r>
      <w:r>
        <w:t xml:space="preserve"> </w:t>
      </w:r>
      <w:r>
        <w:t xml:space="preserve">(en reparto el autónomo sustituye un coste; en viajes amenaza el producto), pero suma incertidumbre a 5-10 años.</w:t>
      </w:r>
    </w:p>
    <w:bookmarkEnd w:id="26"/>
    <w:bookmarkEnd w:id="27"/>
    <w:bookmarkStart w:id="28" w:name="cambio-de-tendencia"/>
    <w:p>
      <w:pPr>
        <w:pStyle w:val="Heading2"/>
      </w:pPr>
      <w:r>
        <w:t xml:space="preserve">5. Cambio de tendencia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Revisiones al alza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Mixtas. El EBITDA del 2T batió la guía y la del 3T queda por encima del consenso; BofA sube a 275 y Wells Fargo a 230 (5-oct). Pero Cantor baja de 260 a 240 (12-oct) y el consenso de precio objetivo cae de ~262 (feb) a ~259 (jul).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[1][9]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sobre la media de 200 sesiones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193,09 sobre 185,42 (+4 %), pero la media sigue bajando: 221 (abr) → 196 (jul) → 185 (oct). Hoy, a 181, está por debajo.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Fuerza relativa a 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(por la mínima)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+21,0 % frente a +20,4 % del Nasdaq-100 y +13,3 % del S&amp;P 500. Al precio de hoy dejaría de cumplirse (+13,6 % frente a ~+18 %).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Mejora del múltiplo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EV/ventas NTM de ~3,4x (146,60 USD, 27-mar) a ~4,3x (+28 %), por debajo de su mediana de 3 años (~4,6x).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[6][12]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Inflexión 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operativo GAAP de 12 meses del 4,5 %, igual que hace un año (amortización de Deliveroo). FCF en alza (+25 %), pero ya era positivo.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[1][3]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Sentimiento mejorando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Empeora: −16 % en septiembre por los agentes de IA, la consolidación de Uber, investigaciones de despachos de abogados y la demanda por la tarifa de DashPass.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[9][10][11]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Compras de directivos o institucionales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 ventas (planes de los fundadores Xu y Tang, directivos) frente a dos compras de 20 acciones de un consejero.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Catalizador nuevo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3T el 4-nov; la alimentación y las tiendas, rentables en el 2S26; plataforma única en el 1S27; Dot y drones; agentes de pedidos.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[1][2][10]</w:t>
            </w:r>
          </w:p>
        </w:tc>
      </w:tr>
    </w:tbl>
    <w:p>
      <w:pPr>
        <w:pStyle w:val="BodyText"/>
      </w:pPr>
      <w:r>
        <w:rPr>
          <w:bCs/>
          <w:b/>
        </w:rPr>
        <w:t xml:space="preserve">Euforia: no.</w:t>
      </w:r>
      <w:r>
        <w:t xml:space="preserve"> </w:t>
      </w:r>
      <w:r>
        <w:t xml:space="preserve">Ha caído un −29 % en 12 meses y cotiza a 8,8x el beneficio bruto NTM.</w:t>
      </w:r>
    </w:p>
    <w:bookmarkEnd w:id="28"/>
    <w:bookmarkStart w:id="29" w:name="X6a3ced9ea5ed5bb9ac58f5e7c1bb09ad4718b77"/>
    <w:p>
      <w:pPr>
        <w:pStyle w:val="Heading2"/>
      </w:pPr>
      <w:r>
        <w:t xml:space="preserve">6. Economía unitaria y camino a la rentabilidad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Margen bruto GAAP: 48,9 %</w:t>
      </w:r>
      <w:r>
        <w:t xml:space="preserve"> </w:t>
      </w:r>
      <w:r>
        <w:t xml:space="preserve">en 12 meses (7.767 / 15.891). Es el que publica la empresa: ingresos − coste de los ingresos − amortización asociada. Sobre el GOV, 6,7 % en el 2T.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FCF de 12 meses: 2.139 M USD</w:t>
      </w:r>
      <w:r>
        <w:t xml:space="preserve">, el</w:t>
      </w:r>
      <w:r>
        <w:t xml:space="preserve"> </w:t>
      </w:r>
      <w:r>
        <w:rPr>
          <w:bCs/>
          <w:b/>
        </w:rPr>
        <w:t xml:space="preserve">13,5 % de las ventas</w:t>
      </w:r>
      <w:r>
        <w:t xml:space="preserve"> </w:t>
      </w:r>
      <w:r>
        <w:t xml:space="preserve">(1.713 M un año antes). Aviso de la empresa: en 2026, el calendario de pagos a comercios de fin de año restará entre 700 y 800 M al FCF publicado [1].</w:t>
      </w:r>
      <w:r>
        <w:t xml:space="preserve"> </w:t>
      </w:r>
      <w:r>
        <w:rPr>
          <w:bCs/>
          <w:b/>
        </w:rPr>
        <w:t xml:space="preserve">Ojo</w:t>
      </w:r>
      <w:r>
        <w:t xml:space="preserve">: el FCF no resta los pagos en acciones (~1.110 M en 12 meses). Restándolos, el FCF «del accionista» es ~1.000 M (6-7 % de las ventas).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Regla del 40: 24,4 + 13,5 = 37,9</w:t>
      </w:r>
      <w:r>
        <w:t xml:space="preserve"> </w:t>
      </w:r>
      <w:r>
        <w:t xml:space="preserve">(2 de 5 puntos).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Rentabilidad</w:t>
      </w:r>
      <w:r>
        <w:t xml:space="preserve">:</w:t>
      </w:r>
      <w:r>
        <w:t xml:space="preserve"> </w:t>
      </w:r>
      <w:r>
        <w:rPr>
          <w:bCs/>
          <w:b/>
        </w:rPr>
        <w:t xml:space="preserve">FCF creciente</w:t>
      </w:r>
      <w:r>
        <w:t xml:space="preserve">. El beneficio neto GAAP de 12 meses es de 841 M (5,3 % de las ventas), a la baja por la amortización de Deliveroo. El EBITDA ajustado de 12 meses es de 3.202 M (+30 %; 2,7 % del GOV).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Apalancamiento operativo</w:t>
      </w:r>
      <w:r>
        <w:t xml:space="preserve">: limitado a propósito. La dirección reinvierte (plataforma global, autónomos, internacional, alimentación); en el 2T, la I+D crece +52 % y los gastos generales +39 %, por encima de los ingresos (+36 %). El EBITDA sobre GOV sube despacio (2,7 % → 2,8 %).</w:t>
      </w:r>
    </w:p>
    <w:bookmarkEnd w:id="29"/>
    <w:bookmarkStart w:id="30" w:name="caja-deuda-y-dilución"/>
    <w:p>
      <w:pPr>
        <w:pStyle w:val="Heading2"/>
      </w:pPr>
      <w:r>
        <w:t xml:space="preserve">7. Caja, deuda y dilución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Caja e inversiones: 6.216 M USD</w:t>
      </w:r>
      <w:r>
        <w:t xml:space="preserve"> </w:t>
      </w:r>
      <w:r>
        <w:t xml:space="preserve">a 30-jun (4.424 de caja, 923 a corto y 869 a largo plazo); sin contar 308 M restringidos ni 513 M en procesadores de pago [4].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Deuda: 2.750 M</w:t>
      </w:r>
      <w:r>
        <w:t xml:space="preserve"> </w:t>
      </w:r>
      <w:r>
        <w:t xml:space="preserve">en bonos convertibles al 0 % con vencimiento en 2030 (conversión a 291,97 USD, muy por encima del precio, con coberturas compradas). Línea de crédito sin disponer.</w:t>
      </w:r>
      <w:r>
        <w:t xml:space="preserve"> </w:t>
      </w:r>
      <w:r>
        <w:rPr>
          <w:bCs/>
          <w:b/>
        </w:rPr>
        <w:t xml:space="preserve">Caja neta ~3.470 M.</w:t>
      </w:r>
      <w:r>
        <w:t xml:space="preserve"> </w:t>
      </w:r>
      <w:r>
        <w:t xml:space="preserve">Los ~5.700 M de gastos devengados incluyen lo que se debe a comercios y repartidores: el circulante financia el negocio.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Pista</w:t>
      </w:r>
      <w:r>
        <w:t xml:space="preserve">: FCF positivo.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Acciones</w:t>
      </w:r>
      <w:r>
        <w:t xml:space="preserve">: 433,3 M (408,9 M clase A y 24,3 M clase B) a 30-jun, más 26,7 M de RSU (9,3 M son el plan del CEO, que depende de precios de la acción) y 2,1 M de opciones.</w:t>
      </w:r>
      <w:r>
        <w:t xml:space="preserve"> </w:t>
      </w:r>
      <w:r>
        <w:rPr>
          <w:bCs/>
          <w:b/>
        </w:rPr>
        <w:t xml:space="preserve">Diluidas tomadas: ~453 M</w:t>
      </w:r>
      <w:r>
        <w:t xml:space="preserve"> </w:t>
      </w:r>
      <w:r>
        <w:t xml:space="preserve">(sin el plan del CEO).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Dilución: ~0,2 %</w:t>
      </w:r>
      <w:r>
        <w:t xml:space="preserve"> </w:t>
      </w:r>
      <w:r>
        <w:t xml:space="preserve">(diluidas medias 439,3 M frente a 438,4 M un año antes),</w:t>
      </w:r>
      <w:r>
        <w:t xml:space="preserve"> </w:t>
      </w:r>
      <w:r>
        <w:rPr>
          <w:bCs/>
          <w:b/>
        </w:rPr>
        <w:t xml:space="preserve">gracias a la recompra</w:t>
      </w:r>
      <w:r>
        <w:t xml:space="preserve">: 1.049 M USD (6,8 M acciones) en lo que va de 2026, y quedan 3.951 M autorizados. Sin recompra, la emisión bruta (~2-3 % al año) diluiría.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Pagos en acciones: ~1.110 M en 12 meses, el 7,0 % de las ventas</w:t>
      </w:r>
      <w:r>
        <w:t xml:space="preserve"> </w:t>
      </w:r>
      <w:r>
        <w:t xml:space="preserve">(guía para 2026: 1.200-1.300 M). Por debajo del 15 % del método, pero alto en dólares: se come la mitad del FCF.</w:t>
      </w:r>
    </w:p>
    <w:bookmarkEnd w:id="30"/>
    <w:bookmarkStart w:id="31" w:name="dirección-y-ejecución"/>
    <w:p>
      <w:pPr>
        <w:pStyle w:val="Heading2"/>
      </w:pPr>
      <w:r>
        <w:t xml:space="preserve">8. Dirección y ejecución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Historial (5/5)</w:t>
      </w:r>
      <w:r>
        <w:t xml:space="preserve">: ha cumplido o batido la guía de GOV y de EBITDA en los ocho últimos trimestres comprobados en la SEC. El EBITDA del 2T26 (914 M) superó el máximo del rango (870 M) [1][2].</w:t>
      </w:r>
      <w:r>
        <w:t xml:space="preserve"> </w:t>
      </w:r>
      <w:r>
        <w:rPr>
          <w:bCs/>
          <w:b/>
        </w:rPr>
        <w:t xml:space="preserve">Matiz</w:t>
      </w:r>
      <w:r>
        <w:t xml:space="preserve">: la batida de GOV mengua (de +2-3 pp a +0,7 pp) y la empresa ya lo avisó.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Dirección (3/5)</w:t>
      </w:r>
      <w:r>
        <w:t xml:space="preserve">: Tony Xu, cofundador y CEO, con el control de voto de las acciones clase B junto a los otros fundadores [13]. A favor: disciplina operativa, compras sensatas (Wolt, Deliveroo, SevenRooms) y recompra. En contra:</w:t>
      </w:r>
      <w:r>
        <w:t xml:space="preserve"> </w:t>
      </w:r>
      <w:r>
        <w:rPr>
          <w:bCs/>
          <w:b/>
        </w:rPr>
        <w:t xml:space="preserve">traslado de la sede legal a Nevada</w:t>
      </w:r>
      <w:r>
        <w:t xml:space="preserve"> </w:t>
      </w:r>
      <w:r>
        <w:t xml:space="preserve">(18-sep-2026), aprobado por consentimiento escrito de los accionistas de control sin junta, que recorta derechos del minoritario [5]. También ventas continuas de los fundadores (Xu y Tang, por planes 10b5-1), el plan del CEO de 10,4 M RSU por precio, pagos en acciones altos y un plan de inversión de noviembre de 2025 que sorprendió al mercado (−17 % en un día [10]).</w:t>
      </w:r>
    </w:p>
    <w:bookmarkEnd w:id="31"/>
    <w:bookmarkStart w:id="32" w:name="valoración"/>
    <w:p>
      <w:pPr>
        <w:pStyle w:val="Heading2"/>
      </w:pPr>
      <w:r>
        <w:t xml:space="preserve">9. Valoración</w:t>
      </w:r>
    </w:p>
    <w:p>
      <w:pPr>
        <w:pStyle w:val="FirstParagraph"/>
      </w:pPr>
      <w:r>
        <w:rPr>
          <w:bCs/>
          <w:b/>
        </w:rPr>
        <w:t xml:space="preserve">Ejercicio objetivo</w:t>
      </w:r>
      <w:r>
        <w:t xml:space="preserve">: los 12 meses a jun-2028, como en el backtest.</w:t>
      </w:r>
      <w:r>
        <w:t xml:space="preserve"> </w:t>
      </w:r>
      <w:r>
        <w:rPr>
          <w:bCs/>
          <w:b/>
        </w:rPr>
        <w:t xml:space="preserve">Métrica: EV/ventas NTM.</w:t>
      </w:r>
      <w:r>
        <w:t xml:space="preserve"> </w:t>
      </w:r>
      <w:r>
        <w:t xml:space="preserve">DoorDash ya es rentable en EBITDA, pero su margen sobre ventas aún sube y el EV/EBITDA (~26x de 12 meses, ~21x NTM) mezclaría el esfuerzo de inversión. El filtro de compra es el</w:t>
      </w:r>
      <w:r>
        <w:t xml:space="preserve"> </w:t>
      </w:r>
      <w:r>
        <w:rPr>
          <w:bCs/>
          <w:b/>
        </w:rPr>
        <w:t xml:space="preserve">EV/beneficio bruto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EV de hoy</w:t>
      </w:r>
      <w:r>
        <w:t xml:space="preserve">: 193,09 × 453 + 2.750 − 6.216 =</w:t>
      </w:r>
      <w:r>
        <w:t xml:space="preserve"> </w:t>
      </w:r>
      <w:r>
        <w:rPr>
          <w:bCs/>
          <w:b/>
        </w:rPr>
        <w:t xml:space="preserve">84.004 M USD</w:t>
      </w:r>
      <w:r>
        <w:t xml:space="preserve"> </w:t>
      </w:r>
      <w:r>
        <w:t xml:space="preserve">[12]. Capitalización ~87.500 M.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Ventas NTM: ~19.535 M (+23 %)</w:t>
      </w:r>
      <w:r>
        <w:t xml:space="preserve">: el 3T26 por la guía (con Deliveroo frente a un 3T25 sin él) y el resto al +20-22 % orgánico.</w:t>
      </w:r>
      <w:r>
        <w:t xml:space="preserve"> </w:t>
      </w:r>
      <w:r>
        <w:rPr>
          <w:bCs/>
          <w:b/>
        </w:rPr>
        <w:t xml:space="preserve">EV/ventas NTM: 4,3x. EV/beneficio bruto NTM: 8,8x</w:t>
      </w:r>
      <w:r>
        <w:t xml:space="preserve"> </w:t>
      </w:r>
      <w:r>
        <w:t xml:space="preserve">(tope 35x). PER GAAP de 12 meses: ~100 (beneficio por acción de 1,92 USD; lo deprime la amortización de Deliveroo).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Mediana de 3 años: ~4,6x</w:t>
      </w:r>
      <w:r>
        <w:t xml:space="preserve"> </w:t>
      </w:r>
      <w:r>
        <w:t xml:space="preserve">NTM (cierres trimestrales de jun-2023 a jun-2026; máximo 7,2x en sep-2025).</w:t>
      </w:r>
      <w:r>
        <w:t xml:space="preserve"> </w:t>
      </w:r>
      <w:r>
        <w:rPr>
          <w:bCs/>
          <w:b/>
        </w:rPr>
        <w:t xml:space="preserve">Mínimo: ~2,8x</w:t>
      </w:r>
      <w:r>
        <w:t xml:space="preserve"> </w:t>
      </w:r>
      <w:r>
        <w:t xml:space="preserve">(jun-2023) [12].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Comparables: ~2,7x</w:t>
      </w:r>
      <w:r>
        <w:t xml:space="preserve"> </w:t>
      </w:r>
      <w:r>
        <w:t xml:space="preserve">(Instacart, Grab, Uber) [8].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Desaceleración</w:t>
      </w:r>
      <w:r>
        <w:t xml:space="preserve">: del 23 % NTM al 18 % en el año objetivo → factor 0,88.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jun-2028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Múltiplo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12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Bajista (25 %)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19.638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−44,9 %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(50 %)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206,9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+7,2 %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Alcista (25 %)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25.545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4,9x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+48,1 %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Ponderado (regla v7)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201,5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+4,4 %</w:t>
            </w:r>
          </w:p>
        </w:tc>
      </w:tr>
    </w:tbl>
    <w:p>
      <w:pPr>
        <w:pStyle w:val="BodyText"/>
      </w:pPr>
      <w:r>
        <w:t xml:space="preserve">Acciones dentro de 12 meses: 454 M (+0,2 %); caja de 6.216 M y deuda de 2.750 M (el FCF futuro no se suma, por la regla).</w:t>
      </w:r>
      <w:r>
        <w:t xml:space="preserve"> </w:t>
      </w:r>
      <w:r>
        <w:rPr>
          <w:bCs/>
          <w:b/>
        </w:rPr>
        <w:t xml:space="preserve">Asimetría: 1,1. Precio máximo de compra: 191,9 USD</w:t>
      </w:r>
      <w:r>
        <w:t xml:space="preserve">, el que da ponderada +5 % (el tope de 35x beneficio bruto estaría en ~746 USD).</w:t>
      </w:r>
    </w:p>
    <w:p>
      <w:pPr>
        <w:pStyle w:val="BodyText"/>
      </w:pPr>
      <w:r>
        <w:rPr>
          <w:bCs/>
          <w:b/>
        </w:rPr>
        <w:t xml:space="preserve">Variantes</w:t>
      </w:r>
      <w:r>
        <w:t xml:space="preserve"> </w:t>
      </w:r>
      <w:r>
        <w:t xml:space="preserve">(mismo motor, solo cambia lo indicado; las de prueba no se guardan):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Ponderada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 hasta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v7 (vigente), orgánico, cierre 193,09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24,2 %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+4,4 %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−44,9 %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Mantener (vigilancia)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191,9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 (guía null: solo trimestral)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−44,9 %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Mantener (vigilancia)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Guía del 3T extrapolada + batida (22,2 %), cierre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−45,7 %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Mantener (vigilancia)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 a 181,31 (solo cambia el precio)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+14,1 %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−41,3 %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Comprar (baja)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Guía extrapolada a 181,31 (solo el precio)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−42,2 %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Comprar (baja)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 a 181,31 con el múltiplo de hoy (4,0x)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−44,7 %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Mantener (vigilancia)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Crecimiento publicado con Deliveroo (no válido)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+16,0 %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+19,1 %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−41,7 %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Comprar (baja)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213,3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Probabilidades prudentes 35/50/15 (ciclo)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−44,9 %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174,8</w:t>
            </w:r>
          </w:p>
        </w:tc>
      </w:tr>
    </w:tbl>
    <w:p>
      <w:pPr>
        <w:pStyle w:val="BodyText"/>
      </w:pPr>
      <w:r>
        <w:rPr>
          <w:bCs/>
          <w:b/>
        </w:rPr>
        <w:t xml:space="preserve">La señal depende de una sesión y de cómo se cuente Deliveroo.</w:t>
      </w:r>
      <w:r>
        <w:t xml:space="preserve"> </w:t>
      </w:r>
      <w:r>
        <w:t xml:space="preserve">Con el crecimiento publicado saldría Comprar (+16 %), pero sería contar dos años más una compra que ya está en la base. Con el orgánico y la guía, la ponderada está entre +1 % y +4 %.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Consenso</w:t>
      </w:r>
      <w:r>
        <w:t xml:space="preserve">: precio objetivo medio de</w:t>
      </w:r>
      <w:r>
        <w:t xml:space="preserve"> </w:t>
      </w:r>
      <w:r>
        <w:rPr>
          <w:bCs/>
          <w:b/>
        </w:rPr>
        <w:t xml:space="preserve">~259 USD</w:t>
      </w:r>
      <w:r>
        <w:t xml:space="preserve"> </w:t>
      </w:r>
      <w:r>
        <w:t xml:space="preserve">(29 compra y 9 mantener; foto de julio [9]), muy por encima de nuestro objetivo (201,5). El mercado de analistas proyecta márgenes que la regla no cuenta. Consenso de ventas del año objetivo: no encontrado (null).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DCF inverso</w:t>
      </w:r>
      <w:r>
        <w:t xml:space="preserve">: con WACC del 10 %, margen FCF que sube del 13,5 % al 20 % en 10 años y crecimiento terminal del 3 %, el precio descuenta</w:t>
      </w:r>
      <w:r>
        <w:t xml:space="preserve"> </w:t>
      </w:r>
      <w:r>
        <w:rPr>
          <w:bCs/>
          <w:b/>
        </w:rPr>
        <w:t xml:space="preserve">~11,7 % anual durante 10 años</w:t>
      </w:r>
      <w:r>
        <w:t xml:space="preserve"> </w:t>
      </w:r>
      <w:r>
        <w:t xml:space="preserve">(15 % con margen final del 15 %; 9 % con el 25 %). Restando los pagos en acciones del FCF, sale ~16 %. Exige más que Toast (~6 %): es razonable para quien crece al 20-24 %, pero no deja margen de seguridad.</w:t>
      </w:r>
    </w:p>
    <w:bookmarkEnd w:id="32"/>
    <w:bookmarkStart w:id="33" w:name="foros-y-sentimiento"/>
    <w:p>
      <w:pPr>
        <w:pStyle w:val="Heading2"/>
      </w:pPr>
      <w:r>
        <w:t xml:space="preserve">10. Foros y sentimiento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Prensa</w:t>
      </w:r>
      <w:r>
        <w:t xml:space="preserve">: en septiembre, «DoorDash cae un 16 % en un mes» por los agentes de IA que piden directamente (24/7 Wall St.). Uber compra Delivery Hero (jul) y ezCater (catering), lo que «reordena el reparto» (TIKR, Reuters). Despachos de abogados (Scott+Scott) anuncian investigaciones a los consejeros por la caída. Hay una demanda colectiva en California por la tarifa de servicio obligatoria en pedidos «sin envío» de DashPass [10][11].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Analistas</w:t>
      </w:r>
      <w:r>
        <w:t xml:space="preserve">: siguen mayoritariamente en compra (29 de 38), pero los objetivos bajan desde feb-2026 (Cantor de 285 a 220-240) y solo hay subidas puntuales (BofA, Wells Fargo) [9].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StockTwits</w:t>
      </w:r>
      <w:r>
        <w:t xml:space="preserve"> </w:t>
      </w:r>
      <w:r>
        <w:t xml:space="preserve">(14-oct): 18.620 seguidores; 4 alcistas y 2 bajistas de 30 mensajes. Dominan las opciones (compra de puts de dic a 180 por 915.000 USD hoy) y las comparaciones con Uber («Uber a 18x PER adelantado, DoorDash a 54x: ¿cuál?»). Hoy, −6 % y «los datos macro arrastran» [11].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Reddit (r/stocks, r/investing, r/doordash)</w:t>
      </w:r>
      <w:r>
        <w:t xml:space="preserve">: bloqueado desde aquí.</w:t>
      </w:r>
      <w:r>
        <w:t xml:space="preserve"> </w:t>
      </w:r>
      <w:r>
        <w:rPr>
          <w:bCs/>
          <w:b/>
        </w:rPr>
        <w:t xml:space="preserve">Laguna.</w:t>
      </w:r>
      <w:r>
        <w:t xml:space="preserve"> </w:t>
      </w:r>
      <w:r>
        <w:rPr>
          <w:bCs/>
          <w:b/>
        </w:rPr>
        <w:t xml:space="preserve">Seeking Alpha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foros en castellano</w:t>
      </w:r>
      <w:r>
        <w:t xml:space="preserve"> </w:t>
      </w:r>
      <w:r>
        <w:t xml:space="preserve">(Rankia, Investing.com ES): sin hilos recientes leídos.</w:t>
      </w:r>
      <w:r>
        <w:t xml:space="preserve"> </w:t>
      </w:r>
      <w:r>
        <w:rPr>
          <w:bCs/>
          <w:b/>
        </w:rPr>
        <w:t xml:space="preserve">Laguna.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Contraste con los datos</w:t>
      </w:r>
      <w:r>
        <w:t xml:space="preserve">: el sentimiento es peor que las cifras (EBITDA récord, FCF +25 %, guía cumplida). Pero el mercado ha dejado de pagar la prima de 2025 (7x ventas) y la ha bajado a la mediana. No hay euforia; hay miedo a la IA y a la competencia.</w:t>
      </w:r>
    </w:p>
    <w:bookmarkEnd w:id="33"/>
    <w:bookmarkStart w:id="34" w:name="riesgos-y-qué-rompería-la-tesis"/>
    <w:p>
      <w:pPr>
        <w:pStyle w:val="Heading2"/>
      </w:pPr>
      <w:r>
        <w:t xml:space="preserve">11. Riesgos y qué rompería la tesis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Ciclo de consumo</w:t>
      </w:r>
      <w:r>
        <w:t xml:space="preserve">: gasto discrecional con tarifas altas. Una recesión baja la frecuencia y el ticket; la gasolina y los seguros suben el coste. El bajista (−45 %) es volver a 2,3x ventas.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Agentes de IA</w:t>
      </w:r>
      <w:r>
        <w:t xml:space="preserve">: que el canal de pedidos pase a ChatGPT, Gemini o Siri y se lleve parte de la comisión.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Competencia</w:t>
      </w:r>
      <w:r>
        <w:t xml:space="preserve">: Uber + Delivery Hero fuera de EE. UU. y Uber Eats + ezCater en EE. UU.; Amazon en alimentación.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Regulación laboral</w:t>
      </w:r>
      <w:r>
        <w:t xml:space="preserve">: mínimos de pago (Nueva York, Seattle, Australia) y la directiva europea (dic-2026); demandas por tarifas y propinas.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Integración de Deliveroo</w:t>
      </w:r>
      <w:r>
        <w:t xml:space="preserve"> </w:t>
      </w:r>
      <w:r>
        <w:t xml:space="preserve">y salto a la baja del crecimiento publicado en el 4T26.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Autónomos</w:t>
      </w:r>
      <w:r>
        <w:t xml:space="preserve">: bajan la barrera de entrada a largo plazo.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Gobierno</w:t>
      </w:r>
      <w:r>
        <w:t xml:space="preserve">: control de los fundadores, traslado a Nevada, pagos en acciones de ~1.200 M al año.</w:t>
      </w:r>
    </w:p>
    <w:p>
      <w:pPr>
        <w:pStyle w:val="FirstParagraph"/>
      </w:pPr>
      <w:r>
        <w:rPr>
          <w:bCs/>
          <w:b/>
        </w:rPr>
        <w:t xml:space="preserve">Señales de venta concretas</w:t>
      </w:r>
      <w:r>
        <w:t xml:space="preserve"> </w:t>
      </w:r>
      <w:r>
        <w:t xml:space="preserve">(para quien la tenga; aquí, para descartarla):</w:t>
      </w:r>
      <w:r>
        <w:t xml:space="preserve"> </w:t>
      </w:r>
      <w:r>
        <w:t xml:space="preserve">- GOV orgánico por debajo del +15 % dos trimestres seguidos.</w:t>
      </w:r>
      <w:r>
        <w:t xml:space="preserve"> </w:t>
      </w:r>
      <w:r>
        <w:t xml:space="preserve">- Primera vez que no cumple la guía trimestral de GOV o de EBITDA.</w:t>
      </w:r>
      <w:r>
        <w:t xml:space="preserve"> </w:t>
      </w:r>
      <w:r>
        <w:t xml:space="preserve">- EBITDA ajustado sobre GOV a la baja dos trimestres seguidos sin explicación de inversión.</w:t>
      </w:r>
      <w:r>
        <w:t xml:space="preserve"> </w:t>
      </w:r>
      <w:r>
        <w:t xml:space="preserve">- Pérdida de cuota en EE. UU. frente a Uber Eats (datos de terceros) o una ley de reclasificación laboral en un estado grande o en la UE que la obligue a contratar.</w:t>
      </w:r>
    </w:p>
    <w:p>
      <w:pPr>
        <w:pStyle w:val="BodyText"/>
      </w:pPr>
      <w:r>
        <w:t xml:space="preserve">Hoy no hay tesis rota.</w:t>
      </w:r>
    </w:p>
    <w:bookmarkEnd w:id="34"/>
    <w:bookmarkStart w:id="35" w:name="catalizadores-con-fecha"/>
    <w:p>
      <w:pPr>
        <w:pStyle w:val="Heading2"/>
      </w:pPr>
      <w:r>
        <w:t xml:space="preserve">12. Catalizadores con fecha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4-nov-2026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3T26 (último trimestre inflado por Deliveroo) y guía del 4T (el primero orgánico)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+/−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2S26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Economía unitaria positiva en alimentación y tiendas (guiado)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Dic-2026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 de la transposición de la directiva europea de trabajo en plataformas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 de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Dot con un porcentaje de un dígito alto de los pedidos de su mayor mercado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Feb-2027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4T26, carta anual y plan de inversión de 2027 (en 2025 provocó un −17 %)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+/−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1S27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tecnológica global única (DoorDash, Wolt y Deliveroo)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2S27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Cierre previsto de la compra de Delivery Hero por Uber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</w:t>
            </w:r>
          </w:p>
        </w:tc>
      </w:tr>
    </w:tbl>
    <w:bookmarkEnd w:id="35"/>
    <w:bookmarkStart w:id="36" w:name="encaje-en-cartera"/>
    <w:p>
      <w:pPr>
        <w:pStyle w:val="Heading2"/>
      </w:pPr>
      <w:r>
        <w:t xml:space="preserve">13. Encaje en cartera</w:t>
      </w:r>
    </w:p>
    <w:p>
      <w:pPr>
        <w:pStyle w:val="FirstParagraph"/>
      </w:pPr>
      <w:r>
        <w:rPr>
          <w:bCs/>
          <w:b/>
        </w:rPr>
        <w:t xml:space="preserve">Situación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MEMORIA.md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informes-growth/cartera-growth.md</w:t>
      </w:r>
      <w:r>
        <w:t xml:space="preserve">): el</w:t>
      </w:r>
      <w:r>
        <w:t xml:space="preserve"> </w:t>
      </w:r>
      <w:r>
        <w:rPr>
          <w:bCs/>
          <w:b/>
        </w:rPr>
        <w:t xml:space="preserve">bolsillo growth está lleno (~20 %)</w:t>
      </w:r>
      <w:r>
        <w:t xml:space="preserve"> </w:t>
      </w:r>
      <w:r>
        <w:t xml:space="preserve">con Nu, argenx, Shopify, Axon y Snowflake, y la liquidez libre es de ≈27 EUR. Solo cabe sustituir. Suplentes, por orden: Samsara, Datadog, MongoDB, Zscaler, Dexcom, Toast y Wise.</w:t>
      </w:r>
    </w:p>
    <w:p>
      <w:pPr>
        <w:pStyle w:val="BodyText"/>
      </w:pPr>
      <w:r>
        <w:rPr>
          <w:bCs/>
          <w:b/>
        </w:rPr>
        <w:t xml:space="preserve">Solapamiento con Uber</w:t>
      </w:r>
      <w:r>
        <w:t xml:space="preserve">: el usuario</w:t>
      </w:r>
      <w:r>
        <w:t xml:space="preserve"> </w:t>
      </w:r>
      <w:r>
        <w:rPr>
          <w:bCs/>
          <w:b/>
        </w:rPr>
        <w:t xml:space="preserve">ya tiene Uber</w:t>
      </w:r>
      <w:r>
        <w:t xml:space="preserve"> </w:t>
      </w:r>
      <w:r>
        <w:t xml:space="preserve">en la cartera value (28 acciones, ~1.785 EUR, ~6 %), y Uber Eats es el nº 2 del reparto en EE. UU. y el gran rival de DoorDash fuera (con Delivery Hero). Tener las dos duplica los mismos riesgos: ciclo del consumo discrecional, regulación de repartidores independientes, seguros, agentes de IA y autónomos. No es una cobertura: si a uno le va mejor en cuota, al otro le va peor, pero los dos caen juntos en una recesión o con una ley laboral. Más que un growth nuevo, DoorDash sería</w:t>
      </w:r>
      <w:r>
        <w:t xml:space="preserve"> </w:t>
      </w:r>
      <w:r>
        <w:rPr>
          <w:bCs/>
          <w:b/>
        </w:rPr>
        <w:t xml:space="preserve">doblar la apuesta por el reparto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Convicción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Ponderada al precio 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EV/beneficio bruto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Shopify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+17,7 %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27,7x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Snowflake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+16,1 %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DoorDash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— (Mantener) / baja a 181,31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+4,4 % al cierre; +11,1 % a 181,31 solo cambiando el precio; +4,4 % con el múltiplo de hoy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−45 %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8,8x</w:t>
            </w:r>
          </w:p>
        </w:tc>
      </w:tr>
    </w:tbl>
    <w:p>
      <w:pPr>
        <w:pStyle w:val="BodyText"/>
      </w:pPr>
      <w:r>
        <w:rPr>
          <w:bCs/>
          <w:b/>
        </w:rPr>
        <w:t xml:space="preserve">¿Sustituye a alguna? No.</w:t>
      </w:r>
      <w:r>
        <w:t xml:space="preserve"> </w:t>
      </w:r>
      <w:r>
        <w:t xml:space="preserve">- Frente a</w:t>
      </w:r>
      <w:r>
        <w:t xml:space="preserve"> </w:t>
      </w:r>
      <w:r>
        <w:rPr>
          <w:bCs/>
          <w:b/>
        </w:rPr>
        <w:t xml:space="preserve">Shopify</w:t>
      </w:r>
      <w:r>
        <w:t xml:space="preserve"> </w:t>
      </w:r>
      <w:r>
        <w:t xml:space="preserve">(+17,7 %) y</w:t>
      </w:r>
      <w:r>
        <w:t xml:space="preserve"> </w:t>
      </w:r>
      <w:r>
        <w:rPr>
          <w:bCs/>
          <w:b/>
        </w:rPr>
        <w:t xml:space="preserve">Snowflake</w:t>
      </w:r>
      <w:r>
        <w:t xml:space="preserve"> </w:t>
      </w:r>
      <w:r>
        <w:t xml:space="preserve">(+16,1 %), las dos de menor ponderada: incluso en la lectura más favorable de hoy (+11,1 %, convicción baja), DoorDash está 5-7 puntos por debajo, con peor puntuación (63,8 frente a 77,8 de Shopify), solo 3 señales y un bajista igual de profundo. Cambiar no compensa.</w:t>
      </w:r>
      <w:r>
        <w:t xml:space="preserve"> </w:t>
      </w:r>
      <w:r>
        <w:t xml:space="preserve">- Añade ciclo y solapa con Uber. El usuario descartó Duolingo por miedo al ciclo y a la IA, y DoorDash tiene</w:t>
      </w:r>
      <w:r>
        <w:t xml:space="preserve"> </w:t>
      </w:r>
      <w:r>
        <w:rPr>
          <w:bCs/>
          <w:b/>
        </w:rPr>
        <w:t xml:space="preserve">las dos cosas</w:t>
      </w:r>
      <w:r>
        <w:t xml:space="preserve">: ciclo de consumo y una amenaza de IA (los agentes de pedidos) que en septiembre le costó un −16 %.</w:t>
      </w:r>
    </w:p>
    <w:p>
      <w:pPr>
        <w:pStyle w:val="BodyText"/>
      </w:pPr>
      <w:r>
        <w:rPr>
          <w:bCs/>
          <w:b/>
        </w:rPr>
        <w:t xml:space="preserve">Puesto</w:t>
      </w:r>
      <w:r>
        <w:t xml:space="preserve">: al precio de corte es</w:t>
      </w:r>
      <w:r>
        <w:t xml:space="preserve"> </w:t>
      </w:r>
      <w:r>
        <w:rPr>
          <w:bCs/>
          <w:b/>
        </w:rPr>
        <w:t xml:space="preserve">Mantener en vigilancia, no suplente</w:t>
      </w:r>
      <w:r>
        <w:t xml:space="preserve"> </w:t>
      </w:r>
      <w:r>
        <w:t xml:space="preserve">(junto a HubSpot e Insulet). Si se toma el precio de hoy con la convención de solo cambiar el precio, sería Comprar (baja) con +11,1 % y quedaría</w:t>
      </w:r>
      <w:r>
        <w:t xml:space="preserve"> </w:t>
      </w:r>
      <w:r>
        <w:rPr>
          <w:bCs/>
          <w:b/>
        </w:rPr>
        <w:t xml:space="preserve">suplente nº 7, detrás de Toast</w:t>
      </w:r>
      <w:r>
        <w:t xml:space="preserve"> </w:t>
      </w:r>
      <w:r>
        <w:t xml:space="preserve">(mismo ciclo de restauración, pero sin solapar con Uber y a 7,8x el beneficio bruto)</w:t>
      </w:r>
      <w:r>
        <w:t xml:space="preserve"> </w:t>
      </w:r>
      <w:r>
        <w:rPr>
          <w:bCs/>
          <w:b/>
        </w:rPr>
        <w:t xml:space="preserve">y por delante de Wise</w:t>
      </w:r>
      <w:r>
        <w:t xml:space="preserve"> </w:t>
      </w:r>
      <w:r>
        <w:t xml:space="preserve">(+5,5 %). Se revisa el 4-nov: pasaría a suplente firme si el GOV orgánico guiado para el 4T26 va por encima del +20 % y la acción sigue por debajo de ~180-186 USD (el precio máximo con la guía).</w:t>
      </w:r>
    </w:p>
    <w:p>
      <w:pPr>
        <w:pStyle w:val="BodyText"/>
      </w:pPr>
      <w:r>
        <w:rPr>
          <w:bCs/>
          <w:b/>
        </w:rPr>
        <w:t xml:space="preserve">Si algún día entrara</w:t>
      </w:r>
      <w:r>
        <w:t xml:space="preserve"> </w:t>
      </w:r>
      <w:r>
        <w:t xml:space="preserve">(hueco libre y Comprar confirmado): 3,5 % (~1.040 EUR, ~6 acciones), en dos tramos, con límite de 180 USD.</w:t>
      </w:r>
      <w:r>
        <w:t xml:space="preserve"> </w:t>
      </w:r>
      <w:r>
        <w:rPr>
          <w:bCs/>
          <w:b/>
        </w:rPr>
        <w:t xml:space="preserve">Motivo de negocio</w:t>
      </w:r>
      <w:r>
        <w:t xml:space="preserve">: líder del reparto local de EE. UU. con FCF de 2.100 M que crece +24 % orgánico.</w:t>
      </w:r>
      <w:r>
        <w:t xml:space="preserve"> </w:t>
      </w:r>
      <w:r>
        <w:rPr>
          <w:bCs/>
          <w:b/>
        </w:rPr>
        <w:t xml:space="preserve">Encaje</w:t>
      </w:r>
      <w:r>
        <w:t xml:space="preserve">: no es comercio minorista (plataforma de servicios con comisión), no es juego y no choca con</w:t>
      </w:r>
      <w:r>
        <w:t xml:space="preserve"> </w:t>
      </w:r>
      <w:r>
        <w:rPr>
          <w:rStyle w:val="VerbatimChar"/>
        </w:rPr>
        <w:t xml:space="preserve">MEMORIA.md</w:t>
      </w:r>
      <w:r>
        <w:t xml:space="preserve">, pero solapa con Uber: si entrara, habría que pensar en reducir Uber.</w:t>
      </w:r>
    </w:p>
    <w:bookmarkEnd w:id="36"/>
    <w:bookmarkStart w:id="37" w:name="puntuación"/>
    <w:p>
      <w:pPr>
        <w:pStyle w:val="Heading2"/>
      </w:pPr>
      <w:r>
        <w:t xml:space="preserve">14. Puntuación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Crecimiento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12 m +24,4 % orgánico (3), CAGR a 2 años 24,1 % (3), aceleración −0,8 pp (3)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Mercado y 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Penetración 15,9 % (2), tecnología 3, posición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Cambio de tendencia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3/8 señales, sin euforia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Economía unitaria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bruto 48,9 % (3), regla del 40 = 37,9 (2), FCF creciente (5)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Caja y dilución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positivo (5), dilución 0,2 % (5)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 Ejecución y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5, dirección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63,8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Señal:</w:t>
            </w:r>
            <w:r>
              <w:t xml:space="preserve"> </w:t>
            </w:r>
            <w:r>
              <w:rPr>
                <w:bCs/>
                <w:b/>
              </w:rPr>
              <w:t xml:space="preserve">Mantener (en vigilancia)</w:t>
            </w:r>
            <w:r>
              <w:t xml:space="preserve">; ponderada +4,4 % &lt; 5 %</w:t>
            </w:r>
          </w:p>
        </w:tc>
      </w:tr>
    </w:tbl>
    <w:p>
      <w:pPr>
        <w:pStyle w:val="BodyText"/>
      </w:pPr>
      <w:r>
        <w:rPr>
          <w:bCs/>
          <w:b/>
        </w:rPr>
        <w:t xml:space="preserve">Mejoras de método detectadas (para probar con el backtest, sin tocar el motor)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Compras grandes (crecimiento inorgánico)</w:t>
      </w:r>
      <w:r>
        <w:t xml:space="preserve">: la regla mecánica toma el crecimiento publicado y proyectaría dos años al +32 % una compra que deja de sumar en un trimestre. Aquí se usaron los crecimientos orgánicos que publica la empresa. Propuesta: un campo</w:t>
      </w:r>
      <w:r>
        <w:t xml:space="preserve"> </w:t>
      </w:r>
      <w:r>
        <w:rPr>
          <w:rStyle w:val="VerbatimChar"/>
        </w:rPr>
        <w:t xml:space="preserve">crecimiento.organico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inorganico_pp</w:t>
      </w:r>
      <w:r>
        <w:t xml:space="preserve">) obligatorio cuando una compra pese más del 5 % de las ventas, y que el motor avise si la aceleración es &gt; +5 pp sin él.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Recalcular al precio actual</w:t>
      </w:r>
      <w:r>
        <w:t xml:space="preserve">: el método toma como base «el múltiplo de hoy», así que, si al cambiar el precio también se cambia</w:t>
      </w:r>
      <w:r>
        <w:t xml:space="preserve"> </w:t>
      </w:r>
      <w:r>
        <w:rPr>
          <w:rStyle w:val="VerbatimChar"/>
        </w:rPr>
        <w:t xml:space="preserve">multiplo_actual</w:t>
      </w:r>
      <w:r>
        <w:t xml:space="preserve">, la ponderada no se mueve (+4,4 % a 193 o a 181). Si no se cambia (la convención de</w:t>
      </w:r>
      <w:r>
        <w:t xml:space="preserve"> </w:t>
      </w:r>
      <w:r>
        <w:rPr>
          <w:rStyle w:val="VerbatimChar"/>
        </w:rPr>
        <w:t xml:space="preserve">cartera-growth.md</w:t>
      </w:r>
      <w:r>
        <w:t xml:space="preserve">), una sesión del −6 % convierte un Mantener en Comprar. Propuesta: fijar en la regla que el múltiplo de referencia es el del cierre del análisis (y decirlo), o anclar el base a la mediana entre el de hoy y el de 3 años.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Guía solo trimestral</w:t>
      </w:r>
      <w:r>
        <w:t xml:space="preserve">: ya es la tercera empresa (tras Nvidia y Shopify 2023) en la que v9 no actúa. DoorDash muestra que extrapolar el trimestre siguiente (pasado a ventas y sin la compra) recorta 3 puntos; valdría probar en el backtest la variante «guía del trimestre siguiente, anualizada».</w:t>
      </w:r>
    </w:p>
    <w:bookmarkEnd w:id="37"/>
    <w:bookmarkStart w:id="38" w:name="fuentes"/>
    <w:p>
      <w:pPr>
        <w:pStyle w:val="Heading2"/>
      </w:pPr>
      <w:r>
        <w:t xml:space="preserve">Fuentes</w:t>
      </w:r>
    </w:p>
    <w:p>
      <w:pPr>
        <w:pStyle w:val="FirstParagraph"/>
      </w:pPr>
      <w:r>
        <w:t xml:space="preserve">[1] DoorDash, nota de resultados del 2T 2026 (5-ago-2026), 8-K ex. 99.1 (SEC, leída directamente): pedidos, GOV, ingresos con y sin Deliveroo, beneficio bruto, EBITDA, FCF, recompra, guía del 3T26, IA, autónomos, SevenRooms y programa de la gasolina.</w:t>
      </w:r>
      <w:r>
        <w:t xml:space="preserve"> </w:t>
      </w:r>
      <w:r>
        <w:t xml:space="preserve">[2] DoorDash, notas de resultados del 3T24 al 1T26 (8-K ex. 99.1, SEC; 4T25 del 18-feb-2026): guías y reales trimestrales de GOV y EBITDA, ingresos sin Deliveroo, aportación de Deliveroo y aviso sobre la batida de la guía.</w:t>
      </w:r>
      <w:r>
        <w:t xml:space="preserve"> </w:t>
      </w:r>
      <w:r>
        <w:t xml:space="preserve">[3] SEC XBRL companyfacts (CIK 1792789): series trimestrales de ingresos, beneficio operativo, acciones, caja e inversiones 2023-2026.</w:t>
      </w:r>
      <w:r>
        <w:t xml:space="preserve"> </w:t>
      </w:r>
      <w:r>
        <w:t xml:space="preserve">[4] DoorDash, 10-Q del 2T26 (5-ago-2026, SEC): balance, bonos convertibles 2030, acciones, RSU y opciones, pagos en acciones, compra de Deliveroo y factores de riesgo (Proposición 22, Nueva York, directiva europea, demanda de Uber, autónomos).</w:t>
      </w:r>
      <w:r>
        <w:t xml:space="preserve"> </w:t>
      </w:r>
      <w:r>
        <w:t xml:space="preserve">[5] SEC: Formularios 4 y 144 de abr-oct 2026 (leídos directamente); 8-K del 18-sep-2026 y Schedule 14C del 27-ago-2026 (traslado a Nevada).</w:t>
      </w:r>
      <w:r>
        <w:t xml:space="preserve"> </w:t>
      </w:r>
      <w:r>
        <w:t xml:space="preserve">[6] Yahoo Finance chart API (DASH, QQQ, ^GSPC, UBER, CART, GRAB): cierres, máximos y mínimos, medias de 200 sesiones calculadas; sesión del 14-oct (181,23 USD a las 16:38 UTC).</w:t>
      </w:r>
      <w:r>
        <w:t xml:space="preserve"> </w:t>
      </w:r>
      <w:r>
        <w:t xml:space="preserve">[7] Nasdaq.com API (14-oct-2026): cierre del 13-oct de 193,09 USD; 181,31 USD a las 12:39 ET (16:39 UTC).</w:t>
      </w:r>
      <w:r>
        <w:t xml:space="preserve"> </w:t>
      </w:r>
      <w:r>
        <w:t xml:space="preserve">[8] Informe value de Uber del repo (</w:t>
      </w:r>
      <w:r>
        <w:rPr>
          <w:rStyle w:val="VerbatimChar"/>
        </w:rPr>
        <w:t xml:space="preserve">informes/uber-2026-10-08</w:t>
      </w:r>
      <w:r>
        <w:t xml:space="preserve">, MarketScreener a 8-oct-2026): comparables y OPA sobre Delivery Hero.</w:t>
      </w:r>
      <w:r>
        <w:t xml:space="preserve"> </w:t>
      </w:r>
      <w:r>
        <w:t xml:space="preserve">[9] TipRanks/TheFly, MarketScreener, Stock Alarm, FN2, Barchart y TIKR: cambios de precio objetivo y consenso (fotos de feb, may, jul, ago y oct de 2026; las de octubre, por resumen de búsqueda, sin leer la fuente original).</w:t>
      </w:r>
      <w:r>
        <w:t xml:space="preserve"> </w:t>
      </w:r>
      <w:r>
        <w:t xml:space="preserve">[10] 24/7 Wall St. (23-sep-2026), The Star/Bloomberg (1-oct-2026), Restaurant Business, CNBC (6-nov-2025), TIKR (jul-2026), Kalkine, StockTitan, Claims Journal (22-sep-2026), DoorDash (Nueva York, 13-abr-2026) y DoorDash Australia (orden de estándares mínimos), StockStory (19-mar-2026, proyecto de ley del Senado).</w:t>
      </w:r>
      <w:r>
        <w:t xml:space="preserve"> </w:t>
      </w:r>
      <w:r>
        <w:t xml:space="preserve">[11] StockTwits, flujo público de DASH (API, 14-oct-2026). Reddit, bloqueado desde aquí.</w:t>
      </w:r>
      <w:r>
        <w:t xml:space="preserve"> </w:t>
      </w:r>
      <w:r>
        <w:t xml:space="preserve">[12] Cálculo propio: EV, ventas NTM, múltiplos históricos, DCF inverso y variantes con el motor.</w:t>
      </w:r>
      <w:r>
        <w:t xml:space="preserve"> </w:t>
      </w:r>
      <w:r>
        <w:t xml:space="preserve">[13]</w:t>
      </w:r>
      <w:r>
        <w:t xml:space="preserve"> </w:t>
      </w:r>
      <w:r>
        <w:rPr>
          <w:bCs/>
          <w:b/>
        </w:rPr>
        <w:t xml:space="preserve">De memoria, sin verificar con fuente primaria en esta sesión</w:t>
      </w:r>
      <w:r>
        <w:t xml:space="preserve">: mercado alcanzable (~100.000 M USD), cuota en EE. UU. (~2/3), comisiones típicas, DashMart, comportamiento en 2022-2023, sentencia del Supremo británico sobre Deliveroo (2023) y control de voto de los fundadores.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2026-10-14T16:49:36Z</dcterms:created>
  <dcterms:modified xsi:type="dcterms:W3CDTF">2026-10-14T16:49:36Z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