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CME Group Inc.</w:t>
      </w:r>
    </w:p>
    <w:p>
      <w:pPr>
        <w:spacing w:after="60"/>
        <w:rPr>
          <w:color w:val="52514E"/>
          <w:sz w:val="22"/>
          <w:szCs w:val="22"/>
        </w:rPr>
      </w:pPr>
      <w:r>
        <w:rPr>
          <w:color w:val="52514E"/>
          <w:sz w:val="22"/>
          <w:szCs w:val="22"/>
        </w:rPr>
        <w:t xml:space="preserve">CME · Nasdaq Global Select Market · ISIN US12572Q1058 · Finanzas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305,71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296,08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+0,5 % (base +1,7 %)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257,88 USD · mercado 281,41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109.597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CME Group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CME / US12572Q1058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Finanzas / Bolsas y datos financieros (Financial Exchanges &amp; Data)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Chicago, Illinois (EE. UU.) · 1898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www.cmegroup.com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305,71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218,31 – 329,16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109.597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101.198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1,97 M de acciones/día (3 meses a 23-oct-2026) ≈ 542 M USD/día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296,08 USD</w:t>
      </w:r>
      <w:r>
        <w:t xml:space="preserve"> frente a 305,71 · Rentabilidad a 12 meses </w:t>
      </w:r>
      <w:r>
        <w:rPr>
          <w:b/>
          <w:bCs/>
        </w:rPr>
        <w:t xml:space="preserve">+0,5 % (base +1,7 %)</w:t>
      </w:r>
      <w:r>
        <w:t xml:space="preserve"> · Valor intrínseco 257,88 USD · con la prima implícita del mercado: 281,41 (-7,9 %) · Alcista / bajista -21,0 % / -41,8 %</w:t>
      </w:r>
    </w:p>
    <w:p>
      <w:pPr>
        <w:spacing w:after="100"/>
      </w:pPr>
      <w:r>
        <w:rPr>
          <w:b/>
        </w:rPr>
        <w:t xml:space="preserve">La recomendación y por qué.</w:t>
      </w:r>
      <w:r>
        <w:t xml:space="preserve"> Mantener, con convicción media. Nuestro objetivo a 12 meses es de 296,08 USD (nuestro BPA de 2028e por el PER de la regla común), con una rentabilidad del 0,5 % ponderada y del 1,7 % en el base, dividendo incluido; con la regla anterior (historia al cierre) sería del 5,1 %, también Mantener. El objetivo medio de los analistas, 313,29 USD, queda un 4,3 % por encima de nuestro base. El valor intrínseco es de 257,88 USD, un 15,6 % por debajo del precio de 305,71 USD. La convicción es media porque las dos reglas coinciden y la acción está lejos de los umbrales (compraríamos por debajo de 257,88 USD y venderíamos por encima de 341,54 USD); la convicción subiría con un precio cerca de cualquiera de los dos y bajaría si la CFTC aprobara perpetuos sobre el S&amp;P 500.</w:t>
      </w:r>
    </w:p>
    <w:p>
      <w:pPr>
        <w:spacing w:after="100"/>
      </w:pPr>
      <w:r>
        <w:rPr>
          <w:b/>
        </w:rPr>
        <w:t xml:space="preserve">Qué ha cambiado desde el informe del 14-oct.</w:t>
      </w:r>
      <w:r>
        <w:t xml:space="preserve"> El negocio, a mejor; la señal, no. El 3T26 batió (ingresos récord de 1.737,3 M, +13 %, y BPA ajustado de 3,02 USD frente a 2,99 esperados) y el volumen del 4T va un 17 % arriba [1, 14]: subimos el BPA de 2026e a 12,40 USD y el de 2028e a 13,50 (13,41 antes). Pero la acción ha subido un 10 % (de 278,08 a 305,71 USD) y ya cotiza a 23,9 veces nuestro BPA de 2027e, por encima de su mediana adelantada de cinco años (20,7): el múltiplo se come la mejora. El objetivo apenas sube (de 293,06 a 296,08 USD) y la rentabilidad a 12 meses baja del 9,5 % (regla v2 del 14-oct) y del −1 % (v3 de la revisión del 16-oct) al 0,5 %. El valor intrínseco sube de 245,93 a 257,88 USD por la tasa libre más baja (5,00 % frente a 5,22 %) y el mejor 2026, aunque ahora el circulante consume caja (9 % de las ventas) y la beta se reapalanca con la deuda de CME (0,75).</w:t>
      </w:r>
    </w:p>
    <w:p>
      <w:pPr>
        <w:spacing w:after="100"/>
      </w:pPr>
      <w:r>
        <w:rPr>
          <w:b/>
        </w:rPr>
        <w:t xml:space="preserve">El negocio.</w:t>
      </w:r>
      <w:r>
        <w:t xml:space="preserve"> CME tiene el mejor foso de la infraestructura de mercados: más del 99 % de los futuros de tipos de EE. UU., contratos de referencia en índices, petróleo, gas y oro, y un margen EBITDA del 70,4 %, frente al 38-66 % de sus comparables [1, 28, 53]. El ROIC del 11,8 % supera al WACC (8,97 %) en unos 3 puntos porque el capital es casi todo fondo de comercio de CBOT y NYMEX. </w:t>
      </w:r>
      <w:r>
        <w:rPr>
          <w:b/>
        </w:rPr>
        <w:t xml:space="preserve">La calidad sostiene el crecimiento proyectado (veredicto: Sí)</w:t>
      </w:r>
      <w:r>
        <w:t xml:space="preserve">: el 5,0 % anual sale de volumen y tarifas, sin inversión neta y por debajo de lo logrado en 2019-2025.</w:t>
      </w:r>
    </w:p>
    <w:p>
      <w:pPr>
        <w:spacing w:after="100"/>
      </w:pPr>
      <w:r>
        <w:rPr>
          <w:b/>
        </w:rPr>
        <w:t xml:space="preserve">Sector y ciclo.</w:t>
      </w:r>
      <w:r>
        <w:t xml:space="preserve"> Volumen en máximos (29,4 M de contratos diarios en el 3T26, +16 %, y +22 % fuera de EE. UU.) por la volatilidad, la deuda pública y la geopolítica [1]. Las amenazas son los perpetuos de Kalshi y Coinbase (la CFTC estudia uno sobre el S&amp;P 500; CME la ha demandado) y los ataques contrato a contrato, como el ganado de ICE desde el 7-dic [20, 30, 35].</w:t>
      </w:r>
    </w:p>
    <w:p>
      <w:pPr>
        <w:spacing w:after="100"/>
      </w:pPr>
      <w:r>
        <w:rPr>
          <w:b/>
        </w:rPr>
        <w:t xml:space="preserve">Finanzas.</w:t>
      </w:r>
      <w:r>
        <w:t xml:space="preserve"> Ingresos de 6.520,6 M en 2025 y 6.972,3 M en los últimos 12 meses, sin compras; FCF de 4.333,1 M y deuda neta de 0,2 veces el EBITDA [1, 2]. Unos 870 M al año de beneficio antes de impuestos no son operativos (garantías reinvertidas y S&amp;P DJI) y dependen de los tipos; los valoramos en el puente en 9.400 M (estimación propia).</w:t>
      </w:r>
    </w:p>
    <w:p>
      <w:pPr>
        <w:spacing w:after="100"/>
      </w:pPr>
      <w:r>
        <w:rPr>
          <w:b/>
        </w:rPr>
        <w:t xml:space="preserve">Equipo y gobierno.</w:t>
      </w:r>
      <w:r>
        <w:t xml:space="preserve"> Neutro. Relevo interno ordenado (Fitzpatrick, consejera delegada en marzo de 2027; Tobin, director financiero) [38, 39], pero el presidente seguirá siendo ejecutivo y Duffy ha vendido 21,3 M USD en 12 meses [43].</w:t>
      </w:r>
    </w:p>
    <w:p>
      <w:pPr>
        <w:spacing w:after="100"/>
      </w:pPr>
      <w:r>
        <w:rPr>
          <w:b/>
        </w:rPr>
        <w:t xml:space="preserve">Valoración.</w:t>
      </w:r>
      <w:r>
        <w:t xml:space="preserve"> El DCF da 221,48 USD y el DCF inverso explica el precio: hace falta crecer un 11,0 % anual en 2027e-2033e (base 4,5 %) o aceptar una rentabilidad del 7,2 %, por debajo del WACC y del 8,0 % que pide el mercado. Los comparables por PER dan 329,67 USD: el mercado paga a CME como un activo sin riesgo. No discrepamos del consenso en beneficio (12,78 USD en 2027e frente a 12,89); discrepamos en el múltiplo y en la tasa de descuento.</w:t>
      </w:r>
    </w:p>
    <w:p>
      <w:pPr>
        <w:spacing w:after="100"/>
      </w:pPr>
      <w:r>
        <w:rPr>
          <w:b/>
        </w:rPr>
        <w:t xml:space="preserve">Riesgos y catalizadores.</w:t>
      </w:r>
      <w:r>
        <w:t xml:space="preserve"> Perpetuos sobre índices (bajista: −25,0 % a 12 meses), tipos más bajos con mercados tranquilos y el beneficio de las garantías. Catalizadores: cámara de valores (7-dic), sentencia contra la CFTC, resultados y dividendo variable de febrero y relevo de marzo [14, 20, 38]. Los foros están optimistas tras romper los 300 USD [62]. Regla 13: no cambia; la subida del último mes la explican hechos publicados (resultados y subidas de recomendación).</w:t>
      </w:r>
    </w:p>
    <w:p>
      <w:pPr>
        <w:spacing w:after="100"/>
      </w:pPr>
      <w:r>
        <w:rPr>
          <w:b/>
        </w:rPr>
        <w:t xml:space="preserve">Qué cambiaría la decisión.</w:t>
      </w:r>
      <w:r>
        <w:t xml:space="preserve"> Compraríamos por debajo de 257,88 USD (el valor intrínseco), donde la rentabilidad a 12 meses pasaría del 15 %, y venderíamos por encima de 341,54 USD. Pasaríamos a Vender si la CFTC aprueba perpetuos sobre el S&amp;P 500 y el ADV de índices cae dos trimestres; revisaríamos el base al alza si el ADV de 2027 crece más de un 8 %.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296,08 USD</w:t>
      </w:r>
      <w:r>
        <w:t xml:space="preserve"> (rentabilidad +0,5 % (base +1,7 %)) · Valor intrínseco: 257,88 USD (-15,6 % sobre 305,71) · con la prima implícita del mercado: 281,41 (-7,9 %)</w:t>
      </w:r>
    </w:p>
    <w:p>
      <w:pPr>
        <w:spacing w:after="100"/>
      </w:pPr>
      <w:r>
        <w:t xml:space="preserve">CME es el mayor mercado de derivados del mundo y la cámara de compensación de referencia en tipos, índices, energía y metales de EE. UU.: más del 99 % de los futuros de tipos, un margen EBITDA del 70 % y un FCF de 4.333,1 M en los últimos 12 meses sin necesitar capital [1, 2, 28]. Gana con la volatilidad y con los tipos altos, y reparte casi todo en dividendos y, desde 2026, en recompras.</w:t>
      </w:r>
    </w:p>
    <w:p>
      <w:pPr>
        <w:spacing w:after="100"/>
      </w:pPr>
      <w:r>
        <w:t xml:space="preserve">El precio (305,71 USD) descuenta mucho: el DCF inverso pide un crecimiento del 11,0 % anual en 2027e-2033e o una rentabilidad del 7,2 %, por debajo de nuestro WACC del 8,97 %. Por múltiplos cotiza a 23,9 veces el beneficio de los próximos 12 meses, por debajo de la mediana de los comparables (25,8) pero por encima de su mediana propia de cinco años (20,7).</w:t>
      </w:r>
    </w:p>
    <w:p>
      <w:pPr>
        <w:spacing w:after="100"/>
      </w:pPr>
      <w:r>
        <w:t xml:space="preserve">El mercado acierta en la calidad y en el buen momento del volumen, y cobra poco por el riesgo: los perpetuos y una bajada de tipos pueden quitarle crecimiento y la parte no operativa del beneficio. Tras el 3T, la mejora del beneficio ya está en el precio: a 12 meses el múltiplo da un 0,5 % con dividendo.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12,25 = 218,05 · 22,2x × 13,50 = 299,70 · 25,8x × 14,22 = 366,88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 / 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313,29 (nuestro base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 / -41,8 %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9,0 %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281,41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257,88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257,88 y 341,54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341,54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257,88 USD (valor intrínseco), con la rentabilidad a 12 meses por encima del 15 %: pasaríamos a Comprar.</w:t>
      </w:r>
    </w:p>
    <w:p>
      <w:pPr>
        <w:pStyle w:val="ListParagraph"/>
        <w:numPr>
          <w:ilvl w:val="0"/>
          <w:numId w:val="2"/>
        </w:numPr>
        <w:spacing w:after="60"/>
      </w:pPr>
      <w:r>
        <w:t xml:space="preserve">Precio por encima de 341,54 USD: pasaríamos a Vender.</w:t>
      </w:r>
    </w:p>
    <w:p>
      <w:pPr>
        <w:pStyle w:val="ListParagraph"/>
        <w:numPr>
          <w:ilvl w:val="0"/>
          <w:numId w:val="2"/>
        </w:numPr>
        <w:spacing w:after="60"/>
      </w:pPr>
      <w:r>
        <w:t xml:space="preserve">Aprobación de perpetuos sobre el S&amp;P 500 y ADV de índices de CME por debajo del de 2025 dos trimestres: Vender.</w:t>
      </w:r>
    </w:p>
    <w:p>
      <w:pPr>
        <w:pStyle w:val="ListParagraph"/>
        <w:numPr>
          <w:ilvl w:val="0"/>
          <w:numId w:val="2"/>
        </w:numPr>
        <w:spacing w:after="60"/>
      </w:pPr>
      <w:r>
        <w:t xml:space="preserve">ADV de 2027 por encima de 32 M de contratos diarios con margen EBITDA superior al 72 %: revisaríamos el base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CME es un activo de riesgo muy bajo, casi un bono con crecimiento: lo descuenta al 7,2 % y le paga 24 veces el beneficio. Tras el 3T, que el volumen récord es duradero y que los perpetuos no tocan el negocio institucional.</w:t>
      </w:r>
    </w:p>
    <w:p>
      <w:pPr>
        <w:keepNext/>
        <w:spacing w:after="100"/>
      </w:pPr>
      <w:r>
        <w:rPr>
          <w:b/>
          <w:bCs/>
        </w:rPr>
        <w:t xml:space="preserve">Lo que creemos nosotros.</w:t>
      </w:r>
    </w:p>
    <w:p>
      <w:pPr>
        <w:spacing w:after="100"/>
      </w:pPr>
      <w:r>
        <w:t xml:space="preserve">Coincidimos en el beneficio (12,78 USD en 2027e frente a 12,89 del consenso) y en el foso institucional, pero no en el múltiplo: 24 veces es la media de los años de tipos a cero, y una quinta parte del beneficio antes de impuestos depende de los tipos. Con un WACC del 9,0 %, el valor es de 221,48-257,88 USD.</w:t>
      </w:r>
    </w:p>
    <w:p>
      <w:pPr>
        <w:keepNext/>
        <w:spacing w:after="100"/>
      </w:pPr>
      <w:r>
        <w:rPr>
          <w:b/>
          <w:bCs/>
        </w:rPr>
        <w:t xml:space="preserve">Por qué podemos tener razón.</w:t>
      </w:r>
    </w:p>
    <w:p>
      <w:pPr>
        <w:spacing w:after="100"/>
      </w:pPr>
      <w:r>
        <w:t xml:space="preserve">El volumen de 2021-2026 se apoyó en la subida de tipos más rápida en cuarenta años y en la volatilidad; el beneficio de las garantías pasó de casi nada a unos 870 M al año [1, 6]. Ninguno de los dos es estructural.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05,7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en tipos de interés</w:t>
      </w:r>
      <w:r>
        <w:t xml:space="preserve">: más del 99 % de los futuros de tipos de EE. UU. y más de 100.000 M diarios de ahorro de garantías por compensación cruzada [1, 28].</w:t>
      </w:r>
    </w:p>
    <w:p>
      <w:pPr>
        <w:pStyle w:val="ListParagraph"/>
        <w:numPr>
          <w:ilvl w:val="0"/>
          <w:numId w:val="2"/>
        </w:numPr>
        <w:spacing w:after="60"/>
      </w:pPr>
      <w:r>
        <w:rPr>
          <w:b/>
        </w:rPr>
        <w:t xml:space="preserve">Volumen récord</w:t>
      </w:r>
      <w:r>
        <w:t xml:space="preserve">: 29,4 M de contratos diarios en el 3T26 (+16 %) y el 4T a la fecha +17 % [1, 14].</w:t>
      </w:r>
    </w:p>
    <w:p>
      <w:pPr>
        <w:pStyle w:val="ListParagraph"/>
        <w:numPr>
          <w:ilvl w:val="0"/>
          <w:numId w:val="2"/>
        </w:numPr>
        <w:spacing w:after="60"/>
      </w:pPr>
      <w:r>
        <w:rPr>
          <w:b/>
        </w:rPr>
        <w:t xml:space="preserve">Caja y reparto</w:t>
      </w:r>
      <w:r>
        <w:t xml:space="preserve">: FCF de 4.333,1 M en 12 meses, dividendo de 11,30 USD por acción (3,7 %) y 1.757 M de recompras en 9M26 [1, 2].</w:t>
      </w:r>
    </w:p>
    <w:p>
      <w:pPr>
        <w:pStyle w:val="ListParagraph"/>
        <w:numPr>
          <w:ilvl w:val="0"/>
          <w:numId w:val="2"/>
        </w:numPr>
        <w:spacing w:after="60"/>
      </w:pPr>
      <w:r>
        <w:rPr>
          <w:b/>
        </w:rPr>
        <w:t xml:space="preserve">Sin deuda relevante</w:t>
      </w:r>
      <w:r>
        <w:t xml:space="preserve">: deuda neta de 0,2 veces el EBITDA.</w:t>
      </w:r>
    </w:p>
    <w:p>
      <w:pPr>
        <w:pStyle w:val="ListParagraph"/>
        <w:numPr>
          <w:ilvl w:val="0"/>
          <w:numId w:val="2"/>
        </w:numPr>
        <w:spacing w:after="60"/>
      </w:pPr>
      <w:r>
        <w:rPr>
          <w:b/>
        </w:rPr>
        <w:t xml:space="preserve">Margen sin rival</w:t>
      </w:r>
      <w:r>
        <w:t xml:space="preserve">: 70,4 % de EBITDA frente al 66 % de ICE y el 58-59 % de Nasdaq y Deutsche Börse [53].</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11,0 % de crecimiento anual frente al 4,5 % de nuestra base.</w:t>
      </w:r>
    </w:p>
    <w:p>
      <w:pPr>
        <w:pStyle w:val="ListParagraph"/>
        <w:numPr>
          <w:ilvl w:val="0"/>
          <w:numId w:val="2"/>
        </w:numPr>
        <w:spacing w:after="60"/>
      </w:pPr>
      <w:r>
        <w:rPr>
          <w:b/>
        </w:rPr>
        <w:t xml:space="preserve">Múltiplo por encima de su historia</w:t>
      </w:r>
      <w:r>
        <w:t xml:space="preserve">: 23,9 veces frente a una mediana adelantada de cinco años de 20,7 [46].</w:t>
      </w:r>
    </w:p>
    <w:p>
      <w:pPr>
        <w:pStyle w:val="ListParagraph"/>
        <w:numPr>
          <w:ilvl w:val="0"/>
          <w:numId w:val="2"/>
        </w:numPr>
        <w:spacing w:after="60"/>
      </w:pPr>
      <w:r>
        <w:rPr>
          <w:b/>
        </w:rPr>
        <w:t xml:space="preserve">Perpetuos</w:t>
      </w:r>
      <w:r>
        <w:t xml:space="preserve">: la CFTC aprobó los de Kalshi y estudia uno sobre el S&amp;P 500 [20, 30].</w:t>
      </w:r>
    </w:p>
    <w:p>
      <w:pPr>
        <w:pStyle w:val="ListParagraph"/>
        <w:numPr>
          <w:ilvl w:val="0"/>
          <w:numId w:val="2"/>
        </w:numPr>
        <w:spacing w:after="60"/>
      </w:pPr>
      <w:r>
        <w:rPr>
          <w:b/>
        </w:rPr>
        <w:t xml:space="preserve">Beneficio sensible a tipos</w:t>
      </w:r>
      <w:r>
        <w:t xml:space="preserve">: unos 870 M al año no operativos, la quinta parte del beneficio antes de impuestos [1].</w:t>
      </w:r>
    </w:p>
    <w:p>
      <w:pPr>
        <w:pStyle w:val="ListParagraph"/>
        <w:numPr>
          <w:ilvl w:val="0"/>
          <w:numId w:val="2"/>
        </w:numPr>
        <w:spacing w:after="60"/>
      </w:pPr>
      <w:r>
        <w:rPr>
          <w:b/>
        </w:rPr>
        <w:t xml:space="preserve">Ventas del presidente</w:t>
      </w:r>
      <w:r>
        <w:t xml:space="preserve">: Duffy, 21,3 M USD en 12 meses, con relevo en marzo de 2027 [38, 43].</w:t>
      </w:r>
    </w:p>
    <w:p>
      <w:pPr>
        <w:pStyle w:val="Heading2"/>
      </w:pPr>
      <w:r>
        <w:t xml:space="preserve">Qué tiene que pasar para que la tesis funcione</w:t>
      </w:r>
    </w:p>
    <w:p>
      <w:pPr>
        <w:spacing w:after="100"/>
      </w:pPr>
      <w:r>
        <w:t xml:space="preserve">La tesis depende de que el volumen institucional siga creciendo y de que los perpetuos se queden en cripto. La señal en contra sería que la CFTC aprobara perpetuos sobre el S&amp;P 500 y el ADV de índices bursátiles de CME cayera dos trimestres seguidos, o que el resultado no operativo trimestral bajara de 180 M con las bajadas de tipos.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M (3T26, +16 %)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26 M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las tres cuartas partes de los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 de índices bursátiles y microcontratos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de doble dígito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 tras perpetuos sobre el S&amp;P 500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más expone a los perpetuos.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no operativo trimestral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217 M (3T26, estimación propia)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180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quinta parte del beneficio y 26 USD por acción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67 % fuera del 4T</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apalancamiento operativo y el gasto en productos nuevos.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Cámara de valores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Arranca el 7-dic-2026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clientes relevantes a mediados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Principal motor de crecimiento nuevo.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25,1x / 23,9x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CME nace en 1898 como Chicago Butter and Egg Board, se convierte en Chicago Mercantile Exchange en 1919 y en 1972 lanza los primeros futuros financieros (divisas). En 2002 sale a bolsa tras desmutualizarse. Entre 2007 y 2008 compra CBOT (bonos del Tesoro, agrícolas) y NYMEX (petróleo WTI, gas Henry Hub, metales de COMEX), y desde entonces es el mayor mercado de derivados del mundo por valor. En 2012 aporta sus índices a la empresa conjunta S&amp;P Dow Jones Indices (27 %). En 2018 compra NEX (BrokerTec y EBS). En 2021 firma una alianza de diez años con Google Cloud, que suscribe 1.000 M en preferentes. Terry Duffy, presidente desde 2002 y consejero delegado desde 2016, dejará el cargo a Lynne Fitzpatrick en 2027 [17,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Chicago Butter and Egg Board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futuros financieros del mundo (divisas)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Desmutualización y salida a bolsa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CBOT y NYMEX: tipos de interés, agrícolas, energía y metales bajo una sola cámara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S&amp;P Dow Jones Indices con S&amp;P Global (27 % para CME), que asegura la licencia del índice S&amp;P 500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NEX Group: BrokerTec (bonos del Tesoro al contado) y EBS (divisas)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de diez años con Google Cloud y preferentes de 1.000 M; aportación de la optimización de NEX a OSTTRA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OSTTRA a KKR (plusvalía de 306 M) y cuarto año seguido de ingresos récord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con FanDuel (51 % de CME) para contratos de eventos dirigidos a particulares, lanzada en diciembre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CFTC abre la puerta a los futuros perpetuos (29-may) y CME la demanda (18-jun); se anuncia el relevo de Duffy por Fitzpatrick en marzo de 2027 (17-jun); récord de volumen en el 1T26 (36,2 M de contratos diarios) y en el 3T26 para un tercer trimestre (29,4 M) [1, 20,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CME Group opera cuatro bolsas de derivados en EE. UU. (CME, CBOT, NYMEX y COMEX) y una cámara de compensación central, CME Clearing, por la que pasan todos sus contratos. Lista futuros y opciones de tipos de interés (SOFR, bonos del Tesoro), índices bursátiles (E-mini S&amp;P 500 y Nasdaq-100), energía (WTI, gas Henry Hub), agrícolas, metales (oro, cobre), divisas y criptomonedas. Además opera BrokerTec (bonos del Tesoro al contado y repos) y EBS (divisas), vende datos de mercado, tiene el 27 % de S&amp;P Dow Jones Indices y el 51 % de FanDuel Prediction Markets. Sus clientes son bancos, gestoras, fondos de cobertura, operadores de alta frecuencia, productores y consumidores de materias primas y, cada vez más, particulares (más de 100.000 nuevos en el 3T26). En el 3T26 negoció 29,4 M de contratos diarios, 9,0 M de ellos desde fuera de EE. UU. [1, 6, 14].</w:t>
      </w:r>
    </w:p>
    <w:p>
      <w:pPr>
        <w:pStyle w:val="Heading2"/>
      </w:pPr>
      <w:r>
        <w:t xml:space="preserve">Cómo gana dinero</w:t>
      </w:r>
    </w:p>
    <w:p>
      <w:pPr>
        <w:spacing w:after="100"/>
      </w:pPr>
      <w:r>
        <w:t xml:space="preserve">Cobra una comisión por contrato negociado y compensado (0,679 USD de media en el 3T26), que da el 79 % de los ingresos y depende del volumen y de la mezcla: los tipos de interés pagan 0,49 USD por contrato y la energía o los metales más de 1,1 [1]. Los costes son casi fijos (margen EBITDA del 70,5 % en el 3T26), así que el volumen extra pasa casi entero al beneficio. Los datos de mercado (14 % de los ingresos del 3T26, +20 %) son recurrentes y suben con las tarifas. Fuera de la cuenta operativa gana el diferencial de las garantías en efectivo de los miembros (147.000 M de media en el 3T26, a unos 33 puntos básicos) y su parte de S&amp;P DJI: el resultado no operativo fue de 1.101 M en 2025 (con la plusvalía de OSTTRA) y de 635 M en 9M26 [1, 2, 14]. Va mejor con volatilidad (tipos, energía, geopolítica) y con tipos altos.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Compensación y negociación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 e información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Compensación y negociación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 e información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r>
    </w:tbl>
    <w:p>
      <w:pPr>
        <w:spacing w:after="160" w:before="0"/>
      </w:pPr>
    </w:p>
    <w:p>
      <w:pPr>
        <w:pStyle w:val="Heading2"/>
      </w:pPr>
      <w:r>
        <w:t xml:space="preserve">Clientes, recurrencia y poder de precios</w:t>
      </w:r>
    </w:p>
    <w:p>
      <w:pPr>
        <w:spacing w:after="100"/>
      </w:pPr>
      <w:r>
        <w:t xml:space="preserve">No hay concentración relevante por cliente: los ingresos se reparten entre miles de participantes a través de unos 50 miembros compensadores, aunque los grandes bancos intermedian la mayor parte [6]. El cliente paga por operación, pero las posiciones abiertas (128 M de contratos a 30-sep-2026) y la compensación cruzada de garantías, que ahorra más de 100.000 M diarios a los usuarios, lo atan a la cámara [14]. El poder de precios está demostrado: CME sube tarifas cada año sin perder cuota en sus contratos de referencia; los cambios del 1-oct-2026 añaden un 0,5-1 % a las comisiones en año completo y la empresa pasa de una subida anual en abril a ajustes repartidos en el año [14]. El riesgo está en los particulares, más sensibles al precio y público de los perpetuos de Kalshi y Coinbase [20, 33].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(ADV), contratos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un tercer trimestre; los seis tipos de activo crecieron a doble dígito; 1T26 récord absoluto de 36,2 M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 fuera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EMEA 6,5 M (+20 %) y Asia-Pacífico 2,1 M (+28 %) según la conferencia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medio por contrato (RPC)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0,702 USD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0,679 USD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por mezcla: más tipos de interés (0,489) y menos metales; la subida de tarifas del 1-oct-2026 añade un 0,5-1 % a las comisiones en año completo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datos de mercado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 trimestres seguidos de crecimiento; más de la mitad de la demanda viene de fuera de EE. UU.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Posiciones abiertas (open interest), contratos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M (30-sep-2026); más de 133 M el 21-oct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atribuye que crezcan menos que el volumen a los vencimientos semanales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Ahorro diario de garantías por compensación cruzada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40.000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100.000 M USD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medida del coste de cambio: un cliente que se va a otra cámara pierde ese ahorro [1,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derivados cotizados (futuros y opciones) y su compensación central, el negocio que da a CME el 80 % de sus ingresos. Se mide en contratos (FIA) porque no hay una cifra pública de ingresos del sector; para CME pesan sobre todo los futuros, donde el tamaño del contrato es mucho mayor que en las opciones sobre índices indios que inflan el total. Se usa el volumen de futuros de FIA como referencia y se contrasta con el de CME [24,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30.640 M de contratos de futuros negociados en el mundo en 2025 (+8,6 %), de un total de 119.290 M de derivados cotizados (−42,2 % por las opciones indias); Norteamérica, 24.500 M de contratos de futuros y opciones (+24,0 %) (FIA, releído el 26-oct) [24]. CME negoció unos 7.100 M de contratos (28,1 M diarios)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de tipos y deuda pública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Tipos de interés: 15,1 M de contratos diarios en el 3T26 (+13 %); el déficit federal aumenta la deuda que hay que cubrir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energía y metales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seis tipos de activo crecieron a doble dígito en el 3T26; el volumen fuera de EE. UU. subió un 22 % [1,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Particulares y microcontratos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trimestres seguidos de crecimiento de doble dígito en captación de particulares y más de 100.000 nuevos en el 3T26 (+40 %); récord de 121.000 contratos E-nano en un día [14]. Es el segmento donde entran los perpetuos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Nivel de 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Reserva Federal bajando tipos, el ingreso por las garantías reinvertidas cayó un 8 % en el 3T26 (1.392 M frente a 1.514 M) pese a más saldo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productos nuevos (perpetuos, eventos, cómputo)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CFTC permitió los perpetuos en mayo de 2026; CME espera su decisión sobre futuros de capacidad de cómputo tras un periodo de comentarios ampliado hasta ≈ 9-nov-2026 [14, 33].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cada contrato de referencia hay un mercado dominante: CME tiene más del 99 % de los futuros de tipos de EE. UU. [28]; ICE domina el Brent y Eurex el Bund.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bancos compensadores concentran el flujo y negocian descuentos por volumen; han apoyado intentos de competencia (FMX en tipos).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(Google Cloud) y licencias de índices (S&amp;P DJI, participada por CME); costes casi fijos.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la liquidez y la compensación cruzada; los perpetuos de Kalshi y Coinbase y FMX en bonos del Tesoro muestran que la regulación de 2026 las rebaja en el segmento de particulares [20,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Derivados extrabursátiles (swaps), ETF apalancados y perpetuos; los institucionales siguen necesitando futuros con vencimiento y compensación central [23].</w:t>
            </w:r>
          </w:p>
        </w:tc>
      </w:tr>
    </w:tbl>
    <w:p>
      <w:pPr>
        <w:spacing w:after="160" w:before="0"/>
      </w:pPr>
    </w:p>
    <w:p>
      <w:pPr>
        <w:pStyle w:val="Heading2"/>
      </w:pPr>
      <w:r>
        <w:t xml:space="preserve">Ciclo</w:t>
      </w:r>
    </w:p>
    <w:p>
      <w:pPr>
        <w:spacing w:after="100"/>
      </w:pPr>
      <w:r>
        <w:t xml:space="preserve">El volumen de CME lleva cuatro años de récords (28,1 M diarios en 2025, 29,4 M en el 3T26) con tipos altos y volátiles [5, 25]. En 2008-09 el volumen cayó tras el pico de la crisis; en 2020 subió con la volatilidad y bajó al quedarse los tipos en cero (BPA ajustado de 6,72 USD frente a 6,80 en 2019); en 2022 la subida de tipos lo disparó (+19 %). Es un negocio contracíclico frente a la bolsa: sufre en la calma, no en las caídas.</w:t>
      </w:r>
    </w:p>
    <w:p>
      <w:pPr>
        <w:pStyle w:val="Heading2"/>
      </w:pPr>
      <w:r>
        <w:t xml:space="preserve">Regulación</w:t>
      </w:r>
    </w:p>
    <w:p>
      <w:pPr>
        <w:spacing w:after="100"/>
      </w:pPr>
      <w:r>
        <w:t xml:space="preserve">La CFTC supervisa a CME como mercado designado y cámara sistémica (con cuenta en la Reserva Federal de Chicago, donde tenía 139.100 M a 30-sep-2026) [2]. En 2026 la CFTC aprobó los futuros perpetuos de Kalshi (29-may) y permitió a otros mercados autocertificarlos; CME la ha demandado (18-jun) y en la conferencia del 3T26 no quiso decir si los listaría si gana [14, 33]. La SEC obliga a compensar centralmente los bonos del Tesoro al contado y los repos: CME Securities Clearing arranca el 7-dic-2026 [14]. La CFTC tiene en consulta los futuros sobre capacidad de cómputo de CME [14, 37]. El reparto de competencias SEC-CFTC sobre cripto y contratos de eventos sigue abierto.</w:t>
      </w:r>
    </w:p>
    <w:p>
      <w:pPr>
        <w:pStyle w:val="Heading2"/>
      </w:pPr>
      <w:r>
        <w:t xml:space="preserve">Tendencias y disrupción</w:t>
      </w:r>
    </w:p>
    <w:p>
      <w:pPr>
        <w:spacing w:after="100"/>
      </w:pPr>
      <w:r>
        <w:t xml:space="preserve">Negociación 24 horas en cripto y metales (oro de 1 onza y plata de 100 onzas en 24/7), futuros sobre acciones individuales (350.000 contratos desde el lanzamiento con 25 intermediarios minoristas), contratos de eventos con FanDuel y futuros deportivos [14]. CME retiró el crudo 24/7 de 10 barriles porque los comerciales no lo querían [14, 37]. La competencia llega por los particulares (perpetuos de Kalshi y Coinbase) y por ataques puntuales a contratos concretos: índices bursátiles de Bloomberg en otro mercado (junio de 2026) y ganado de ICE desde el 7-dic-2026 [34, 35]. La migración a Google Cloud (producción de Chicago a finales de 2027) y la compensación de valores son las palancas propias [14].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del mundo en futuros por valor nocional y por ingresos; más del 99 % de los futuros de tipos de interés de EE. UU. [28], líder en índices bursátiles (E-mini S&amp;P 500), WTI, gas Henry Hub, oro y agrícolas de EE. UU.; 28,1 M de contratos diarios en 2025, en torno al 23 % de los futuros negociados en el mundo (7.100 M sobre 30.640 M, estimación propia) [5,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energía (Brent, gas europeo TTF) y tipos europeos; además hipotecas y datos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Cboe Global Markets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CBOE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Opciones sobre el S&amp;P 500 y el VIX; compite con las opciones sobre E-mini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NDAQ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Opciones sobre acciones y software financiero; poca presencia en futuros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 (Eurex)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DB1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Derivados europeos (Bund, Euro Stoxx) y compensación de swaps en euros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Kalshi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eventos y, desde mayo de 2026, perpetuos sobre bitcoin, oro y plata; ha pedido perpetuos sobre el S&amp;P 500. Ingresos anualizados de más de 2.000 M (prensa, no auditados) [27,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FMX Futures (BGC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BGC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 SOFR y de bonos del Tesoro desde 2024-2025, respaldado por grandes bancos; sin cuota relevante frente a CME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atrae liquidez: más del 99 % de los futuros de tipos de EE. UU. pese a FMX [13]; ADV récord cuatro años seguidos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compensación cruzada de garantías entre tipos, índices y bonos al contado ahorra capital a los miembros; mover posiciones abiertas (+8 % interanual) a otra cámara cuesta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los índices S&amp;P a través de S&amp;P Dow Jones Indices (27 % de CME) y contratos de referencia (WTI, Henry Hub, Treasury)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70 % en 2025, frente al 67 % de ICE y el 58 % de Nasdaq y Deutsche Börse [4,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solo mercado por contrato de referencia es lo eficiente; los entrantes se quedan con nichos (FMX) o con otros públicos (Kalshi).</w:t>
            </w:r>
          </w:p>
        </w:tc>
      </w:tr>
    </w:tbl>
    <w:p>
      <w:pPr>
        <w:spacing w:after="160" w:before="0"/>
      </w:pPr>
    </w:p>
    <w:p>
      <w:pPr>
        <w:pStyle w:val="Heading2"/>
      </w:pPr>
      <w:r>
        <w:t xml:space="preserve">Amenazas</w:t>
      </w:r>
    </w:p>
    <w:p>
      <w:pPr>
        <w:spacing w:after="100"/>
      </w:pPr>
      <w:r>
        <w:t xml:space="preserve">La amenaza principal es regulatoria: la CFTC de 2026 deja que plataformas pensadas para particulares (Kalshi, Coinbase) listen perpetuos con apalancamiento alto, primero en cripto y metales y, si lo aprueba, en el S&amp;P 500 [20, 27, 33]. El 2-jun-2026 Cboe cayó un 9 % y CME un 4 % por esa aprobación [33]. Afectaría a los microcontratos y a cripto, una parte pequeña de los ingresos; los institucionales necesitan vencimientos, entrega y compensación cruzada. La segunda es la entrada contrato a contrato: índices de Bloomberg (junio de 2026), ganado y cerdo de ICE (7-dic-2026, cuatro contratos) y FMX en tipos, que en dos años no ha ganado cuota apreciable [28, 34, 35]. Probabilidad media de pérdida de cuota en particulares; baja en el negocio institucional.</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2019-2025: ingresos </w:t>
      </w:r>
      <w:r>
        <w:rPr>
          <w:b/>
          <w:bCs/>
        </w:rPr>
        <w:t xml:space="preserve">5,0 %</w:t>
      </w:r>
      <w:r>
        <w:t xml:space="preserve">, EBITDA </w:t>
      </w:r>
      <w:r>
        <w:rPr>
          <w:b/>
          <w:bCs/>
        </w:rPr>
        <w:t xml:space="preserve">6,9 %</w:t>
      </w:r>
      <w:r>
        <w:t xml:space="preserve">, BPA </w:t>
      </w:r>
      <w:r>
        <w:rPr>
          <w:b/>
          <w:bCs/>
        </w:rPr>
        <w:t xml:space="preserve">11,2 %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crecieron de 4.689,7 M en 2021 a 6.520,6 M en 2025, un 8,6 % anual, sin compras: volumen récord cuatro años seguidos y subidas anuales de tarifas [5, 6]. El margen EBITDA pasó del 64,6 % al 69,9 %: con costes casi fijos, cada punto de ingresos añade casi un punto de beneficio. 2026 va mejor: en nueve meses los ingresos suman 5.323,6 M (+9,4 %) y el BPA ajustado 9,38 USD, frente a 8,44 un año antes [1]. El 3T26 (ingresos +13 %, BPA ajustado 3,02 USD frente a 2,68) recupera el ritmo tras un 2T plano (+0,8 %) [1, 3]. Una quinta parte del beneficio antes de impuestos no es operativa: el diferencial de las garantías reinvertidas y S&amp;P DJI dieron 1.101 M en 2025, con 306,1 M de plusvalía por OSTTRA, y unos 217 M por trimestre ajustados en el 3T26 [1, 6].</w:t>
      </w:r>
    </w:p>
    <w:p>
      <w:pPr>
        <w:pStyle w:val="Heading2"/>
      </w:pPr>
      <w:r>
        <w:t xml:space="preserve">Ajustes y partidas no recurrentes</w:t>
      </w:r>
    </w:p>
    <w:p>
      <w:pPr>
        <w:spacing w:after="100"/>
      </w:pPr>
      <w:r>
        <w:t xml:space="preserve">CME publica un BPA ajustado que quita la amortización de los intangibles comprados (≈ 0,50 USD por acción al año: 223 M antes de impuestos más la de S&amp;P DJI y FanDuel en participadas), reestructuraciones, litigios, plusvalías y minusvalías de inversiones y efectos fiscales puntuales [1, 5]. BPA ajustado diluido: 2018 6,82; 2019 6,80; 2020 6,72; 2021 6,67; 2022 7,97; 2023 9,34; 2024 10,26; 2025 11,20; 9M26 9,38 (3T26 3,02 frente a 2,68) [1, 5, 7, 8, 9, 10, 11, 12]. La diferencia con el publicado es casi toda la amortización de intangibles, que se repite cada año y no es no recurrente; además, 2025 lleva la plusvalía de 306,1 M de la venta de OSTTRA (publicado 11,16 frente a 11,20 ajustado) y 2021 plusvalías de la aportación a OSTTRA (7,29 frente a 6,67) [6, 10]. El objetivo a 12 meses usa el BPA ajustado en los escenarios y en la historia del PER (la misma base), que es el que sigue el consenso.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3T26 (21-oct) el tono pasó de defender el foso a hablar de crecimiento: la dirección destacó el 3T de más ingresos de su historia (1.737,3 M, +13 %), un volumen medio de 29,4 M de contratos diarios (+16 %) con los seis tipos de activo creciendo a doble dígito, los datos de mercado en 243,1 M (+20 %) y el ahorro de garantías por compensación cruzada por encima de 100.000 M diarios [1, 14]. Adelantó que el 4T va un 17 % por encima en volumen, que la subida de tarifas del 1-oct añade un 0,5-1 % a las comisiones y que la cámara de valores (bonos del Tesoro al contado y repos) arranca el 7-dic; los futuros sobre capacidad de cómputo esperan a la CFTC y el contrato de crudo 24/7 de 10 barriles se ha retirado [14, 37]. Frente a la del 2T26 (22-jul), dedicada casi entera a los perpetuos y a la demanda contra la CFTC [22, 29], las preguntas se centraron en los gastos, el reparto entre dividendo variable y recompras («flexible») y el dinero de OSTTRA, ya reinvertido en recompras [14]. La dirección sigue sin cuantificar qué parte de los ingresos viene de particulares y cripto.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198.424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el activo total crece un 66 % y los ingresos un 0 %; 2021: el activo total crece un 58 % y los ingresos un -4 %; 2025: el activo total crece un 44 % y los ingresos un 6 %).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 deuda bruta lleva cinco años plana en unos 3.425 M de bonos con vencimientos entre 2028 y 2048, y la caja corporativa baja de 4.417 M a cierre de 2025 a 2.424 M a 30-sep-2026 por el dividendo variable de marzo (≈ 2.200 M) y 1.757 M de recompras en nueve meses [1, 2]. La deuda neta es de unos 1.000 M, 0,2 veces el EBITDA. El activo total, de 130.000 a 200.000 M, depende de las garantías de los miembros (155.180 M a septiembre), con un pasivo igual, y no dice nada del negocio. El circulante comercial sube al 10,3 % de las ventas por las cuentas a cobrar de septiembre, mes récord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2019-2025: FCF </w:t>
      </w:r>
      <w:r>
        <w:rPr>
          <w:b/>
          <w:bCs/>
        </w:rPr>
        <w:t xml:space="preserve">21.354</w:t>
      </w:r>
      <w:r>
        <w:t xml:space="preserve">, conversión </w:t>
      </w:r>
      <w:r>
        <w:rPr>
          <w:b/>
          <w:bCs/>
        </w:rPr>
        <w:t xml:space="preserve">105 %</w:t>
      </w:r>
      <w:r>
        <w:t xml:space="preserve"> del beneficio neto; adquisiciones 17, dividendos 19.381, recompras 266.</w:t>
      </w:r>
    </w:p>
    <w:p>
      <w:pPr>
        <w:spacing w:after="100"/>
      </w:pPr>
      <w:r>
        <w:t xml:space="preserve">La conversión de beneficio en caja es completa: en 2021-2025 el FCF acumulado fue de 16.409 M, un 102 % del beneficio neto, con un capex de 76-127 M al año [6, 13]. Casi todo se reparte: dividendos de 3.933 M en 2025 y de 3.630,5 M en 9M26, más recompras de 1.757,3 M en 9M26 que se pagan con el cobro de OSTTRA (1.591,4 M en 2025) [1, 2]. El flujo de 2021 incluye 965 M de las preferentes de Google, que no son caja del negocio. El FCF de los últimos 12 meses (4.333,1 M) lleva intereses de las garantías que dependen del nivel de tipos.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y el control interno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sencillas y de alta calidad: comisiones cobradas en el día a través de la cámara, sin capitalización relevante de gastos, sin compras en cinco años y el mismo auditor (EY) desde 2002 [6, 16]. El BPA ajustado difiere del publicado por la amortización de intangibles de compras antiguas (≈ 223 M al año), que se repite y que el mercado y el consenso excluyen, y por plusvalías puntuales (OSTTRA en 2021 y 2025). El Altman Z (0,57) sale en zona de riesgo porque el activo incluye unos 155.000 M de garantías de terceros; no mide riesgo real. Lo que merece vigilancia es la parte no operativa del beneficio, que depende de los tipos y del volumen de garantías.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no operativo sensible a tipos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870 M al año antes de impuestos con el ritmo del 3T26 (estimación propia) [1]; bajaría con los tipos.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en el BPA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OSTTRA en 2025 (306,1 M) y en 2021; el BPA ajustado las quita [5,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Altman Z sin sentido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Distorsionado por las garantías de los miembros, no por el riesgo de la empresa.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Fondo de comercio y compras</w:t>
      </w:r>
    </w:p>
    <w:p>
      <w:pPr>
        <w:spacing w:after="100"/>
      </w:pPr>
      <w:r>
        <w:t xml:space="preserve">Fondo de comercio: 10.515 M en 2025 (el 38 % del capital invertido medio); ha subido más de un 5 % en 0 de 6 años: sin compras. ROIC publicado 11,8 %; sin fondo de comercio, 19,1 %.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9,0 %.</w:t>
      </w:r>
    </w:p>
    <w:p>
      <w:pPr>
        <w:spacing w:after="100"/>
      </w:pPr>
      <w:r>
        <w:t xml:space="preserve">CME crea valor, pero menos de lo que sugiere su margen: el ROIC subió del 7,4 % en 2021 al 11,8 % en 2025, por encima del WACC (8,97 %) desde 2023, con una distancia de unos 3 puntos. Sube por el margen (el EBIT pasó del 56,4 % al 64,9 % de las ventas), no por la rotación: el capital invertido (≈ 27.400 M) es casi todo fondo de comercio e intangibles de las compras de CBOT y NYMEX de 2007-2008 y no ha crecido en cinco años. Sin fondo de comercio el ROIC es del 19,1 %, y el rendimiento del capital tangible es de varias veces el WACC: el negocio no necesita capital para crecer. Frente a ICE (8,6 %) y Nasdaq (10,4 %), que han hecho compras grandes, rinde más [53]. El ROIC no recoge el beneficio no operativo (≈ 870 M al año).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2.198,5 M más 225 M depositados en la FICC (2.424 M) a 30-sep-2026; línea de crédito sénior multidivisa de 2.300 M sin disponer (vence en abril de 2030) que respalda el papel comercial; línea garantizada de 364 días de 7.000 M y repos comprometidos de 1.000 M solo para la cámara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AA− (S&amp;P) y Aa3 (Moody's) según las fuentes del informe anterior; el 10-K y el 10-Q no publican la nota y solo dicen que la empresa espera mantener el grado de inversión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No hay pensiones de prestación definida relevantes ni pagos aplazados de compras. Los compromisos que importan son de la cámara: si un miembro quiebra, el orden de pérdidas usa sus garantías y sus aportaciones al fondo de garantía, luego capital propio de CME y después el fondo de los demás miembros; para la liquidez de ese caso tiene la línea de 7.000 M de 364 días [2, 6]. Las garantías de los miembros (155.180 M) no son de CME: tienen un pasivo igual y solo cuentan por el diferencial que CME se queda al reinvertirlas. La línea de crédito sénior exige un patrimonio neto consolidado de al menos el 65 % del de 2024 ajustado por recompras; la holgura es amplia (26.560 M frente a ≈ 17.000 M) [2]. Litigio de la demanda colectiva de los miembros de clase B (costes en 2025) y demanda de CME contra la CFTC por los perpetuos (no lleva provisión) [2].</w:t>
      </w:r>
    </w:p>
    <w:p>
      <w:pPr>
        <w:pStyle w:val="Heading1"/>
      </w:pPr>
      <w:r>
        <w:t xml:space="preserve">12. Asignación de capital</w:t>
      </w:r>
    </w:p>
    <w:p>
      <w:pPr>
        <w:pStyle w:val="Confianza"/>
        <w:spacing w:after="100"/>
      </w:pPr>
      <w:r>
        <w:t xml:space="preserve">Confianza: Alta</w:t>
      </w:r>
    </w:p>
    <w:p>
      <w:pPr>
        <w:spacing w:after="100"/>
      </w:pPr>
      <w:r>
        <w:t xml:space="preserve">Dividendo trimestral ordinario (1,30 USD desde el 1T26, +4 %) más un dividendo variable anual que reparte el exceso de caja del ejercicio: 6,15 USD por 2025 (≈ 2.200 M), pagado en marzo de 2026 [5]. Programa de recompra de hasta 3.000 M aprobado en diciembre de 2024: 266 M en 2025 y 1.757 M en 9M26 (6,4 M de acciones a 272,89 USD de media; 524 M en el 3T26 a 255,81 USD); quedan 1.000 M disponibles [1, 2]. En el 3T26 devolvió casi 1.000 M (465 M en dividendos y 524 M en recompras) [1]. La dirección dice que el reparto entre dividendo variable y recompra es flexible y que el ingreso de OSTTRA ya está reinvertido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 Group (BrokerTec, EBS, Traiana, TriOptima)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deuda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Añadió la negociación electrónica de bonos del Tesoro (BrokerTec) y divisas (EBS). Los negocios de post-negociación se aportaron en 2021 a OSTTRA (50 % con S&amp;P Global), vendida a KKR en 2025 con una plusvalía de 306,1 M y 1.591,4 M de cobro [6]. Sin deterioros del fondo de comercio.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FanDuel Prediction Markets (51 %, empresa conjunta con FanDuel/Flutter)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Aportación de capital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Aplicación de contratos de eventos para particulares lanzada en diciembre de 2025; se contabiliza por puesta en equivalencia y aún pesa poco en el resultado [6].</w:t>
            </w:r>
          </w:p>
        </w:tc>
      </w:tr>
    </w:tbl>
    <w:p>
      <w:pPr>
        <w:spacing w:after="160" w:before="0"/>
      </w:pPr>
    </w:p>
    <w:p>
      <w:pPr>
        <w:spacing w:after="100"/>
      </w:pPr>
      <w:r>
        <w:t xml:space="preserve">La dirección asigna el capital con disciplina: en cinco años no ha comprado nada relevante, reparte casi todo el FCF con un dividendo variable anual y en 2026 ha empezado a recomprar con la acción por debajo de máximos (1.757 M en nueve meses a 272,89 USD de media, 524 M en el 3T26 a 255,81 USD) [1, 2]. El dinero de OSTTRA se ha reinvertido así, no en compras. El ROIC subió del 7,4 % de 2021 al 11,8 % de 2025 porque el capital invertido no crece y el NOPAT sí; ese capital es casi todo fondo de comercio e intangibles de CBOT y NYMEX. Quedan 1.000 M del programa de recompra; no se cuentan en nuestro BPA.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Terrence A. Duffy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presidente ejecutivo desde el relevo (1-mar-2027) hasta el 31-dic-2027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Operador del parqué, presidente desde 2002 y consejero delegado desde 2016. Hizo la fusión con CBOT (2007), la compra de NYMEX (2008) y de NEX (2018), la alianza con Google Cloud (2021) y la empresa conjunta con FanDuel (2025); bajo su mando el volumen ha marcado récord cuatro años seguidos y la capitalización pasó de menos de 1.000 M a más de 95.000 M [16,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Lynne C. Fitzpatrick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directora financiera; consejera delegada desde el 1-mar-2027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de inversión en Credit Suisse y UBS; en CME desde 2006 (desarrollo corporativo y tesorería), directora financiera desde abril de 2023 y presidenta desde noviembre de 2024. Ha cumplido la guía de gastos de 2025 (1.625 M frente a 1.650 M) y lleva la nube y la compensación de valores [38, 40,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Tobin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contabilidad; director financiero adjunto desde el 2-nov-2026 y director financiero desde marzo 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35 años en finanzas; en CBOT desde 2002 y director de contabilidad de CME desde 2015. Su nombramiento cubre la vacante que deja Fitzpatrick con una promoción interna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Suzanne Sprague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operaciones y responsable mundial de compensación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CME desde 2002; responsable de compensación y post-negociación desde 2022 y directora de operaciones desde noviembre de 2024. Lanza CME Securities Clearing el 7-dic-2026 [6,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Julie M. Winkler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clientes, datos de mercado y particulares: 34 trimestres seguidos de crecimiento de los datos de mercado y diez de captación de particulares a doble dígito [2, 14].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sin licencias ≈ 1.695 M; capex ≈ 85 M; tipo impositivo ajustado del 23,5-24,5 % (4-feb-2026) [40]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1.244,6 M de gastos ajustados sin licencias (implica 450 M en el 4T para llegar a la guía); capex 61,2 M; tipo efectivo publicado del 22,9 %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sin licencias ≈ 1.650 M; capex ≈ 90 M; tipo ajustado del 22,5-23,5 % (12-feb-2025)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1.625 M de gastos sin licencias; capex 83,5 M [5, 40]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ajustados sin licencias (guía de febrero de 2024; cifra no leída)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1.590 M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relevo interno: Duffy preside desde 2002, Fitzpatrick (en la casa desde 2006, directora financiera desde 2023) será consejera delegada el 1-mar-2027 y Jack Tobin, director de contabilidad desde 2015, la sustituirá como director financiero [38, 39]. La guía de gastos se cumplió en 2024 y 2025 [40, 41]. Restan dos cosas: Duffy seguirá de presidente ejecutivo todo 2027, y ha vendido acciones por 21,3 M USD en 12 meses, el doble de su ritmo de 2023-2025 [43]; no es una señal fuerte en un consejero delegado que se retira, pero tampoco ayuda.</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Terrence A. Duffy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Kathryn Benesh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Supervisión de la regulación de mercado,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Timothy S. Bitsberger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Ejecutiva, Finanzas, Supervisión de la regulación de mercado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Charles P. Carey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Ejecutiva, Finanzas,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Bryan T. Durkin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(expresidente ejecutivo de CME hasta 2020)</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Supervisión de la cámara,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Harold Ford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Martin J. Gepsman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Supervisión de la cámara,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Daniel G. Kaye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(experto financiero de auditoría)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Ejecutiva,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Phyllis M. Lockett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Ejecutiva, Nombramientos y gobierno,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Deborah J. Lucas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Supervisión de la cámara, Finanzas, Supervisión de la regulación de mercado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Rahael Seifu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Ejecutiva, Supervisión de la regulación de mercado,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William R. Shepard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Supervisión de la cámara, Finanzas,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Howard J. Siegel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Supervisión de la cámara, Ejecutiva,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Dennis A. Suskind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Ejecutiva, Supervisión de la regulación de mercado, Nombramientos y gobierno,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William W. Hobert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la clase B-1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Supervisión de la cámara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Patrick J. Mulchrone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la clase B-1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Supervisión de la cámara,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J. Tierney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la clase B-1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Supervisión de la cámara,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Patrick W. Maloney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la clase B-2</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Riesgos,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Elizabeth A. Cook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elegida por la clase B-3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y el control interno de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0,08 / ventas 28,20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(indexado)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36,2 M de acciones según su 13G/A del 5-mar-2026 [16]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(indexado)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28,9 M de acciones según su 13G/A de noviembre de 2024 (último que cita el proxy) [16]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(30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912.542 acciones de clase A a marzo de 2026; ventas netas de 31,2 M USD en 12 meses [16,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recompradas se amortizan: 6,4 M en 9M26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Terrence A. Duffy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Bryan T. Durkin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 Vroman (director de transformación)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Jonathan L. Marcus (secretario general,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Terrence A. Duffy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Hilda Harris Piell (recursos humanos)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Terrence A. Duffy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William R. Shepard (consejero; reinversión de dividendos)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J. Gepsman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Duffy cobró 23,39 M USD en 2025 (23,95 M en 2024): 2,0 M de fijo, 7,13 M de bonus anual y 13,32 M en acciones; 140 veces la retribución mediana de la plantilla (167.162 USD) [16]. Al menos el 50 % de la retribución objetivo de los altos directivos depende de resultados: el bonus, de los «cash earnings» y del margen de beneficio neto (no paga por debajo del umbral), y las acciones de rendimiento, del TSR relativo a tres años, con el pago limitado al 100 % si el TSR absoluto es negativo [16]. Hay cláusula de recuperación (clawback) por reexpresión de cuentas [16]. El voto consultivo de la junta del 14-may-2026 salió con un 88,0 % a favor y un 11,7 % en contra (259,6 M frente a 34,5 M de votos) y el de 2025 con un 87 % a favor [16, 45]: apoyo suficiente pero por debajo del 90 % habitual en el S&amp;P 500. El nuevo contrato de Duffy como presidente ejecutivo (16-jun-2026) va hasta el 31-dic-2027 [38].</w:t>
      </w:r>
    </w:p>
    <w:p>
      <w:pPr>
        <w:pStyle w:val="Heading2"/>
      </w:pPr>
      <w:r>
        <w:t xml:space="preserve">Operaciones vinculadas, estructura de control y defensas</w:t>
      </w:r>
    </w:p>
    <w:p>
      <w:pPr>
        <w:spacing w:after="100"/>
      </w:pPr>
      <w:r>
        <w:t xml:space="preserve">No hay accionista de control: Vanguard (10,0 %) y BlackRock (8,0 %) son los mayores y el 87,8 % del capital votó en la junta de 2026 [16, 42]. No es una acción, un voto: las acciones de clase B (3.138 títulos de los antiguos miembros de CME, CBOT y NYMEX) eligen seis de los 19 consejeros y tienen derechos sobre las reglas de negociación. El consejo propuso en 2026 quitarles ese derecho: la clase A y B conjunta votó a favor con un 80,3 %, pero los titulares de B-1 y B-2 lo rechazaron (27,8 % y 23,4 % a favor) y la B-3 no alcanzó quórum, así que no prosperó [16, 42]. Esos seis consejeros representan a operadores que son a la vez clientes de CME. El presidente es ejecutivo y lo seguirá siendo hasta finales de 2027; hay un consejero independiente coordinador (Carey). Las preferentes de Google (serie G) se convirtieron en acciones de clase A en marzo de 2026 y la serie se eliminó en septiembre [2, 44].</w:t>
      </w:r>
    </w:p>
    <w:p>
      <w:pPr>
        <w:pStyle w:val="Heading2"/>
      </w:pPr>
      <w:r>
        <w:t xml:space="preserve">Señales de alerta</w:t>
      </w:r>
    </w:p>
    <w:p>
      <w:pPr>
        <w:pStyle w:val="ListParagraph"/>
        <w:numPr>
          <w:ilvl w:val="0"/>
          <w:numId w:val="2"/>
        </w:numPr>
        <w:spacing w:after="60"/>
      </w:pPr>
      <w:r>
        <w:t xml:space="preserve">Relevo del consejero delegado anunciado el 17-jun-2026 para el 1-mar-2027 (Fitzpatrick), con Duffy como presidente ejecutivo hasta el 31-dic-2027, y nuevo director financiero (Tobin) en marzo de 2027: tres cambios en la cúpula en nueve meses, todos internos y anunciados con antelación [38, 39].</w:t>
      </w:r>
    </w:p>
    <w:p>
      <w:pPr>
        <w:pStyle w:val="ListParagraph"/>
        <w:numPr>
          <w:ilvl w:val="0"/>
          <w:numId w:val="2"/>
        </w:numPr>
        <w:spacing w:after="60"/>
      </w:pPr>
      <w:r>
        <w:t xml:space="preserve">Ventas de Duffy de 21,3 M USD en 12 meses (75.000 acciones), el doble de su ritmo de 2023-2025 [43].</w:t>
      </w:r>
    </w:p>
    <w:p>
      <w:pPr>
        <w:pStyle w:val="ListParagraph"/>
        <w:numPr>
          <w:ilvl w:val="0"/>
          <w:numId w:val="2"/>
        </w:numPr>
        <w:spacing w:after="60"/>
      </w:pPr>
      <w:r>
        <w:t xml:space="preserve">Los titulares de clase B (miembros operadores) bloquearon en junio de 2026 la eliminación de sus seis consejeros, pese al 80 % a favor del capital [42].</w:t>
      </w:r>
    </w:p>
    <w:p>
      <w:pPr>
        <w:pStyle w:val="ListParagraph"/>
        <w:numPr>
          <w:ilvl w:val="0"/>
          <w:numId w:val="2"/>
        </w:numPr>
        <w:spacing w:after="60"/>
      </w:pPr>
      <w:r>
        <w:t xml:space="preserve">Demanda de CME contra su propio supervisor (CFTC) por los perpetuos (18-jun-2026) [33].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CME no da guía de ingresos ni de beneficio. Para 2026 guía gastos operativos ajustados sin licencias de unos 1.695 M, capex de unos 85 M y un tipo impositivo ajustado del 23,5-24,5 % (conferencia del 4T25) [40]; en la del 3T26 no la cambió [14]. El consenso de BPA de 2026e (12,23-12,31 USD) apenas se movió tras el 3T; los objetivos subieron [47, 48, 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TickFlow (12,23 USD, 26-oct) y Stock Analysis (12,31 USD, 23-oct), ambas posteriores a los resultados; ingresos de TickFlow [48, 49]. 9M26 publicado: 9,38 USD [1]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TickFlow, 26-oct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 3 analistas; poco representativo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6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230,00 – 367,00</w:t>
            </w:r>
          </w:p>
        </w:tc>
      </w:tr>
    </w:tbl>
    <w:p>
      <w:pPr>
        <w:spacing w:after="160" w:before="0"/>
      </w:pPr>
    </w:p>
    <w:p>
      <w:pPr>
        <w:pStyle w:val="Heading2"/>
      </w:pPr>
      <w:r>
        <w:t xml:space="preserve">Revisiones de estimaciones</w:t>
      </w:r>
    </w:p>
    <w:p>
      <w:pPr>
        <w:spacing w:after="100"/>
      </w:pPr>
      <w:r>
        <w:t xml:space="preserve">Al alza tras los resultados del 21-oct. El 22-oct JPMorgan subió la recomendación de infraponderar a sobreponderar con objetivo de 367 USD; Morgan Stanley subió a 359, CLSA a 367, Wells Fargo a 333, Piper Sandler a 330, Barclays a 321 y UBS a 310 USD [47]. El objetivo medio de MarketBeat pasó de 291,81 USD (informe anterior) a 313,29 USD (18 analistas, 230-367) [47]; Stock Analysis da 292,94 USD con 17 analistas, porque aún no recoge todas las subidas, y TickFlow 299 USD [48, 49]. El BPA de 2026e se mueve poco (12,23-12,31 USD) tras un 3T de 3,02 USD frente a 2,99 esperados [50]. MarketScreener seguía con datos del 29-sep y se descarta [51].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bl>
    <w:p>
      <w:pPr>
        <w:spacing w:after="160" w:before="0"/>
      </w:pPr>
    </w:p>
    <w:p>
      <w:pPr>
        <w:spacing w:after="100"/>
      </w:pPr>
      <w:r>
        <w:t xml:space="preserve">La acción tocó máximo el 3-mar-2026 (329,16 USD) y cayó a 218,31 USD el 29-jun: la CFTC aprobó los perpetuos de Kalshi, se anunció el relevo de Duffy y un rival lanzó futuros sobre índices de Bloomberg [33, 34, 38]. Desde entonces ha recuperado un 40 %, hasta 305,71 USD, con el 2T récord, el volumen del 3T y las recompras: +15,8 % en el año con dividendos, frente al +12,3 % del S&amp;P 500 y el +3,3 % de las financieras [46]. A tres años va por detrás (17,3 % anual frente al 24,1 %). Es un valor casi sin beta (0,16 mensual frente al SPY): gana con la volatilidad [46].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 / +19,7 % / +7,2 % / +14,2 %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 +39,9 %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Mes a 29-jun: la CFTC aprueba los futuros perpetuos de Kalshi (CME −4 % y Cboe −9 % según la prensa del 2-jun), el 17-jun se anuncia el relevo de Duffy y un rival lanza futuros sobre índices de Bloomberg [33, 34,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día tras la aprobación de los perpetuos de Kalshi por la CFTC; única sesión de −5 % o peor en 12 meses [33,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Mes a 29-jul: rebote desde el mínimo con los resultados del 2T26 (récord de ingresos) y el volumen de julio (+18 %) [22,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JPMorgan sube de infraponderar a sobreponderar con objetivo de 367 USD; Morgan Stanley (359), CLSA (367), Wells Fargo (333), Piper (330), Barclays (321) y UBS (310) suben objetivos [47].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ingresos récord de 1.737,3 M (+13 %) y BPA ajustado de 3,02 USD frente a 2,99 esperados; volumen del 4T a la fecha +17 % [1, 14, 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retira la solicitud del contrato de crudo 24/7 de 10 barriles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Tobin, director de contabilidad, será director financiero cuando Fitzpatrick pase a consejera delegada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Duffy vende 15.000 acciones; 21,3 M USD en 12 meses, el doble de su ritmo de 2023-2025; nadie del consejo compra salvo reinversiones de dividendos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demanda a la CFTC por la aprobación de los perpetuos; los defensores de los perpetuos piden archivarla (9-sep) y no hay sentencia [20,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Relevo: Fitzpatrick, consejera delegada el 1-mar-2027; Duffy, presidente ejecutivo hasta finales de 2027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Kalshi pide a la CFTC listar perpetuos sobre el S&amp;P 500; pendiente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la CFTC lo aprueba, revisar el escenario base a la baja.</w:t>
            </w:r>
          </w:p>
        </w:tc>
      </w:tr>
    </w:tbl>
    <w:p>
      <w:pPr>
        <w:spacing w:after="160" w:before="0"/>
      </w:pPr>
    </w:p>
    <w:p>
      <w:pPr>
        <w:spacing w:after="100"/>
      </w:pPr>
      <w:r>
        <w:t xml:space="preserve">La subida del último mes (+13,7 %) responde a hechos publicados: el volumen récord del 3T, unos resultados por encima de lo esperado y una ronda de subidas de objetivo, con JPMorgan pasando a sobreponderar. La caída de junio se explicó por los perpetuos y el relevo, ya dentro del escenario bajista. No hay colocaciones, ampliaciones ni accionistas de referencia que vendan (Vanguard y BlackRock son pasivos); las ventas de Duffy son pequeñas frente al volumen (542 M USD diarios). El hecho pendiente que podría mover más de un 5 % es una decisión de la CFTC sobre perpetuos en el S&amp;P 500, sin fecha. Resultados del 4T26 hacia el 3-feb-2027 (estimación).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Con el BPA ajustado y la historia adelantada (cierre ÷ BPA del año siguiente, la misma base que el PER actual), CME cotiza a 23,9 veces, en su media de ocho años (24,7) y por encima de su mediana de cinco (20,7): el mercado ya ha vuelto a pagar el múltiplo de antes de 2022, cuando los tipos a cero y la ausencia de beneficio de las garantías lo inflaban [5, 7, 8, 9, 10, 11, 12]. El EV/EBITDA de los últimos 12 meses, 20,6 veces, está un 5 % por debajo de su media (21,6). Nada estructural ha cambiado en el negocio; tras el 3T se ha disipado parte del descuento por los perpetuos.</w:t>
      </w:r>
    </w:p>
    <w:p>
      <w:pPr>
        <w:pStyle w:val="Heading1"/>
      </w:pPr>
      <w:r>
        <w:t xml:space="preserve">18. Comparables cotizados</w:t>
      </w:r>
    </w:p>
    <w:p>
      <w:pPr>
        <w:pStyle w:val="Confianza"/>
        <w:spacing w:after="100"/>
      </w:pPr>
      <w:r>
        <w:t xml:space="preserve">Confianza: Media</w:t>
      </w:r>
    </w:p>
    <w:p>
      <w:pPr>
        <w:spacing w:after="100"/>
      </w:pPr>
      <w:r>
        <w:t xml:space="preserve">Nueve cotizadas de infraestructura de mercados y datos: bolsas con cámara de compensación (ICE, Nasdaq, Deutsche Börse, LSEG, Euronext, Cboe), una plataforma electrónica de renta fija (Tradeweb) y dos proveedores de índices y datos (S&amp;P Global, MSCI), que encajan peor. Cifras de MarketScreener y Stock Analysis del informe de Deutsche Börse del 21-oct llevadas al cierre del 23-oct con Yahoo (capitalización, EV y PER escalados por el precio y la divisa) [53]; Cboe se añade con Stock Analysis del 23-oct [54]. Nasdaq y LSEG publicaron resultados el 22-oct: su PER solo se ha escalado por el precio. En USD.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Euronext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Cboe Global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 / 18,0x / 20,7x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 / 25,8x / 27,2x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 / 10,6x / 11,8x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CME tiene el mayor margen EBITDA del grupo (70,4 % frente a 38-66 %) y la menor deuda (0,2 veces), con un crecimiento esperado del 4,5 %, por debajo de la mediana de bolsas y datos (7-10 %). A 23,9 veces el beneficio de los próximos 12 meses cotiza por debajo de la mediana del PER de los comparables (25,8 veces), y a 20,6 veces el EBITDA de los últimos 12 meses, por encima de la mediana de EV/EBITDA (18,0), porque su EBITDA no recoge el beneficio de las garantías ni de S&amp;P DJI. El PER es el múltiplo que mejor compara: con la mediana, la acción valdría 329,67 USD. La regresión crecimiento-múltiplo explica poco (R² 0,19). Los comparables de datos (MSCI, S&amp;P Global, Tradeweb) suben la mediana sin compartir el riesgo de volumen; con Cboe, el más parecido en riesgo, la mediana baja de 26,2 a 25,8. Pesan el 35 %.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(1S27). 167 USD por acción en efectivo; múltiplos sobre los 12 meses a junio de 2026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riesgo y regulación comprado a Thoma Bravo; múltiplos sobre la previsión de 2023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EBITDA ajustado del ejercicio a noviembre de 2020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Refinitiv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Stock Exchange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Blackstone y Thomson Reuters en acciones; datos y negociación de divisas y renta fija [55].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With Intelligence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mercados privados; demasiado pequeña y sin EBITDA publicado [55].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OSTTRA (50 % de CME y 50 % de S&amp;P Global)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empresa conjunta de post-contratación; plusvalía de 306,1 M para CME; sin múltiplo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BrokerTec y EBS por unos 3.900 M GBP; sin múltiplo verificado.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(13,1x – 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202,54 – 375,15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operaciones con múltiplo van de 13 veces el EBITDA (MarketAxess, Refinitiv) a 24-31 veces (IHS Markit, Adenza, datos y software con tipos bajos) [31, 55]. No sirven para valorar CME: con unos 110.000 M de capitalización no hay comprador posible y la competencia lo impediría. Peso cero; quedan como referencia del valor de los activos de infraestructura de mercado.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Base de 2026e casi cerrada (+8,8 %, fija): 9M26 publicado (5.323,6 M, +9,4 %) y un 4T de 1.771 M (+7,4 %), prudente con el volumen del trimestre a la fecha +17 % [1, 14]. 2027e crece un 4,0 % por la base alta de 2026 (récord del 1T26) y 2028e un 5,5 %, que baja al 3,5 % en 2033e, en línea con el 5,0 % anual de 2019-2025 y por debajo del 8,6 % de 2021-2025 [6]. El consenso de ingresos (7.040, 7.370 y 7.810 M) coincide con la proyección (7.094, 7.378 y 7.784 M) [49].</w:t>
      </w:r>
    </w:p>
    <w:p>
      <w:pPr>
        <w:keepNext/>
        <w:spacing w:after="100"/>
      </w:pPr>
      <w:r>
        <w:rPr>
          <w:b/>
          <w:bCs/>
        </w:rPr>
        <w:t xml:space="preserve">Márgenes.</w:t>
      </w:r>
    </w:p>
    <w:p>
      <w:pPr>
        <w:spacing w:after="100"/>
      </w:pPr>
      <w:r>
        <w:t xml:space="preserve">Margen EBITDA del 70,7 % en 2026e (9M26: 71,6 %; el 4T es estacionalmente más bajo: 66,8 % en el 4T25) y del 71,0-71,5 % después; en 2021-2025 pasó del 64,6 % al 69,9 % [1, 6]. No se supone más apalancamiento operativo: hay inversión en la nube, la cámara de valores y productos nuevos [40].</w:t>
      </w:r>
    </w:p>
    <w:p>
      <w:pPr>
        <w:keepNext/>
        <w:spacing w:after="100"/>
      </w:pPr>
      <w:r>
        <w:rPr>
          <w:b/>
          <w:bCs/>
        </w:rPr>
        <w:t xml:space="preserve">Inversión y circulante.</w:t>
      </w:r>
    </w:p>
    <w:p>
      <w:pPr>
        <w:spacing w:after="100"/>
      </w:pPr>
      <w:r>
        <w:t xml:space="preserve">Capex del 1,2 % de las ventas en 2026e (guía de 85 M) [40] que sube al 2,0 % en 2033e para igualar la amortización. La amortización total baja del 4,7 % al 3,8 % porque los intangibles comprados (≈ 223 M al año) pesan menos con las ventas, y el último año se iguala al capex. Circulante al 9 % de las ventas, su nivel real (8,7 % en 2025 y 10,3 % en los últimos 12 meses) [2, 6]: consume caja al crecer. Tipo impositivo del 24 % (guía ajustada del 23,5-24,5 %) [40].</w:t>
      </w:r>
    </w:p>
    <w:p>
      <w:pPr>
        <w:keepNext/>
        <w:spacing w:after="100"/>
      </w:pPr>
      <w:r>
        <w:rPr>
          <w:b/>
          <w:bCs/>
        </w:rPr>
        <w:t xml:space="preserve">Coste del capital.</w:t>
      </w:r>
    </w:p>
    <w:p>
      <w:pPr>
        <w:spacing w:after="100"/>
      </w:pPr>
      <w:r>
        <w:t xml:space="preserve">Tasa libre del 5,00 % (bono de EE. UU. a 10 años del 23-oct-2026) [52] y prima de mercado del 5,5 %. Beta de 0,75, reapalancada con la deuda de CME: la estadística de CME no sirve (0,16 mensual frente al SPY) [46], así que se toma la mediana de las desapalancadas de ICE (0,77), Deutsche Börse (0,79), LSEG (0,70) y la semanal ajustada de CME (0,56), 0,735, y se reapalanca con la deuda de CME (3.425 M frente a 109.597 M de capitalización, un 3,1 %): 0,75 [65]. Coste de los fondos propios del 9,1 %, deuda al 5,3 % antes de impuestos con un peso del 3 %: WACC del 8,97 %. Con la prima implícita del mercado (4,2 %), del 8,03 % [63].</w:t>
      </w:r>
    </w:p>
    <w:p>
      <w:pPr>
        <w:keepNext/>
        <w:spacing w:after="100"/>
      </w:pPr>
      <w:r>
        <w:rPr>
          <w:b/>
          <w:bCs/>
        </w:rPr>
        <w:t xml:space="preserve">Valor terminal.</w:t>
      </w:r>
    </w:p>
    <w:p>
      <w:pPr>
        <w:spacing w:after="100"/>
      </w:pPr>
      <w:r>
        <w:t xml:space="preserve">Crecimiento perpetuo del 3,0 %: inflación esperada de alrededor del 2,5 % más un crecimiento real bajo, por debajo de la tasa libre. Es prudente para un negocio con poder de precios; el múltiplo de salida implícito (12,7 veces el EBITDA) queda muy por debajo del actual (20,6), lo que explica buena parte de la distancia al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212,30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250,72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 (reinvierte el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frente al 5,0 %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-1.192 M, con un capex bruto medio del 1,6 % de las ventas). En un negocio de activos ligeros, el crecimiento medio del 5,0 %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ADV +22 % en el 1T, −1 % en el 2T y +16 % en el 3T26, y +17 % en el 4T a la fecha [1, 14]; el ingreso por contrato baja por la mezcla (más tipos), así que el volumen aporta 7,5 puntos. Precio: subidas de tarifas de febrero y octubre. Otros: datos de mercado +20 % compensados por otros ingresos.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un año sin el récord del 1T26 en la base. Precio +1 % (subida de octubre de 2026 en año completo). Otros +1 %: datos de mercado y la cámara de valores, que arranca el 7-dic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crecimiento estructural de la deuda pública y de la negociación fuera de EE. UU. (+22 % en el 3T26), menos la cuota que se lleven los perpetuos [1]. Precio +1,5 %. Otros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precio +1,5 %, datos +1 %: sin cambio de ciclo supuesto.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Sí. El crecimiento proyectado (5,0 % de media) apenas necesita capital: el capex es el 1,2-2,0 % de las ventas y la reinversión neta es negativa, así que la prueba es el poder de precios y la cuota, no el ROIC incremental. Las dos se cumplen: CME sube tarifas cada año sin perder cuota en sus contratos de referencia [28], el volumen crece un 5 % anual a lo largo del ciclo y el 3T26 fue récord pese a los perpetuos [1]. La proyección (2-3 % de volumen y 1-1,5 % de precio) queda por debajo de lo logrado en 2019-2025. La prueba de cuota se hace a mano: no hay tamaño de mercado en dólares (mercado_final en null) y la cuota en futuros no necesita subir para cumplir el plan.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101,3 % (base: 71,5 %)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9,0 %)</w:t>
            </w:r>
          </w:p>
        </w:tc>
      </w:tr>
    </w:tbl>
    <w:p>
      <w:pPr>
        <w:spacing w:after="160" w:before="0"/>
      </w:pPr>
    </w:p>
    <w:p>
      <w:pPr>
        <w:spacing w:after="100"/>
      </w:pPr>
      <w:r>
        <w:t xml:space="preserve">El DCF da 221,48 USD por acción, un 27,6 % por debajo del precio, con un WACC del 8,97 % y un valor terminal que pesa el 66 %. El DCF inverso es la clave: para justificar 305,71 USD hay que crecer un 11,0 % anual en 2027e-2033e, frente al 4,5 % de nuestra base y al 5,0 % de 2019-2025, o aceptar una rentabilidad del 7,2 %, por debajo de nuestro WACC (9,0 %) y del que pide hoy el mercado (8,0 %). Es muy exigente frente a la historia: el mercado paga a CME como un activo de muy bajo riesgo. Con la prima implícita del mercado el DCF sube a 258,36 USD, aún un 15 % por debajo. El DCF no recoge todo el valor: el diferencial de las garantías y S&amp;P DJI entran en el puente por 9.400 M (unos 26 USD por acción, estimación propia).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CFTC aprueba perpetuos sobre el S&amp;P 500 y el oro, los particulares migran a Kalshi y Coinbase y la Reserva Federal baja tipos con un mercado tranquilo: el volumen se estanca, los ingresos crecen un 1-2 % al año con dos puntos menos de margen, como en 2019-2021, cuando el BPA ajustado bajó de 6,80 a 6,67 USD [10, 12].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2-3 % y tarifas al 1-1,5 % anual; los perpetuos se quedan en cripto y particulares; margen estable en torno al 71,5 %; tipos altos que sostienen el beneficio de las garantías.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pública, la volatilidad y la negociación fuera de EE. UU. mantienen el volumen en máximos, la cámara de valores y los productos 24/7 añaden ingresos y el margen sube un punto: crecimiento del 6-7 % anual, como en 2021-2025.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305,7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215,62 USD (-29,5 %).</w:t>
      </w:r>
    </w:p>
    <w:p>
      <w:pPr>
        <w:spacing w:after="100"/>
      </w:pPr>
      <w:r>
        <w:t xml:space="preserve">El DCF da un rango de 177,99 a 241,51 USD, todo por debajo del precio: con un WACC del 9,0 %, ni el alcista justifica 305,71 USD. La lectura a 12 meses es distinta: con nuestro BPA y la regla de múltiplos, el bajista pierde un 25,0 %, el base gana un 1,7 % y el alcista un 23,7 %, con dividendo; el precio lo sostiene el múltiplo que el mercado paga por un negocio sin beta, no los flujos descontados a nuestro WACC.</w:t>
      </w:r>
    </w:p>
    <w:p>
      <w:pPr>
        <w:pStyle w:val="Heading1"/>
      </w:pPr>
      <w:r>
        <w:t xml:space="preserve">22. Suma de partes</w:t>
      </w:r>
    </w:p>
    <w:p>
      <w:pPr>
        <w:pStyle w:val="Confianza"/>
        <w:spacing w:after="100"/>
      </w:pPr>
      <w:r>
        <w:t xml:space="preserve">Confianza: Media</w:t>
      </w:r>
    </w:p>
    <w:p>
      <w:pPr>
        <w:spacing w:after="100"/>
      </w:pPr>
      <w:r>
        <w:t xml:space="preserve">No aplica: un solo negocio de derivados con cámara. S&amp;P DJI, FanDuel y el diferencial de las garantías se valoran en el puente (asociadas, 9.400 M, estimación propia).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305,7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257,88 USD (-15,6 % sobre 305,71).</w:t>
      </w:r>
    </w:p>
    <w:p>
      <w:pPr>
        <w:spacing w:after="100"/>
      </w:pPr>
      <w:r>
        <w:t xml:space="preserve">Pesos: DCF 40 %, comparables 35 % y escenarios 25 %; transacciones fuera (no hay comprador posible). La dispersión es grande: el DCF y los escenarios dan 178-242 USD y los comparables por PER 297,73-347,56 USD. La diferencia es la tasa de descuento: el mercado y los comparables pagan a CME con una rentabilidad implícita del 7,2 %, y nuestro WACC es del 9,0 %. El valor intrínseco ponderado es de 257,88 USD (−15,6 %), y 281,41 USD con la prima del mercado. El puente suma 9.400 M de asociadas (unos 26 USD por acción): es la partida más incierta y depende de los tipos.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(23.9x) a mitad de camino hacia abajo, hacia la mediana de 5 años (20.7x)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r>
    </w:tbl>
    <w:p>
      <w:pPr>
        <w:spacing w:after="160" w:before="0"/>
      </w:pPr>
    </w:p>
    <w:p>
      <w:pPr>
        <w:spacing w:after="100"/>
      </w:pPr>
      <w:r>
        <w:rPr>
          <w:b/>
          <w:bCs/>
        </w:rPr>
        <w:t xml:space="preserve">Objetivo a 12 meses (ponderado):</w:t>
      </w:r>
      <w:r>
        <w:t xml:space="preserve"> 296,08 USD · rentabilidad +0,5 % (base +1,7 %) · señal Mantener.</w:t>
      </w:r>
    </w:p>
    <w:p>
      <w:pPr>
        <w:spacing w:after="100"/>
      </w:pPr>
      <w:r>
        <w:t xml:space="preserve">Para comparar, con la regla v2 (historia al cierre, mismo precio): 21,1x / 22,6x / 26,1x, 5,1 %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(12,40 USD) queda un 1 % por encima del consenso (12,27), el de 2027e (12,78) coincide con él (12,89) y el de 2028e (13,50) queda un 2 % por debajo de la estimación disponible (13,74, solo tres analistas). Nuestro precio base (299,70 USD) está un 4,3 % por debajo del objetivo medio (313,29): los analistas que subieron el 22-oct aplican PER de 25-27 veces sobre 2027e, el de los comparables, y nosotros acercamos el múltiplo a la mediana propia de cinco años. Calibración: la fórmula da unos 11,0 USD para 2025 frente a 11,20 publicados (−1,8 %).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la cámara de valores (bonos del Tesoro al contado y repos)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fuente de ingresos nueva en años frente a la FICC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 lanza futuros de ganado y cerdo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ataque directo a contratos agrícolas de CME [35]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CFTC sobre los futuros de capacidad de cómputo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nuevo; pequeño en 2027e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en la demanda de CME contra la CFTC y decisión sobre perpetuos de Kalshi en el S&amp;P 500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gana, frena a Kalshi y Coinbase; si pierde y se aprueban, competencia directa con los E-mini en particulares [20, 21,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3-feb-2027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dividendo variable y guía de gastos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2026 récord, el variable debería subir desde 6,15 USD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Fitzpatrick, consejera delegada; Tobin, director financiero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relevo en la dirección desde 2016 [38, 39]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Perpetuos y nuevos mercados para particulares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a 12 meses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institucionales necesitan vencimientos y compensación cruzada (más de 100.000 M diarios de ahorro de garantías)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perpetuos sobre el S&amp;P 500 u oro; ADV de microcontratos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y calma en los mercados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volatilidad suele subir en los ciclos de bajadas; la deuda pública crece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 total por debajo de 26 M dos trimestres; tipos a corto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beneficio de las garantías reinvertidas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−8 % (unos 26 USD por acción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garantías con más volumen; CME fija qué parte del rendimiento devuelve a los miembros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no operativo trimestral por debajo de 180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Ataques contrato a contrato (ICE en ganado, FMX en tipos, índices de Bloomberg)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concentrada y la compensación cruzada hacen difícil mover los contratos de referencia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ICE en ganado o de FMX en SOFR por encima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Fallo tecnológico o de la cámara (migración a Google Cloud)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 de respaldo en Dallas; capital propio y fondo de garantía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como la de ocho horas del 27-nov-2025 [36]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automatización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 o positivo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negociación algorítmica suele traer más volumen y más demanda de datos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los ingresos de datos de mercado por agregadores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Transición en la dirección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Sucesores internos con veinte años en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Salidas de directivos clave en 2027</w:t>
            </w:r>
          </w:p>
        </w:tc>
      </w:tr>
    </w:tbl>
    <w:p>
      <w:pPr>
        <w:spacing w:after="160" w:before="0"/>
      </w:pPr>
    </w:p>
    <w:p>
      <w:pPr>
        <w:pStyle w:val="Heading2"/>
      </w:pPr>
      <w:r>
        <w:t xml:space="preserve">Pre-mortem</w:t>
      </w:r>
    </w:p>
    <w:p>
      <w:pPr>
        <w:spacing w:after="100"/>
      </w:pPr>
      <w:r>
        <w:t xml:space="preserve">Octubre de 2029: CME ha perdido un 40 %. La CFTC aprobó en 2027 los perpetuos sobre el S&amp;P 500, el oro y el petróleo; Kalshi, Coinbase y Robinhood ofrecieron a los particulares apalancamiento alto sin vencimientos y los microcontratos cayeron a la mitad. A la vez, la Reserva Federal bajó los tipos al 2,5 % con una economía en calma: el volumen de tipos volvió a los niveles de 2019-2021 y el beneficio de las garantías se redujo a la mitad. El BPA se estancó en 12-13 USD y el mercado dejó de pagar 24 veces por un negocio que ya no crecía: a 17-18 veces, el mínimo de 2022, la acción cayó a 210-220 USD. La demanda contra la CFTC se perdió y el relevo de Duffy coincidió con la peor racha. Lo habrían anticipado el volumen de los perpetuos sobre índices, el ADV de microcontratos de CME y el resultado no operativo trimestral.</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que mueve las cifras es la resiliencia de la infraestructura: CME es una cámara sistémica y una caída de sistemas o un ataque tiene coste regulatorio y de reputación. El 27-nov-2025 un fallo de refrigeración en un centro de datos de CyrusOne paró todos sus mercados durante más de ocho horas en el último día del mes [36]; la migración a Google Cloud (producción de Chicago a finales de 2027) y el centro de respaldo de Dallas responden a eso, pero concentran el riesgo tecnológico en un proveedor [6, 14]. El impacto ambiental directo es pequeño (oficinas y centros de datos).</w:t>
      </w:r>
    </w:p>
    <w:p>
      <w:pPr>
        <w:pStyle w:val="Heading2"/>
      </w:pPr>
      <w:r>
        <w:t xml:space="preserve">Controversias</w:t>
      </w:r>
    </w:p>
    <w:p>
      <w:pPr>
        <w:spacing w:after="100"/>
      </w:pPr>
      <w:r>
        <w:t xml:space="preserve">Caída de sistemas de noviembre de 2025 (más de ocho horas) [36]. Disputa con la CFTC por los perpetuos (demanda del 18-jun-2026), en la que han intervenido Kalshi y el Hyperliquid Policy Center a favor del regulador [20, 21]. Demanda colectiva de los miembros de clase B, con costes legales en 2025 [2]. No se han encontrado sanciones relevantes a CME en los últimos tres años en las fuentes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Particulares y cripto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compensación viene de microcontratos, cripto y clientes minoristas?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expuesta a los perpetuos; la dirección no la ha cuantificado.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Garantías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aporta el diferencial de las garantías reinvertidas al año y cómo cambia con 100 puntos básicos menos de tipos?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26 USD por acción del valor dependen de ello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Cámara de valores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espera de la cámara de valores en 2027 y qué cuota frente a la FICC?</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motor de crecimiento nuevo y arranca el 7-dic.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 recomprando con el dinero ordinario ahora que el de OSTTRA está gastado, o volverá al dividendo variable?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BPA (sin recompras no anunciadas en nuestro cálculo).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subirán los gastos en 2027 con la nube, la cámara de valores y los productos 24/7?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sigue en el 71 % o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DJI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cuándo tiene asegurada la licencia de los índices S&amp;P y en qué condiciones?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E-mini S&amp;P 500 es uno de sus contratos clave y S&amp;P Global es el socio mayoritario.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($CME)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domina el optimismo técnico: se celebra la ruptura de los 300 USD («el viejo techo pasa a ser suelo») y se habla de 320 USD; varios usuarios llevan CME junto a Cboe, ICE y Nasdaq como «peajes» a largo plazo; uno vende parte de CME y Cboe tras la subida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independientes)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resultados, «sin catalizador para revalorizarse» y «me perdí el mejor punto de entrada»; tras ellos, «resultados sólidos, pero no bastan para subir la recomendación»: la calidad no se discute, el precio sí [58,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del día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2026-10-21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récord del 3T, por encima de lo esperado, pero la acción llegó a caer en la sesión porque los gastos decepcionaron; el viernes 23-oct cerró en 305,71 USD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agosto y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«Comprar la infraestructura del mercado» y «el precio no se mueve, pero los motores de crecimiento aceleran»: la tesis de los particulares alcistas es el peaje de la negociación 24 horas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cripto y de mercados (The Block, Bloomberg Law)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defensores de los perpetuos piden al juez que archive la demanda de CME contra la CFTC; desde el otro lado se advierte de los riesgos de los perpetuos para particulares [20, 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Ruptura de los 300 USD y objetivos de 320 USD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305,71 USD cotiza a unas 23,9 veces nuestro BPA de 2027e, por encima de su mediana adelantada de cinco años (20,7x) y en línea con la de los comparables (25,8x). El análisis no ve el recorrido que da por hecho el foro.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calidad indiscutida, precio discutido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nuestra lectura: el DCF queda por debajo del precio y el múltiplo ya recoge el año récord.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del 3T y guía de 2026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gastos ajustados siguen dentro de la guía anual (1.695 M sin licencias); el margen operativo GAAP del 3T fue del 65,7 % (1.141,4 sobre 1.737,3 M).</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Perpetuos y demanda contra la CFTC</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perdido peso en el foro con el volumen récord; sigue abierta y está en el escenario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Nuevos productos (compensación de valores el 7-dic, negociación 24/7, futuros de cómputo)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opciones de crecimiento reales pero pequeñas en 2027e; no se suman al caso base.</w:t>
            </w:r>
          </w:p>
        </w:tc>
      </w:tr>
    </w:tbl>
    <w:p>
      <w:pPr>
        <w:spacing w:after="160" w:before="0"/>
      </w:pPr>
    </w:p>
    <w:p>
      <w:pPr>
        <w:spacing w:after="100"/>
      </w:pPr>
      <w:r>
        <w:t xml:space="preserve">El sentimiento ha mejorado: en Stocktwits domina el optimismo técnico tras romper los 300 USD y se habla de 320 USD; en Seeking Alpha los autores reconocen la calidad pero dudan del precio («resultados sólidos, pero no bastan para subir la recomendación») [58, 60, 62]. Coincide con nuestra lectura: el negocio va bien y el múltiplo ya lo recoge. El riesgo que los foros han dejado de mirar, los perpetuos sobre el S&amp;P 500, sigue en el escenario bajista. No hay euforia ni capitulación.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y 3 explicados. Fuentes: 65 (28 primarias); citas distintas en el texto: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66 % y los ingresos un 0 %: si hubo una compra cerca del cierre, decláralo en financieros.cambios_perimetro y explícalo. Explicación: No hubo compras: el activo total sube porque crecen las garantías en efectivo que depositan los miembros de la cámara (con un pasivo igual) en la volatilidad de 2020, no el negocio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58 % y los ingresos un -4 %: si hubo una compra cerca del cierre, decláralo en financieros.cambios_perimetro y explícalo. Explicación: No hubo compras: el activo crece por las garantías de los miembros; la aportación de los negocios de NEX a OSTTRA (empresa conjunta con S&amp;P Global) saca ingresos del perímetro, de ahí el −4 % de ingresos [6, 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perímetro declarado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activo total crece un 44 % y los ingresos un 6 %: si hubo una compra cerca del cierre, decláralo en financieros.cambios_perimetro y explícalo. Explicación: No hubo compras: el activo total sube de 137.447 a 198.424 M por las garantías de los miembros (con su pasivo igual); la venta de OSTTRA a KKR saca una participada, sin efecto en los ingresos [5,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8,7 % real: genera una variación de circulante de 71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fuentes (28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26, 56, 57, 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Propia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 opinión</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ingresos del 10-K 2025 (no desglosa ingresos por país); 2) 10-Q del 3T26 (tampoco); 3) solo hay volumen fuera de EE. UU. (9,0 M de 29,4 M de ADV en el 3T26, ≈ 31 %) y más de la mitad de la demanda de datos de mercado, que no son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línea de negocio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(un solo segmento operativo); 2) comunicados (solo ingresos por línea); 3) no hay forma fiable de repartir los costes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(empresa monosegmento: líneas de ingresos sin resultado)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del tamaño del mercado en dólares,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FIA (solo contratos, sin ingresos del sector); 2) búsqueda de ingresos agregados de bolsas de derivados; 3) suma de ingresos de los competidores (faltan Cboe, Nasdaq y Eurex por separado)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FIA por bolsa (ranking no accesible); 2) cuota en futuros por contratos (≈ 23 %, estimación propia, en el texto); 3) cuota en ingresos no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cuota estimada en contratos va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ESG (no abre); 2) Sustainalytics; 3) informe de sostenibilidad de CME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en contra de la retribución en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(solo da el 87 % a favor de 2025); 2) 8-K 5.07 de mayo de 2025 (no leído);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11,7 % en contra de 2026 y el 87 % a favor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EBIT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(datos del 29-sep, previos a resultados); 2) TickFlow y Stock Analysis (solo BPA e ingresos); 3) MarketBeat (solo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EBITDA de CME no recoge el resultado no operativo y el BPA es la métrica de la regla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comentarios de lectores y texto de los artículos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(bloqueado); 2) web de Stocktwits (403; se usa la API); 3) Seeking Alpha (solo RSS con titulares, artículos tras muro)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titulares y mensajes; confianza baja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Group Inc. Reports Highest Q3 Revenue on Record for Q3 2026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https://www.sec.gov/Archives/edgar/data/1156375/000115637526000065/exhibit9919302026.htm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Group Inc. Form 10-Q del tercer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https://www.sec.gov/Archives/edgar/data/1156375/000115637526000068/cme-20260930.htm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resultados del 2T26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https://www.sec.gov/Archives/edgar/data/1156375/000115637526000042/exhibit9916302026.htm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resultados del 1T26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https://www.sec.gov/Archives/edgar/data/1156375/000115637526000016/exhibit9913312026.htm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resultados del 4T25 y de 2025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https://www.sec.gov/Archives/edgar/data/1156375/000115637526000006/exhibit991123125.htm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https://www.sec.gov/Archives/edgar/data/1156375/000115637526000009/cme-20251231.htm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resultados del 4T24 y de 2024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https://www.sec.gov/Archives/edgar/data/1156375/000115637525000007/exhibit991123124.htm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resultados del 4T23 y de 2023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https://www.sec.gov/Archives/edgar/data/1156375/000115637524000007/exhibit991123123.htm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resultados del 4T22 y de 2022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https://www.sec.gov/Archives/edgar/data/1156375/000115637523000015/exhibit991123122.htm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resultados del 4T21 y de 2021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https://www.sec.gov/Archives/edgar/data/1156375/000115637522000048/exhibit991123121.htm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resultados del 4T20 y de 2020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https://www.sec.gov/Archives/edgar/data/1156375/000115637521000008/exhibit991123120.htm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resultados del 4T19 y de 2019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https://www.sec.gov/Archives/edgar/data/1156375/000115637520000005/exhibit99112312019.htm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datos XBRL de los 10-K y 10-Q (companyfacts, CIK 1156375)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https://data.sec.gov/api/xbrl/companyfacts/CIK0001156375.json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Q3 2026 earnings call transcript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https://www.earningswhispers.com/transcript/CME/Q32026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earnings history (consenso y BPA publicado por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https://www.marketbeat.com/stocks/NASDAQ/CME/earnings/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2026 Proxy Statement (DEF 14A): ratificación de Ernst &amp; Young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https://www.sec.gov/Archives/edgar/data/1156375/000162828026020500/cme-20260323.htm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historia corporativa (resumen de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 PitchBook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https://www.gurufocus.com/stock/CME/summary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10-K del ejercicio 2022 (Google Cloud, OSTTRA)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https://www.sec.gov/Archives/edgar/data/1156375/000115637523000020/cme-20221231.htm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CEO Terry Duffy to Step Down, Board Names Lynne Fitzpatrick Successor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Magnates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https://www.financemagnates.com/executives/cme-ceo-terry-duffy-to-step-down-board-names-lynne-fitzpatrick-successor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Real Danger of Perpetual Futures Is Being Ignored / CME sues CFTC over perpetuals approval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https://news.bloomberglaw.com/securities-law/real-danger-of-perpetual-futures-is-being-ignored-aaron-brown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Hyperliquid Policy Center backs CFTC in fight over perpetual futures, asks court to drop CME's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Block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https://theblock.co/news/regulation/2026-09-09-hyperliquid-policy-center-backs-cftc-fight-perpetual-futures-asks-court-drop-cme-case-414046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Strong Financial Results for Q2 2026 y resumen de la conferencia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https://www.cmegroup.com/media-room/press-releases/2026/7/22/cme_group_inc_reportsstrongfinancialresultsforq22026.html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says institutional clients have little appetite for perpetual futures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Hedgeweek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https://www.hedgeweek.com/cme-says-institutional-clients-have-little-appetite-for-perpetual-futures/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ETD volume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https://www.fia.org/fia/articles/etd-volume-december-2025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Reports Record Average Daily Volume for September and Q3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https://www.cmegroup.com/media-room/press-releases/2026/10/02/cme_group_reportsrecordaveragedailyvolumeforseptemberandq3driven.html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Group's International Average Daily Volume Rises 22% to 9 Million Contracts in Q3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(PR Newswire,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https://www.webull.com/news/15711376575235072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Kalshi Hits $5.5B in Crypto Perps, Expanding Beyond Prediction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Magnates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https://financemagnates.com/fintech/kalshi-hits-55b-in-crypto-perps-expanding-beyond-prediction-markets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Futures Exchange to Compete with Chicago Mercantile Exchange (FMX) y CME Group: Threat of New Competition Is Fully Priced 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https://sgp.gurufocus.com/news/2455646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Q2 2026 Earnings Call (TreasuryLink, futuros sobre acciones, compensación de valores)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(transcripción)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https://www.webull.com/news/15271301022360576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Kalshi S&amp;P 500 Perpetual Futures Filing Challenges CME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Deep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https://thedeepdive.ca/kalshi-sp500-perpetual-futures-cme/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Intercontinental Exchange del repo (8-oct-2026): márgenes de competidores a partir de sus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informes/ice-2026-10-08/datos-v2.json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Deutsche Börse del repo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informes/deutsche-borse-2026-10-14/datos.json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exchanges extend selloff as perpetual futures approval unnerves investors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Kitco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https://www.kitco.com/news/off-the-wire/2026-06-02/us-exchanges-extend-selloff-perpetual-futures-approval-unnerves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(CME) drops 14.3% in 30 days on leadership transition and competitive pressures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https://tickeron.com/blogs/cme-group-cme-drops-14-3-in-30-days-on-leadership-transition-and-competitive-pressures-14410/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NYSE owner plans futures for livestock in a bid to challenge CME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Beef Magazine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https://www.beefmagazine.com/market-news/nyse-owner-plans-futures-for-livestock-in-a-bid-to-challenge-cme-group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cooling system failure causes CME Group to suspend trading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https://w.media/data-center-cooling-system-failure-causes-cme-group-to-suspend-trading/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 de CME: suspensión del contrato de crudo 24/7 de 10 barriles (2-oct-2026), acuerdo con EEX en lácteos europeos (8-sep-2026), consulta de la CFTC sobre derivados de cómputo (17-ago-2026)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https://seekingalpha.com/api/sa/combined/CME.xml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Form 8-K: Terry Duffy pasa a presidente ejecutivo y Lynne Fitzpatrick será consejera delegada (Ítem 5.02 y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https://www.sec.gov/Archives/edgar/data/1156375/000119312526273442/d129556dex991.htm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Form 8-K: Jack Tobin será director financiero, John Marchese secretario general y Matthew Render director de contabilidad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https://www.sec.gov/Archives/edgar/data/1156375/000119312526386091/d157844dex991.htm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(CME) Q4 2025 Earnings Call Transcript (guía de 2026 y gastos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AOL)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https://www.aol.com/articles/cme-group-cme-q4-2025-144829886.html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Q4 2024 Earnings Call Transcript (guía de 2025 y gastos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https://www.marketbeat.com/earnings/reports/2025-2-12-cme-group-inc-stock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Form 8-K (Ítem 5.07): resultados de la junta del 14-may-2026 y de su continuación del 9-jun-2026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https://www.sec.gov/Archives/edgar/data/1156375/000115637526000035/cme-20260609.htm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Formularios 4 de CME Group, 26-oct-2025 a 26-oct-2026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https://www.sec.gov/cgi-bin/browse-edgar?action=getcompany&amp;CIK=1156375&amp;type=4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Form 8-K (Ítem 5.03): eliminación de las preferentes serie 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https://www.sec.gov/Archives/edgar/data/1156375/000115637526000060/cme-20260924.htm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Form 8-K (Ítem 5.07): junta anual del 14-may-2026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https://www.sec.gov/Archives/edgar/data/1156375/000115637526000028/cme-20260514.htm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CME, SPY y XLF (cierre del 23-oct-2026: 305,71 USD; máximos, mínimos, volumen, betas y rentabilidades totales) vía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https://finance.yahoo.com/quote/CME/history/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(CME) Stock Forecast &amp; Price Target: 18 analistas, objetivo medio 313,29 USD (230-367), 10 comprar, 6 mantener, 2 vender; cambios del 22-oct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https://www.marketbeat.com/stocks/NASDAQ/CME/forecast/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Stock Forecast: objetivo medio 292,94 USD (17 analistas), BPA 2026e 12,31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(CME) Stock Forecast: BPA 12,23 / 12,89 / 13,74 USD (2026e-2028e), ingresos 7.040 / 7.370 / 7.810 M, objetivo 299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https://www.tickflow.io/stock/CME/forecast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earnings history (consenso del 3T26: 2,99 USD; publicado 3,02)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https://www.marketbeat.com/earnings/reports/2026-10-21-cme-group-inc-stock/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CME Group finances (datos del 29-sep-2026, previos a los resultados): descartado como fuente de BPA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https://www.marketscreener.com/quote/stock/CME-GROUP-INC-11926/finances/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5,00 %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Deutsche Börse del repo (21-oct-2026): comparables de MarketScreener y Stock Analysis; llevados al cierre del 23-oct con Yahoo (precio y divisa)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informes/deutsche-borse-2026-10-21/datos.json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Global Markets statistics (capitalización, EV, PER adelantado, margen, ROIC, FCF yield;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https://stockanalysis.com/stocks/cboe/statistics/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LSEG del repo (14-oct-2026): transacción Refinitiv y With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informes/lseg-2026-10-14/datos.json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short interest (registro quincenal de FINRA: 5.526.063 acciones a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https://www.nasdaq.com/market-activity/stocks/cme/short-interest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 CME analyst ratings (historial de objetivos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https://benzinga.com/quote/CME/analyst-ratings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Group's Results Were Solid, But Not Enough To Pull The Trigger On An Upgrade (titular del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(Daniel Jones)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 opinión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https://seekingalpha.com/article/4956154-cme-groups-results-were-solid-but-not-enough-to-pull-the-trigger-on-an-upgrade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stock slips as Q3 earnings beat, but expenses disappoint (noticia del RSS, 21-oct)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https://seekingalpha.com/symbol/CME/news?source=feed_symbol_CME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Heading Into Q3 With Solid Results But No Clear Re-Rating Catalyst (7-oct) y CME Group: I Missed The Best Entry (10-oct)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 opinión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https://seekingalpha.com/article/4953288-cme-group-i-missed-the-best-entry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'Buy' The Market's Infrastructure (13-ago), The Price Stands Still, But The Growth Engines Accelerate (24-ago) y Looking For The Ultimate Tollbooth For 24-Hour Trading (16-sep)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 opinión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https://seekingalpha.com/article/4947010-looking-for-the-ultimate-tollbooth-for-24-hour-trading-cme-group-deep-dive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de mensajes de $CME (30 mensajes, 18-sep a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https://api.stocktwits.com/api/2/streams/symbol/CME.json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anterior de CME Group del repo (14-oct-2026): supuestos, señal y objetivo a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informes/cme-group-2026-10-14/datos.json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de ICE (0,91 con 19 % de deuda), Deutsche Börse (0,85 con 9 %) y LSEG (0,85 con 22 %) en los informes del repo de 8, 21 y 14-oct-2026; desapalancadas: 0,77, 0,79 y 0,70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informes/deutsche-borse-2026-10-21/datos.json; informes/ice-2026-10-08/datos-v2.json; informes/lseg-2026-10-14/datos.json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88,6 %</w:t>
      </w:r>
      <w:r>
        <w:t xml:space="preserve"> · Secciones con menos del 60 % de campos cubiertos: </w:t>
      </w:r>
      <w:r>
        <w:rPr>
          <w:b/>
          <w:bCs/>
        </w:rPr>
        <w:t xml:space="preserve">riesgos</w:t>
      </w:r>
      <w:r>
        <w:t xml:space="preserve"> · Generado el 26 oct 2026.</w:t>
      </w:r>
    </w:p>
    <w:p>
      <w:pPr>
        <w:pStyle w:val="Nota"/>
        <w:spacing w:after="100"/>
      </w:pPr>
      <w:r>
        <w:t xml:space="preserve">Cuentas 2019-2025 del XBRL de la SEC (cuentas.mjs) comprobadas con los comunicados del 4T de cada año; resultados del 3T26 del 8-K del 21-oct y del 10-Q del 23-oct; conferencia del 3T26 leída en Earnings Whispers. Precio: cierre del viernes 23-oct-2026 (305,71 USD), una sesión antes de la fecha de corte, porque Nueva York no había abierto el lunes 26 a la hora del análisis. Comparables del informe de Deutsche Börse del 21-oct llevados al cierre del 23-oct por precio y divisa; Nasdaq y LSEG publicaron el 22-oct y su BPA esperado no se ha actualizado. MarketScreener seguía con datos del 29-sep y se ha descartado; el consenso sale de MarketBeat, Stock Analysis y TickFlow. El valor de la parte no operativa del beneficio (S&amp;P DJI y el diferencial de las garantías, 9.400 M en el puente) es una estimación propia. Balance inflado por unos 155.000 M de garantías de los miembros. Confianza: alta en cuentas, media en valoración, baja en sentimiento.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CME Group Inc. (CME)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305,71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(218,31 – 329,16)</c:v>
                </c:pt>
                <c:pt idx="1">
                  <c:v>Precio objetivo de los analistas (230,00 – 367,00)</c:v>
                </c:pt>
                <c:pt idx="2">
                  <c:v>Comparables: PER NTM (297,73 – 347,56)</c:v>
                </c:pt>
                <c:pt idx="3">
                  <c:v>Transacciones precedentes (EV/EBITDA) (202,54 – 375,15)</c:v>
                </c:pt>
                <c:pt idx="4">
                  <c:v>DCF (WACC y g ± 0,5) (197,41 – 255,10)</c:v>
                </c:pt>
                <c:pt idx="5">
                  <c:v>Escenarios (bajista – alcista) (177,99 – 241,51)</c:v>
                </c:pt>
                <c:pt idx="6">
                  <c:v>DCF con la prima implícita del mercado (4,2 %)</c:v>
                </c:pt>
                <c:pt idx="7">
                  <c:v>Precio actual (305,71)</c:v>
                </c:pt>
              </c:strCache>
            </c:strRef>
          </c:cat>
          <c:val>
            <c:numRef>
              <c:f>Hoja1!$B$2:$B$9</c:f>
              <c:numCache>
                <c:formatCode>#,##0</c:formatCode>
                <c:ptCount val="8"/>
                <c:pt idx="0">
                  <c:v>218.31</c:v>
                </c:pt>
                <c:pt idx="1">
                  <c:v>230</c:v>
                </c:pt>
                <c:pt idx="2">
                  <c:v>297.73</c:v>
                </c:pt>
                <c:pt idx="3">
                  <c:v>202.54</c:v>
                </c:pt>
                <c:pt idx="4">
                  <c:v>197.41</c:v>
                </c:pt>
                <c:pt idx="5">
                  <c:v>177.99</c:v>
                </c:pt>
                <c:pt idx="6">
                  <c:v>237.29</c:v>
                </c:pt>
                <c:pt idx="7">
                  <c:v>304.18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(218,31 – 329,16)</c:v>
                </c:pt>
                <c:pt idx="1">
                  <c:v>Precio objetivo de los analistas (230,00 – 367,00)</c:v>
                </c:pt>
                <c:pt idx="2">
                  <c:v>Comparables: PER NTM (297,73 – 347,56)</c:v>
                </c:pt>
                <c:pt idx="3">
                  <c:v>Transacciones precedentes (EV/EBITDA) (202,54 – 375,15)</c:v>
                </c:pt>
                <c:pt idx="4">
                  <c:v>DCF (WACC y g ± 0,5) (197,41 – 255,10)</c:v>
                </c:pt>
                <c:pt idx="5">
                  <c:v>Escenarios (bajista – alcista) (177,99 – 241,51)</c:v>
                </c:pt>
                <c:pt idx="6">
                  <c:v>DCF con la prima implícita del mercado (4,2 %)</c:v>
                </c:pt>
                <c:pt idx="7">
                  <c:v>Precio actual (305,71)</c:v>
                </c:pt>
              </c:strCache>
            </c:strRef>
          </c:cat>
          <c:val>
            <c:numRef>
              <c:f>Hoja1!$C$2:$C$9</c:f>
              <c:numCache>
                <c:formatCode>#,##0</c:formatCode>
                <c:ptCount val="8"/>
                <c:pt idx="0">
                  <c:v>110.85000000000002</c:v>
                </c:pt>
                <c:pt idx="1">
                  <c:v>137</c:v>
                </c:pt>
                <c:pt idx="2">
                  <c:v>49.829999999999984</c:v>
                </c:pt>
                <c:pt idx="3">
                  <c:v>172.60999999999999</c:v>
                </c:pt>
                <c:pt idx="4">
                  <c:v>57.69</c:v>
                </c:pt>
                <c:pt idx="5">
                  <c:v>63.51999999999998</c:v>
                </c:pt>
                <c:pt idx="6">
                  <c:v>46.83000000000001</c:v>
                </c:pt>
                <c:pt idx="7">
                  <c:v>3.0600000000000023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Compensación y negociación</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3946.1</c:v>
                </c:pt>
                <c:pt idx="1">
                  <c:v>3897.4</c:v>
                </c:pt>
                <c:pt idx="2">
                  <c:v>3765.1</c:v>
                </c:pt>
                <c:pt idx="3">
                  <c:v>4142.7</c:v>
                </c:pt>
                <c:pt idx="4">
                  <c:v>4588.5</c:v>
                </c:pt>
                <c:pt idx="5">
                  <c:v>4988.2</c:v>
                </c:pt>
                <c:pt idx="6">
                  <c:v>5281.1</c:v>
                </c:pt>
              </c:numCache>
            </c:numRef>
          </c:val>
        </c:ser>
        <c:ser>
          <c:idx val="1"/>
          <c:order val="1"/>
          <c:tx>
            <c:strRef>
              <c:f>Hoja1!$C$1</c:f>
              <c:strCache>
                <c:ptCount val="1"/>
                <c:pt idx="0">
                  <c:v>Datos de mercado e información</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518.5</c:v>
                </c:pt>
                <c:pt idx="1">
                  <c:v>545.4</c:v>
                </c:pt>
                <c:pt idx="2">
                  <c:v>576.9</c:v>
                </c:pt>
                <c:pt idx="3">
                  <c:v>610.9</c:v>
                </c:pt>
                <c:pt idx="4">
                  <c:v>663.7</c:v>
                </c:pt>
                <c:pt idx="5">
                  <c:v>710.2</c:v>
                </c:pt>
                <c:pt idx="6">
                  <c:v>803.1</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403.4</c:v>
                </c:pt>
                <c:pt idx="1">
                  <c:v>440.8</c:v>
                </c:pt>
                <c:pt idx="2">
                  <c:v>347.7</c:v>
                </c:pt>
                <c:pt idx="3">
                  <c:v>265.8</c:v>
                </c:pt>
                <c:pt idx="4">
                  <c:v>326.7</c:v>
                </c:pt>
                <c:pt idx="5">
                  <c:v>431.7</c:v>
                </c:pt>
                <c:pt idx="6">
                  <c:v>436.4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Compensación y negociación</c:v>
                </c:pt>
                <c:pt idx="1">
                  <c:v>Datos de mercado e información</c:v>
                </c:pt>
                <c:pt idx="2">
                  <c:v>Otros</c:v>
                </c:pt>
              </c:strCache>
            </c:strRef>
          </c:cat>
          <c:val>
            <c:numRef>
              <c:f>Hoja1!$B$2:$B$4</c:f>
              <c:numCache>
                <c:formatCode>General</c:formatCode>
                <c:ptCount val="3"/>
                <c:pt idx="0">
                  <c:v>81</c:v>
                </c:pt>
                <c:pt idx="1">
                  <c:v>12.3</c:v>
                </c:pt>
                <c:pt idx="2">
                  <c:v>6.7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CME Group</c:v>
                </c:pt>
                <c:pt idx="1">
                  <c:v>Intercontinental Exchange</c:v>
                </c:pt>
                <c:pt idx="2">
                  <c:v>Cboe Global Markets</c:v>
                </c:pt>
                <c:pt idx="3">
                  <c:v>Nasdaq</c:v>
                </c:pt>
                <c:pt idx="4">
                  <c:v>Deutsche Börse (Eurex)</c:v>
                </c:pt>
                <c:pt idx="5">
                  <c:v>Kalshi</c:v>
                </c:pt>
                <c:pt idx="6">
                  <c:v>FMX Futures (BGC Group)</c:v>
                </c:pt>
              </c:strCache>
            </c:strRef>
          </c:cat>
          <c:val>
            <c:numRef>
              <c:f>Hoja1!$B$2:$B$8</c:f>
              <c:numCache>
                <c:formatCode>0.0"%"</c:formatCode>
                <c:ptCount val="7"/>
                <c:pt idx="0">
                  <c:v>64.9</c:v>
                </c:pt>
                <c:pt idx="1">
                  <c:v>49.6</c:v>
                </c:pt>
                <c:pt idx="2">
                  <c:v>60</c:v>
                </c:pt>
                <c:pt idx="3">
                  <c:v>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4868</c:v>
                </c:pt>
                <c:pt idx="1">
                  <c:v>4883.6</c:v>
                </c:pt>
                <c:pt idx="2">
                  <c:v>4689.7</c:v>
                </c:pt>
                <c:pt idx="3">
                  <c:v>5019.4</c:v>
                </c:pt>
                <c:pt idx="4">
                  <c:v>5578.9</c:v>
                </c:pt>
                <c:pt idx="5">
                  <c:v>6130.1</c:v>
                </c:pt>
                <c:pt idx="6">
                  <c:v>6520.6</c:v>
                </c:pt>
                <c:pt idx="7">
                  <c:v>7094</c:v>
                </c:pt>
                <c:pt idx="8">
                  <c:v>7378</c:v>
                </c:pt>
                <c:pt idx="9">
                  <c:v>7784</c:v>
                </c:pt>
                <c:pt idx="10">
                  <c:v>8173</c:v>
                </c:pt>
                <c:pt idx="11">
                  <c:v>8582</c:v>
                </c:pt>
                <c:pt idx="12">
                  <c:v>8968</c:v>
                </c:pt>
                <c:pt idx="13">
                  <c:v>9327</c:v>
                </c:pt>
                <c:pt idx="14">
                  <c:v>9653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3061.1</c:v>
                </c:pt>
                <c:pt idx="1">
                  <c:v>3101.8</c:v>
                </c:pt>
                <c:pt idx="2">
                  <c:v>3030.6</c:v>
                </c:pt>
                <c:pt idx="3">
                  <c:v>3378.5</c:v>
                </c:pt>
                <c:pt idx="4">
                  <c:v>3788.3</c:v>
                </c:pt>
                <c:pt idx="5">
                  <c:v>4268.3</c:v>
                </c:pt>
                <c:pt idx="6">
                  <c:v>4560.4</c:v>
                </c:pt>
                <c:pt idx="7">
                  <c:v>5016</c:v>
                </c:pt>
                <c:pt idx="8">
                  <c:v>5239</c:v>
                </c:pt>
                <c:pt idx="9">
                  <c:v>5566</c:v>
                </c:pt>
                <c:pt idx="10">
                  <c:v>5844</c:v>
                </c:pt>
                <c:pt idx="11">
                  <c:v>6136</c:v>
                </c:pt>
                <c:pt idx="12">
                  <c:v>6412</c:v>
                </c:pt>
                <c:pt idx="13">
                  <c:v>6669</c:v>
                </c:pt>
                <c:pt idx="14">
                  <c:v>6902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62.9</c:v>
                </c:pt>
                <c:pt idx="1">
                  <c:v>63.5</c:v>
                </c:pt>
                <c:pt idx="2">
                  <c:v>64.6</c:v>
                </c:pt>
                <c:pt idx="3">
                  <c:v>67.3</c:v>
                </c:pt>
                <c:pt idx="4">
                  <c:v>67.9</c:v>
                </c:pt>
                <c:pt idx="5">
                  <c:v>69.6</c:v>
                </c:pt>
                <c:pt idx="6">
                  <c:v>69.9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53.2</c:v>
                </c:pt>
                <c:pt idx="1">
                  <c:v>54</c:v>
                </c:pt>
                <c:pt idx="2">
                  <c:v>56.4</c:v>
                </c:pt>
                <c:pt idx="3">
                  <c:v>60.1</c:v>
                </c:pt>
                <c:pt idx="4">
                  <c:v>61.6</c:v>
                </c:pt>
                <c:pt idx="5">
                  <c:v>64.1</c:v>
                </c:pt>
                <c:pt idx="6">
                  <c:v>64.9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43.5</c:v>
                </c:pt>
                <c:pt idx="1">
                  <c:v>43.1</c:v>
                </c:pt>
                <c:pt idx="2">
                  <c:v>56.2</c:v>
                </c:pt>
                <c:pt idx="3">
                  <c:v>53.6</c:v>
                </c:pt>
                <c:pt idx="4">
                  <c:v>57.8</c:v>
                </c:pt>
                <c:pt idx="5">
                  <c:v>57.5</c:v>
                </c:pt>
                <c:pt idx="6">
                  <c:v>62.5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6</c:v>
                </c:pt>
                <c:pt idx="1">
                  <c:v>10.4</c:v>
                </c:pt>
                <c:pt idx="2">
                  <c:v>10.4</c:v>
                </c:pt>
                <c:pt idx="3">
                  <c:v>-3</c:v>
                </c:pt>
                <c:pt idx="4">
                  <c:v>8.1</c:v>
                </c:pt>
                <c:pt idx="5">
                  <c:v>14.5</c:v>
                </c:pt>
                <c:pt idx="6">
                  <c:v>0.8</c:v>
                </c:pt>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37</c:v>
                </c:pt>
                <c:pt idx="1">
                  <c:v>34</c:v>
                </c:pt>
                <c:pt idx="2">
                  <c:v>34</c:v>
                </c:pt>
                <c:pt idx="3">
                  <c:v>35</c:v>
                </c:pt>
                <c:pt idx="4">
                  <c:v>35</c:v>
                </c:pt>
                <c:pt idx="5">
                  <c:v>34</c:v>
                </c:pt>
                <c:pt idx="6">
                  <c:v>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2427.2000000000003</c:v>
                </c:pt>
                <c:pt idx="1">
                  <c:v>2518.1</c:v>
                </c:pt>
                <c:pt idx="2">
                  <c:v>2275.2000000000003</c:v>
                </c:pt>
                <c:pt idx="3">
                  <c:v>2966.3</c:v>
                </c:pt>
                <c:pt idx="4">
                  <c:v>3377.4</c:v>
                </c:pt>
                <c:pt idx="5">
                  <c:v>3596.5</c:v>
                </c:pt>
                <c:pt idx="6">
                  <c:v>4193.6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2116.5</c:v>
                </c:pt>
                <c:pt idx="1">
                  <c:v>2105.2</c:v>
                </c:pt>
                <c:pt idx="2">
                  <c:v>2636.4</c:v>
                </c:pt>
                <c:pt idx="3">
                  <c:v>2691</c:v>
                </c:pt>
                <c:pt idx="4">
                  <c:v>3226.2</c:v>
                </c:pt>
                <c:pt idx="5">
                  <c:v>3525.8</c:v>
                </c:pt>
                <c:pt idx="6">
                  <c:v>4072.2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7.2</c:v>
                </c:pt>
                <c:pt idx="1">
                  <c:v>7.2</c:v>
                </c:pt>
                <c:pt idx="2">
                  <c:v>7.4</c:v>
                </c:pt>
                <c:pt idx="3">
                  <c:v>8.4</c:v>
                </c:pt>
                <c:pt idx="4">
                  <c:v>9.7</c:v>
                </c:pt>
                <c:pt idx="5">
                  <c:v>11.2</c:v>
                </c:pt>
                <c:pt idx="6">
                  <c:v>11.8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9</c:v>
                </c:pt>
                <c:pt idx="1">
                  <c:v>9</c:v>
                </c:pt>
                <c:pt idx="2">
                  <c:v>9</c:v>
                </c:pt>
                <c:pt idx="3">
                  <c:v>9</c:v>
                </c:pt>
                <c:pt idx="4">
                  <c:v>9</c:v>
                </c:pt>
                <c:pt idx="5">
                  <c:v>9</c:v>
                </c:pt>
                <c:pt idx="6">
                  <c:v>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8.1</c:v>
                </c:pt>
                <c:pt idx="1">
                  <c:v>8</c:v>
                </c:pt>
                <c:pt idx="2">
                  <c:v>9.8</c:v>
                </c:pt>
                <c:pt idx="3">
                  <c:v>9.9</c:v>
                </c:pt>
                <c:pt idx="4">
                  <c:v>12</c:v>
                </c:pt>
                <c:pt idx="5">
                  <c:v>13.2</c:v>
                </c:pt>
                <c:pt idx="6">
                  <c:v>14.8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0.72</c:v>
                </c:pt>
                <c:pt idx="1">
                  <c:v>0.58</c:v>
                </c:pt>
                <c:pt idx="2">
                  <c:v>0.2</c:v>
                </c:pt>
                <c:pt idx="3">
                  <c:v>0.21</c:v>
                </c:pt>
                <c:pt idx="4">
                  <c:v>0.14</c:v>
                </c:pt>
                <c:pt idx="5">
                  <c:v>0.13</c:v>
                </c:pt>
                <c:pt idx="6">
                  <c:v>-0.22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2028</c:v>
                </c:pt>
                <c:pt idx="1">
                  <c:v>2030</c:v>
                </c:pt>
                <c:pt idx="2">
                  <c:v>2032</c:v>
                </c:pt>
                <c:pt idx="3">
                  <c:v>2043+</c:v>
                </c:pt>
              </c:strCache>
            </c:strRef>
          </c:cat>
          <c:val>
            <c:numRef>
              <c:f>Hoja1!$B$2:$B$5</c:f>
              <c:numCache>
                <c:formatCode>#,##0</c:formatCode>
                <c:ptCount val="4"/>
                <c:pt idx="0">
                  <c:v>500</c:v>
                </c:pt>
                <c:pt idx="1">
                  <c:v>750</c:v>
                </c:pt>
                <c:pt idx="2">
                  <c:v>750</c:v>
                </c:pt>
                <c:pt idx="3">
                  <c:v>1450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0</c:v>
                </c:pt>
                <c:pt idx="1">
                  <c:v>0</c:v>
                </c:pt>
                <c:pt idx="2">
                  <c:v>0</c:v>
                </c:pt>
                <c:pt idx="3">
                  <c:v>0</c:v>
                </c:pt>
                <c:pt idx="4">
                  <c:v>2.4</c:v>
                </c:pt>
                <c:pt idx="5">
                  <c:v>3.6</c:v>
                </c:pt>
                <c:pt idx="6">
                  <c:v>11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1695.9</c:v>
                </c:pt>
                <c:pt idx="1">
                  <c:v>2110</c:v>
                </c:pt>
                <c:pt idx="2">
                  <c:v>2189.3</c:v>
                </c:pt>
                <c:pt idx="3">
                  <c:v>2633.5</c:v>
                </c:pt>
                <c:pt idx="4">
                  <c:v>3235.5</c:v>
                </c:pt>
                <c:pt idx="5">
                  <c:v>3584.2</c:v>
                </c:pt>
                <c:pt idx="6">
                  <c:v>3933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0</c:v>
                </c:pt>
                <c:pt idx="2">
                  <c:v>0</c:v>
                </c:pt>
                <c:pt idx="3">
                  <c:v>0</c:v>
                </c:pt>
                <c:pt idx="4">
                  <c:v>0</c:v>
                </c:pt>
                <c:pt idx="5">
                  <c:v>0</c:v>
                </c:pt>
                <c:pt idx="6">
                  <c:v>266.1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12</c:v>
                </c:pt>
                <c:pt idx="2">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 Inc.</c:v>
                </c:pt>
                <c:pt idx="2">
                  <c:v>Consejeros y directivos (30 personas)</c:v>
                </c:pt>
                <c:pt idx="3">
                  <c:v>Autocartera</c:v>
                </c:pt>
              </c:strCache>
            </c:strRef>
          </c:cat>
          <c:val>
            <c:numRef>
              <c:f>Hoja1!$B$2:$B$5</c:f>
              <c:numCache>
                <c:formatCode>0.0"%"</c:formatCode>
                <c:ptCount val="4"/>
                <c:pt idx="0">
                  <c:v>10</c:v>
                </c:pt>
                <c:pt idx="1">
                  <c:v>8</c:v>
                </c:pt>
                <c:pt idx="2">
                  <c:v>0.3</c:v>
                </c:pt>
                <c:pt idx="3">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9.7</c:v>
                </c:pt>
                <c:pt idx="1">
                  <c:v>-6.3</c:v>
                </c:pt>
                <c:pt idx="2">
                  <c:v>29.5</c:v>
                </c:pt>
                <c:pt idx="3">
                  <c:v>-22.9</c:v>
                </c:pt>
                <c:pt idx="4">
                  <c:v>31.3</c:v>
                </c:pt>
                <c:pt idx="5">
                  <c:v>15.4</c:v>
                </c:pt>
                <c:pt idx="6">
                  <c:v>19.8</c:v>
                </c:pt>
              </c:numCache>
            </c:numRef>
          </c:val>
        </c:ser>
        <c:ser>
          <c:idx val="1"/>
          <c:order val="1"/>
          <c:tx>
            <c:strRef>
              <c:f>Hoja1!$C$1</c:f>
              <c:strCache>
                <c:ptCount val="1"/>
                <c:pt idx="0">
                  <c:v>Índice</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31.2</c:v>
                </c:pt>
                <c:pt idx="1">
                  <c:v>18.3</c:v>
                </c:pt>
                <c:pt idx="2">
                  <c:v>28.7</c:v>
                </c:pt>
                <c:pt idx="3">
                  <c:v>-18.2</c:v>
                </c:pt>
                <c:pt idx="4">
                  <c:v>26.2</c:v>
                </c:pt>
                <c:pt idx="5">
                  <c:v>24.9</c:v>
                </c:pt>
                <c:pt idx="6">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1">
                  <c:v>24.2</c:v>
                </c:pt>
                <c:pt idx="2">
                  <c:v>21.6</c:v>
                </c:pt>
                <c:pt idx="3">
                  <c:v>27.5</c:v>
                </c:pt>
                <c:pt idx="4">
                  <c:v>18.3</c:v>
                </c:pt>
                <c:pt idx="5">
                  <c:v>20.4</c:v>
                </c:pt>
                <c:pt idx="6">
                  <c:v>20</c:v>
                </c:pt>
                <c:pt idx="7">
                  <c:v>21.6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21.6</c:v>
                </c:pt>
                <c:pt idx="1">
                  <c:v>21.6</c:v>
                </c:pt>
                <c:pt idx="2">
                  <c:v>21.6</c:v>
                </c:pt>
                <c:pt idx="3">
                  <c:v>21.6</c:v>
                </c:pt>
                <c:pt idx="4">
                  <c:v>21.6</c:v>
                </c:pt>
                <c:pt idx="5">
                  <c:v>21.6</c:v>
                </c:pt>
                <c:pt idx="6">
                  <c:v>21.6</c:v>
                </c:pt>
                <c:pt idx="7">
                  <c:v>21.6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CME Group</c:v>
                </c:pt>
                <c:pt idx="1">
                  <c:v>Deutsche Börse</c:v>
                </c:pt>
                <c:pt idx="2">
                  <c:v>Intercontinental Exchange</c:v>
                </c:pt>
                <c:pt idx="3">
                  <c:v>Nasdaq</c:v>
                </c:pt>
                <c:pt idx="4">
                  <c:v>London Stock Exchange Group</c:v>
                </c:pt>
                <c:pt idx="5">
                  <c:v>Euronext</c:v>
                </c:pt>
                <c:pt idx="6">
                  <c:v>Tradeweb Markets</c:v>
                </c:pt>
                <c:pt idx="7">
                  <c:v>MSCI</c:v>
                </c:pt>
                <c:pt idx="8">
                  <c:v>S&amp;P Global</c:v>
                </c:pt>
                <c:pt idx="9">
                  <c:v>Cboe Global Markets</c:v>
                </c:pt>
              </c:strCache>
            </c:strRef>
          </c:cat>
          <c:val>
            <c:numRef>
              <c:f>Hoja1!$B$2:$B$11</c:f>
              <c:numCache>
                <c:formatCode>0.0"x"</c:formatCode>
                <c:ptCount val="10"/>
                <c:pt idx="1">
                  <c:v>15</c:v>
                </c:pt>
                <c:pt idx="2">
                  <c:v>14.3</c:v>
                </c:pt>
                <c:pt idx="3">
                  <c:v>17.4</c:v>
                </c:pt>
                <c:pt idx="4">
                  <c:v>10.4</c:v>
                </c:pt>
                <c:pt idx="5">
                  <c:v>14.2</c:v>
                </c:pt>
                <c:pt idx="6">
                  <c:v>18.9</c:v>
                </c:pt>
                <c:pt idx="7">
                  <c:v>21.9</c:v>
                </c:pt>
                <c:pt idx="8">
                  <c:v>18.8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Deutsche Börse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5.5</c:v>
                </c:pt>
              </c:numCache>
            </c:numRef>
          </c:xVal>
          <c:yVal>
            <c:numRef>
              <c:f>Hoja1!$C$2</c:f>
              <c:numCache>
                <c:formatCode>0.0"x"</c:formatCode>
                <c:ptCount val="1"/>
                <c:pt idx="0">
                  <c:v>15</c:v>
                </c:pt>
              </c:numCache>
            </c:numRef>
          </c:yVal>
          <c:smooth val="0"/>
        </c:ser>
        <c:ser>
          <c:idx val="1"/>
          <c:order val="1"/>
          <c:tx>
            <c:strRef>
              <c:f>Hoja1!$A$3</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8.1</c:v>
                </c:pt>
              </c:numCache>
            </c:numRef>
          </c:xVal>
          <c:yVal>
            <c:numRef>
              <c:f>Hoja1!$C$3</c:f>
              <c:numCache>
                <c:formatCode>0.0"x"</c:formatCode>
                <c:ptCount val="1"/>
                <c:pt idx="0">
                  <c:v>14.3</c:v>
                </c:pt>
              </c:numCache>
            </c:numRef>
          </c:yVal>
          <c:smooth val="0"/>
        </c:ser>
        <c:ser>
          <c:idx val="2"/>
          <c:order val="2"/>
          <c:tx>
            <c:strRef>
              <c:f>Hoja1!$A$4</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10.1</c:v>
                </c:pt>
              </c:numCache>
            </c:numRef>
          </c:xVal>
          <c:yVal>
            <c:numRef>
              <c:f>Hoja1!$C$4</c:f>
              <c:numCache>
                <c:formatCode>0.0"x"</c:formatCode>
                <c:ptCount val="1"/>
                <c:pt idx="0">
                  <c:v>17.4</c:v>
                </c:pt>
              </c:numCache>
            </c:numRef>
          </c:yVal>
          <c:smooth val="0"/>
        </c:ser>
        <c:ser>
          <c:idx val="3"/>
          <c:order val="3"/>
          <c:tx>
            <c:strRef>
              <c:f>Hoja1!$A$5</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6.5</c:v>
                </c:pt>
              </c:numCache>
            </c:numRef>
          </c:xVal>
          <c:yVal>
            <c:numRef>
              <c:f>Hoja1!$C$5</c:f>
              <c:numCache>
                <c:formatCode>0.0"x"</c:formatCode>
                <c:ptCount val="1"/>
                <c:pt idx="0">
                  <c:v>10.4</c:v>
                </c:pt>
              </c:numCache>
            </c:numRef>
          </c:yVal>
          <c:smooth val="0"/>
        </c:ser>
        <c:ser>
          <c:idx val="4"/>
          <c:order val="4"/>
          <c:tx>
            <c:strRef>
              <c:f>Hoja1!$A$6</c:f>
              <c:strCache>
                <c:ptCount val="1"/>
                <c:pt idx="0">
                  <c:v>Euronext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12.1</c:v>
                </c:pt>
              </c:numCache>
            </c:numRef>
          </c:xVal>
          <c:yVal>
            <c:numRef>
              <c:f>Hoja1!$C$6</c:f>
              <c:numCache>
                <c:formatCode>0.0"x"</c:formatCode>
                <c:ptCount val="1"/>
                <c:pt idx="0">
                  <c:v>14.2</c:v>
                </c:pt>
              </c:numCache>
            </c:numRef>
          </c:yVal>
          <c:smooth val="0"/>
        </c:ser>
        <c:ser>
          <c:idx val="5"/>
          <c:order val="5"/>
          <c:tx>
            <c:strRef>
              <c:f>Hoja1!$A$7</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13.3</c:v>
                </c:pt>
              </c:numCache>
            </c:numRef>
          </c:xVal>
          <c:yVal>
            <c:numRef>
              <c:f>Hoja1!$C$7</c:f>
              <c:numCache>
                <c:formatCode>0.0"x"</c:formatCode>
                <c:ptCount val="1"/>
                <c:pt idx="0">
                  <c:v>18.9</c:v>
                </c:pt>
              </c:numCache>
            </c:numRef>
          </c:yVal>
          <c:smooth val="0"/>
        </c:ser>
        <c:ser>
          <c:idx val="6"/>
          <c:order val="6"/>
          <c:tx>
            <c:strRef>
              <c:f>Hoja1!$A$8</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10.2</c:v>
                </c:pt>
              </c:numCache>
            </c:numRef>
          </c:xVal>
          <c:yVal>
            <c:numRef>
              <c:f>Hoja1!$C$8</c:f>
              <c:numCache>
                <c:formatCode>0.0"x"</c:formatCode>
                <c:ptCount val="1"/>
                <c:pt idx="0">
                  <c:v>21.9</c:v>
                </c:pt>
              </c:numCache>
            </c:numRef>
          </c:yVal>
          <c:smooth val="0"/>
        </c:ser>
        <c:ser>
          <c:idx val="7"/>
          <c:order val="7"/>
          <c:tx>
            <c:strRef>
              <c:f>Hoja1!$A$9</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7.6</c:v>
                </c:pt>
              </c:numCache>
            </c:numRef>
          </c:xVal>
          <c:yVal>
            <c:numRef>
              <c:f>Hoja1!$C$9</c:f>
              <c:numCache>
                <c:formatCode>0.0"x"</c:formatCode>
                <c:ptCount val="1"/>
                <c:pt idx="0">
                  <c:v>18.8</c:v>
                </c:pt>
              </c:numCache>
            </c:numRef>
          </c:yVal>
          <c:smooth val="0"/>
        </c:ser>
        <c:axId val="10"/>
        <c:axId val="20"/>
      </c:scatterChart>
      <c:valAx>
        <c:axId val="10"/>
        <c:scaling>
          <c:orientation val="minMax"/>
          <c:max val="16"/>
          <c:min val="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MarketAxess Holdings</c:v>
                </c:pt>
                <c:pt idx="1">
                  <c:v>Adenza</c:v>
                </c:pt>
                <c:pt idx="2">
                  <c:v>IHS Markit</c:v>
                </c:pt>
                <c:pt idx="3">
                  <c:v>Refinitiv</c:v>
                </c:pt>
                <c:pt idx="4">
                  <c:v>With Intelligence</c:v>
                </c:pt>
                <c:pt idx="5">
                  <c:v>OSTTRA (50 % de CME y 50 % de S&amp;P Global)</c:v>
                </c:pt>
                <c:pt idx="6">
                  <c:v>NEX Group</c:v>
                </c:pt>
              </c:strCache>
            </c:strRef>
          </c:cat>
          <c:val>
            <c:numRef>
              <c:f>Hoja1!$B$2:$B$8</c:f>
              <c:numCache>
                <c:formatCode>0.0"x"</c:formatCode>
                <c:ptCount val="7"/>
                <c:pt idx="0">
                  <c:v>13</c:v>
                </c:pt>
                <c:pt idx="1">
                  <c:v>30.7</c:v>
                </c:pt>
                <c:pt idx="2">
                  <c:v>24</c:v>
                </c:pt>
                <c:pt idx="3">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3736</c:v>
                </c:pt>
                <c:pt idx="1">
                  <c:v>3933</c:v>
                </c:pt>
                <c:pt idx="2">
                  <c:v>4159</c:v>
                </c:pt>
                <c:pt idx="3">
                  <c:v>4358</c:v>
                </c:pt>
                <c:pt idx="4">
                  <c:v>4565</c:v>
                </c:pt>
                <c:pt idx="5">
                  <c:v>4762</c:v>
                </c:pt>
                <c:pt idx="6">
                  <c:v>4944</c:v>
                </c:pt>
                <c:pt idx="7">
                  <c:v>5069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23830</c:v>
                </c:pt>
                <c:pt idx="1">
                  <c:v>47173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305,71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177.99</c:v>
                </c:pt>
                <c:pt idx="1">
                  <c:v>221.48</c:v>
                </c:pt>
                <c:pt idx="2">
                  <c:v>241.51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305,71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(218,31 – 329,16)</c:v>
                </c:pt>
                <c:pt idx="1">
                  <c:v>Precio objetivo de los analistas (230,00 – 367,00)</c:v>
                </c:pt>
                <c:pt idx="2">
                  <c:v>Comparables: PER NTM (297,73 – 347,56)</c:v>
                </c:pt>
                <c:pt idx="3">
                  <c:v>Transacciones precedentes (EV/EBITDA) (202,54 – 375,15)</c:v>
                </c:pt>
                <c:pt idx="4">
                  <c:v>DCF (WACC y g ± 0,5) (197,41 – 255,10)</c:v>
                </c:pt>
                <c:pt idx="5">
                  <c:v>Escenarios (bajista – alcista) (177,99 – 241,51)</c:v>
                </c:pt>
                <c:pt idx="6">
                  <c:v>DCF con la prima implícita del mercado (4,2 %)</c:v>
                </c:pt>
                <c:pt idx="7">
                  <c:v>Precio actual (305,71)</c:v>
                </c:pt>
              </c:strCache>
            </c:strRef>
          </c:cat>
          <c:val>
            <c:numRef>
              <c:f>Hoja1!$B$2:$B$9</c:f>
              <c:numCache>
                <c:formatCode>#,##0</c:formatCode>
                <c:ptCount val="8"/>
                <c:pt idx="0">
                  <c:v>218.31</c:v>
                </c:pt>
                <c:pt idx="1">
                  <c:v>230</c:v>
                </c:pt>
                <c:pt idx="2">
                  <c:v>297.73</c:v>
                </c:pt>
                <c:pt idx="3">
                  <c:v>202.54</c:v>
                </c:pt>
                <c:pt idx="4">
                  <c:v>197.41</c:v>
                </c:pt>
                <c:pt idx="5">
                  <c:v>177.99</c:v>
                </c:pt>
                <c:pt idx="6">
                  <c:v>237.29</c:v>
                </c:pt>
                <c:pt idx="7">
                  <c:v>304.18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(218,31 – 329,16)</c:v>
                </c:pt>
                <c:pt idx="1">
                  <c:v>Precio objetivo de los analistas (230,00 – 367,00)</c:v>
                </c:pt>
                <c:pt idx="2">
                  <c:v>Comparables: PER NTM (297,73 – 347,56)</c:v>
                </c:pt>
                <c:pt idx="3">
                  <c:v>Transacciones precedentes (EV/EBITDA) (202,54 – 375,15)</c:v>
                </c:pt>
                <c:pt idx="4">
                  <c:v>DCF (WACC y g ± 0,5) (197,41 – 255,10)</c:v>
                </c:pt>
                <c:pt idx="5">
                  <c:v>Escenarios (bajista – alcista) (177,99 – 241,51)</c:v>
                </c:pt>
                <c:pt idx="6">
                  <c:v>DCF con la prima implícita del mercado (4,2 %)</c:v>
                </c:pt>
                <c:pt idx="7">
                  <c:v>Precio actual (305,71)</c:v>
                </c:pt>
              </c:strCache>
            </c:strRef>
          </c:cat>
          <c:val>
            <c:numRef>
              <c:f>Hoja1!$C$2:$C$9</c:f>
              <c:numCache>
                <c:formatCode>#,##0</c:formatCode>
                <c:ptCount val="8"/>
                <c:pt idx="0">
                  <c:v>110.85000000000002</c:v>
                </c:pt>
                <c:pt idx="1">
                  <c:v>137</c:v>
                </c:pt>
                <c:pt idx="2">
                  <c:v>49.829999999999984</c:v>
                </c:pt>
                <c:pt idx="3">
                  <c:v>172.60999999999999</c:v>
                </c:pt>
                <c:pt idx="4">
                  <c:v>57.69</c:v>
                </c:pt>
                <c:pt idx="5">
                  <c:v>63.51999999999998</c:v>
                </c:pt>
                <c:pt idx="6">
                  <c:v>46.83000000000001</c:v>
                </c:pt>
                <c:pt idx="7">
                  <c:v>3.0600000000000023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