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4fbf769a5120067c31a217dacc5b1427fa93d8"/>
    <w:p>
      <w:pPr>
        <w:pStyle w:val="Heading1"/>
      </w:pPr>
      <w:r>
        <w:t xml:space="preserve">Axon Enterprise (AXON):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Comprar (convicción baja)</w:t>
      </w:r>
      <w:r>
        <w:t xml:space="preserve"> </w:t>
      </w:r>
      <w:r>
        <w:t xml:space="preserve">· Puntuación 68,2/100 · Señales de cambio de tendencia 3/8 · EV/ventas NTM 8,5 veces</w:t>
      </w:r>
      <w:r>
        <w:t xml:space="preserve"> </w:t>
      </w:r>
      <w:r>
        <w:t xml:space="preserve">Precio 413,35 USD (fecha del informe) · Objetivo 12 m 546,8 USD · Ponderada +32,3 % · Base +26,6 % · Bajista −42,4 % · Alcista +118,4 % · Compra hasta 476,4 USD</w:t>
      </w:r>
      <w:r>
        <w:t xml:space="preserve"> </w:t>
      </w:r>
      <w:r>
        <w:t xml:space="preserve">Peso orientativo: 3.5 % de la cartera · Por qué: cumple todos los requisitos de compra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Axon (TASER, cámaras corporales, Evidence.com, IA, antidrones Dedrone, Axon 911) crece por décimo trimestre seguido por encima del 30 %: +35,2 % en el 2T26, ventas de 12 meses de 3.219 M USD (+34,6 %), ARR +39 % y retención neta del 126 %. Puntuación 68,2/100, lastrada por la caja y el margen bruto, no por el negocio.</w:t>
      </w:r>
    </w:p>
    <w:p>
      <w:pPr>
        <w:numPr>
          <w:ilvl w:val="0"/>
          <w:numId w:val="1001"/>
        </w:numPr>
        <w:pStyle w:val="Compact"/>
      </w:pPr>
      <w:r>
        <w:t xml:space="preserve">La acción ha caído un 43 % en 12 meses (de ~730 a 413 USD) y un 53 % desde el máximo de 886 USD: venta del software por miedo a la IA, márgenes presionados por aranceles y memoria, pagos en acciones del 16 % de las ventas y un convertible de 1.150 M en septiembre con la caja en mínimos.</w:t>
      </w:r>
    </w:p>
    <w:p>
      <w:pPr>
        <w:numPr>
          <w:ilvl w:val="0"/>
          <w:numId w:val="1001"/>
        </w:numPr>
        <w:pStyle w:val="Compact"/>
      </w:pPr>
      <w:r>
        <w:t xml:space="preserve">Por eso la valoración ha vuelto a la zona de 2023 (cuando el backtest de v4 la compraba): EV/ventas NTM 8,5x, EV/beneficio bruto 14,2x y un DCF inverso que solo descuenta un 17,6 % anual durante 10 años, frente al +32-34 % de la guía 2026 y el objetivo de 6.000 M USD en 2028.</w:t>
      </w:r>
    </w:p>
    <w:p>
      <w:pPr>
        <w:numPr>
          <w:ilvl w:val="0"/>
          <w:numId w:val="1001"/>
        </w:numPr>
        <w:pStyle w:val="Compact"/>
      </w:pPr>
      <w:r>
        <w:t xml:space="preserve">Pero la tendencia todavía no ha girado: precio un 23 % bajo la media de 200 sesiones, fuerza relativa negativa, sentimiento empeorando y sin compras de directivos. Solo 3/8 señales (revisiones de ventas al alza, inflexión operativa y catalizadores nuevos).</w:t>
      </w:r>
    </w:p>
    <w:p>
      <w:pPr>
        <w:numPr>
          <w:ilvl w:val="0"/>
          <w:numId w:val="1001"/>
        </w:numPr>
        <w:pStyle w:val="Compact"/>
      </w:pPr>
      <w:r>
        <w:t xml:space="preserve">Conclusión: Mantener y vigilar de cerca. Es la mejor combinación de crecimiento y precio de las growth analizadas hasta ahora, pero el método pide que el mercado empiece a reconocerlo antes de entrar. Disparadores: precio &gt; ~450 USD (señal 4), vuelta sobre la media de 200 o un 3T (≈ 5-nov) que confirme el margen y mejore el sentimiento.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Axon vende un ecosistema cerrado a policías, administraciones, ejército y empresas:</w:t>
      </w:r>
      <w:r>
        <w:t xml:space="preserve"> </w:t>
      </w:r>
      <w:r>
        <w:rPr>
          <w:bCs/>
          <w:b/>
        </w:rPr>
        <w:t xml:space="preserve">Dispositivos conectados</w:t>
      </w:r>
      <w:r>
        <w:t xml:space="preserve"> </w:t>
      </w:r>
      <w:r>
        <w:t xml:space="preserve">(TASER 10, cámaras Axon Body 4, cámaras de vehículo, drones y antidrones Dedrone, 507 M USD en el 2T26, +35 %) y</w:t>
      </w:r>
      <w:r>
        <w:t xml:space="preserve"> </w:t>
      </w:r>
      <w:r>
        <w:rPr>
          <w:bCs/>
          <w:b/>
        </w:rPr>
        <w:t xml:space="preserve">Software y servicios</w:t>
      </w:r>
      <w:r>
        <w:t xml:space="preserve"> </w:t>
      </w:r>
      <w:r>
        <w:t xml:space="preserve">(Evidence.com para la gestión de pruebas digitales, Records, Fusus para centros de crimen en tiempo real, Axon 911 tras comprar Carbyne por ~625 M USD en el 1S26, y la capa de IA: Draft One, Axon Assistant, Guardian, Vision; 398 M USD, +36 %) [1][17][18]. Se vende en planes plurianuales (OSP, «AI Era Plan») que agrupan hardware, nube e IA; los contratos futuros suman</w:t>
      </w:r>
      <w:r>
        <w:t xml:space="preserve"> </w:t>
      </w:r>
      <w:r>
        <w:rPr>
          <w:bCs/>
          <w:b/>
        </w:rPr>
        <w:t xml:space="preserve">15.100 M USD (+41 %)</w:t>
      </w:r>
      <w:r>
        <w:t xml:space="preserve"> </w:t>
      </w:r>
      <w:r>
        <w:t xml:space="preserve">[1].</w:t>
      </w:r>
    </w:p>
    <w:p>
      <w:pPr>
        <w:pStyle w:val="BodyText"/>
      </w:pPr>
      <w:r>
        <w:t xml:space="preserve">Lo nuevo: las ventas de IA crecieron más de un 700 % en el 1T26 y el «AI Era Plan» es el producto que más rápido se ha vendido en su historia. Dedrone supera los 100 M USD por trimestre (despliegue en las 11 sedes estadounidenses del Mundial y participante en el programa contra drones del DHS de 1.500 M USD) [13][17].</w:t>
      </w:r>
    </w:p>
    <w:p>
      <w:pPr>
        <w:pStyle w:val="BodyText"/>
      </w:pPr>
      <w:r>
        <w:rPr>
          <w:bCs/>
          <w:b/>
        </w:rPr>
        <w:t xml:space="preserve">Tecnología 5/5</w:t>
      </w:r>
      <w:r>
        <w:t xml:space="preserve">: el dispositivo y la nube están integrados (cadena de custodia de la prueba, CJIS), con datos y flujos de trabajo que ninguna alternativa replica en 3 años y un coste de cambio alto.</w:t>
      </w:r>
      <w:r>
        <w:t xml:space="preserve"> </w:t>
      </w:r>
      <w:r>
        <w:rPr>
          <w:bCs/>
          <w:b/>
        </w:rPr>
        <w:t xml:space="preserve">Posición 5/5</w:t>
      </w:r>
      <w:r>
        <w:t xml:space="preserve">: líder claro en armas de energía conducida y cámaras corporales de grandes ciudades de EE. UU., con cuota creciente en software (Motorola es el único rival de escala).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(estimación; ~5-nov)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(el CFO lo prevé el de mayor crecimiento)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~+35 %</w:t>
            </w:r>
          </w:p>
        </w:tc>
      </w:tr>
    </w:tbl>
    <w:p>
      <w:pPr>
        <w:pStyle w:val="BodyText"/>
      </w:pPr>
      <w:r>
        <w:t xml:space="preserve">Fuentes: [1][2][3][4][5][18]. 3T24 (~544) y 4T24 (~573) deducidos de los crecimientos publicados.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1.564 (memoria)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3.670-3.730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+32-34 %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objetivo de la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 anual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a jun-26:</w:t>
      </w:r>
      <w:r>
        <w:t xml:space="preserve"> </w:t>
      </w:r>
      <w:r>
        <w:rPr>
          <w:bCs/>
          <w:b/>
        </w:rPr>
        <w:t xml:space="preserve">3.219 M USD, +34,6 %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33,4 %</w:t>
      </w:r>
      <w:r>
        <w:t xml:space="preserve"> </w:t>
      </w:r>
      <w:r>
        <w:t xml:space="preserve">(1.809 M a jun-24).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2T26 +35,2 % frente a una media del 34,0 % en los cuatro anteriores:</w:t>
      </w:r>
      <w:r>
        <w:t xml:space="preserve"> </w:t>
      </w:r>
      <w:r>
        <w:rPr>
          <w:bCs/>
          <w:b/>
        </w:rPr>
        <w:t xml:space="preserve">+1,2 pp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</w:t>
      </w:r>
      <w:r>
        <w:t xml:space="preserve">: 1.600 M USD (+39 %);</w:t>
      </w:r>
      <w:r>
        <w:t xml:space="preserve"> </w:t>
      </w:r>
      <w:r>
        <w:rPr>
          <w:bCs/>
          <w:b/>
        </w:rPr>
        <w:t xml:space="preserve">retención neta: 126 %</w:t>
      </w:r>
      <w:r>
        <w:t xml:space="preserve"> </w:t>
      </w:r>
      <w:r>
        <w:t xml:space="preserve">(124 % en el 3T25, 125 % en el 1T26) [1][2][4].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subida dos veces en 2026 (+27-30 % → +30-32 % → +32-34 %); EBITDA ajustado ~25,5 %; objetivo 2028 de ~6.000 M USD y 28 % de EBITDA ajustado [1][3].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Axon habla de</w:t>
      </w:r>
      <w:r>
        <w:t xml:space="preserve"> </w:t>
      </w:r>
      <w:r>
        <w:rPr>
          <w:bCs/>
          <w:b/>
        </w:rPr>
        <w:t xml:space="preserve">159.000 M USD</w:t>
      </w:r>
      <w:r>
        <w:t xml:space="preserve"> </w:t>
      </w:r>
      <w:r>
        <w:t xml:space="preserve">[9]. Incluye todo el mundo, todo el mercado empresarial y federal. Se toma ~1/3,</w:t>
      </w:r>
      <w:r>
        <w:t xml:space="preserve"> </w:t>
      </w:r>
      <w:r>
        <w:rPr>
          <w:bCs/>
          <w:b/>
        </w:rPr>
        <w:t xml:space="preserve">50.000 M USD</w:t>
      </w:r>
      <w:r>
        <w:t xml:space="preserve">, como alcanzable en 2028 (seguridad pública de EE. UU. y aliados, federal, antidrones y algo de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3.219 / 50.000 =</w:t>
      </w:r>
      <w:r>
        <w:t xml:space="preserve"> </w:t>
      </w:r>
      <w:r>
        <w:rPr>
          <w:bCs/>
          <w:b/>
        </w:rPr>
        <w:t xml:space="preserve">6,4 %</w:t>
      </w:r>
      <w:r>
        <w:t xml:space="preserve"> </w:t>
      </w:r>
      <w:r>
        <w:t xml:space="preserve">(2,0 % sobre la cifra de la empresa).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Motorola Solutions (cámaras, radio, 911 y software de mando), Flock Safety y otros en lectores de matrículas y centros de crimen, Tyler Technologies en software de justicia, y fabricantes de antidrones en defensa.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la plataforma: el TASER y la cámara abren la puerta, Evidence.com retiene y la IA y el 911 amplían el gasto por agente (retención 126 %). Los planes de 5-10 años hacen las ventas muy visibles (15.100 M contratados).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ventas 2026 subida dos veces (+27-30 % → +32-34 %); 2T26 de 904 M frente a 876 M de consenso; Northcoast a 680 y Argus de 460 a 600 USD. Ojo: el objetivo medio baja de ~735 a ~692-697 USD y el BPA del 3T se espera presionado por la memoria.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de 200 sesiones ~539 USD (23-sep) y bajando; cierre 413,35 USD (−23 %).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~393 USD a mediados de abril → 413 USD (+5 %), con el software +40 % desde los mínimos de abril; −26 % en 2026.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~7,4-7,6x en el mínimo de abril (339 USD) a 8,5x hoy: +12-14 %, por debajo del +20 %.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2T26 +5,2 % (47 M) frente a −0,1 % (−1 M): +5,3 pp. Ayudado por devoluciones de aranceles que no se repiten en el 3T.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−14 % tras el margen bruto del 2T, −11 % el 15-sep con el convertible, −22 % en septiembre; Weiss a C- (Mantener).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compras en 90 días; ventas netas de ~11 M USD (CTO, plan 10b5-1); el CEO solo recibe concesiones.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Dedrone &gt; 100 M por trimestre y programa del DHS; IA +700 %; Axon 911 (Carbyne); 3T (~5-nov) y un 4T previsto como el de mayor crecimiento.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[13][17][18]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(−43 % en 12 meses). Es justo lo contrario: la percepción está en mínimos mientras el negocio acelera. Las señales 1, 5 y 8 son de negocio; las 2, 3, 4 y 6 (de precio y percepción) siguen en contra.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 del</w:t>
      </w:r>
      <w:r>
        <w:t xml:space="preserve"> </w:t>
      </w:r>
      <w:r>
        <w:rPr>
          <w:bCs/>
          <w:b/>
        </w:rPr>
        <w:t xml:space="preserve">~59,5 %</w:t>
      </w:r>
      <w:r>
        <w:t xml:space="preserve"> </w:t>
      </w:r>
      <w:r>
        <w:t xml:space="preserve">en 12 meses (4T25 57,9 %, 2T26 60,4 %; ajustado 62,9 %) [1][3]. Es un margen de empresa mixta: software y servicios al 75 % ajustado, dispositivos al 53 %. Lo presionan los aranceles, la memoria y el peso creciente de antidrones y drones.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12 meses</w:t>
      </w:r>
      <w:r>
        <w:t xml:space="preserve">: ~</w:t>
      </w:r>
      <w:r>
        <w:rPr>
          <w:bCs/>
          <w:b/>
        </w:rPr>
        <w:t xml:space="preserve">133 M USD, 4,1 %</w:t>
      </w:r>
      <w:r>
        <w:t xml:space="preserve"> </w:t>
      </w:r>
      <w:r>
        <w:t xml:space="preserve">de las ventas (−24,5 %), por la inversión en inventario. Guía 2026: flujo operativo &gt; 600 M y</w:t>
      </w:r>
      <w:r>
        <w:t xml:space="preserve"> </w:t>
      </w:r>
      <w:r>
        <w:rPr>
          <w:bCs/>
          <w:b/>
        </w:rPr>
        <w:t xml:space="preserve">FCF ~450 M</w:t>
      </w:r>
      <w:r>
        <w:t xml:space="preserve"> </w:t>
      </w:r>
      <w:r>
        <w:t xml:space="preserve">(~12 %), concentrado en el 4T como en los dos últimos años [6][20].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34,6 + 4,1 =</w:t>
      </w:r>
      <w:r>
        <w:t xml:space="preserve"> </w:t>
      </w:r>
      <w:r>
        <w:rPr>
          <w:bCs/>
          <w:b/>
        </w:rPr>
        <w:t xml:space="preserve">38,7</w:t>
      </w:r>
      <w:r>
        <w:t xml:space="preserve"> </w:t>
      </w:r>
      <w:r>
        <w:t xml:space="preserve">(con la guía de FCF 2026 sería ~45).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Rentabilidad</w:t>
      </w:r>
      <w:r>
        <w:t xml:space="preserve">: FCF positivo pero decreciente en 12 meses → «fcf_positivo» (4/5). Margen operativo GAAP del 5,2 % en el 2T26; EBITDA ajustado del 26,8 %.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</w:t>
      </w:r>
      <w:r>
        <w:t xml:space="preserve">: 685 M USD a 30-jun (caja e inversiones a corto) + ~1.019 M netos del convertible de septiembre tras el capped call =</w:t>
      </w:r>
      <w:r>
        <w:t xml:space="preserve"> </w:t>
      </w:r>
      <w:r>
        <w:rPr>
          <w:bCs/>
          <w:b/>
        </w:rPr>
        <w:t xml:space="preserve">~1.704 M USD</w:t>
      </w:r>
      <w:r>
        <w:t xml:space="preserve"> </w:t>
      </w:r>
      <w:r>
        <w:t xml:space="preserve">pro forma (sin el FCF del 3T) [1][21].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Deuda</w:t>
      </w:r>
      <w:r>
        <w:t xml:space="preserve">: ~1.850 M USD a 30-jun (bonos sénior 2030 y 2033) +</w:t>
      </w:r>
      <w:r>
        <w:t xml:space="preserve"> </w:t>
      </w:r>
      <w:r>
        <w:rPr>
          <w:bCs/>
          <w:b/>
        </w:rPr>
        <w:t xml:space="preserve">convertible 0 % 2031 de 1.150 M</w:t>
      </w:r>
      <w:r>
        <w:t xml:space="preserve"> </w:t>
      </w:r>
      <w:r>
        <w:t xml:space="preserve">(conversión a 652,06 USD, capped call hasta 1.049,94 USD) =</w:t>
      </w:r>
      <w:r>
        <w:t xml:space="preserve"> </w:t>
      </w:r>
      <w:r>
        <w:rPr>
          <w:bCs/>
          <w:b/>
        </w:rPr>
        <w:t xml:space="preserve">~3.000 M USD</w:t>
      </w:r>
      <w:r>
        <w:t xml:space="preserve">; deuda neta ~1.300 M (~1,4x el EBITDA ajustado de 2026) [6][21].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de 78,1 M (sep-24) a 82,5 M (jun-26),</w:t>
      </w:r>
      <w:r>
        <w:t xml:space="preserve"> </w:t>
      </w:r>
      <w:r>
        <w:rPr>
          <w:bCs/>
          <w:b/>
        </w:rPr>
        <w:t xml:space="preserve">~3 % anual</w:t>
      </w:r>
      <w:r>
        <w:t xml:space="preserve">; el convertible está un 58 % fuera de dinero [6].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guía 2026 de 590-620 M USD,</w:t>
      </w:r>
      <w:r>
        <w:t xml:space="preserve"> </w:t>
      </w:r>
      <w:r>
        <w:rPr>
          <w:bCs/>
          <w:b/>
        </w:rPr>
        <w:t xml:space="preserve">~16,4 % de las ventas. En rojo: supera el 15 %.</w:t>
      </w:r>
      <w:r>
        <w:t xml:space="preserve"> </w:t>
      </w:r>
      <w:r>
        <w:t xml:space="preserve">Incluye ~230 M del plan XSP y del premio al CEO ligado a hitos [20].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diez trimestres seguidos &gt; 30 %, ventas por encima del consenso al menos nueve seguidos y guía subida dos veces en 2026. No es 5 porque falla en márgenes y BPA (3T25 y 1T26 por debajo del consenso por aranceles, I+D y memoria) y el FCF de 2025 quedó muy por debajo del de 2024.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el fundador Rick Smith es CEO desde 1993, con participación relevante y planes ligados a hitos de capitalización. Le restan los pagos en acciones del 16 %, las ventas regulares de directivos, el litigio por la nueva sede en Arizona y haber dejado caer la caja a ~600 M antes de emitir el convertible.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ventas de los 12 meses a jun-2028 (≈ las NTM que mirará el mercado dentro de un año; regla mecánica a 2 años desde las ventas de 12 m).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EV/ventas NTM (el EBITDA ajustado es aún muy sensible a aranceles y pagos en acciones).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413,35 × 82,5 + 3.000 − 1.704 =</w:t>
      </w:r>
      <w:r>
        <w:t xml:space="preserve"> </w:t>
      </w:r>
      <w:r>
        <w:rPr>
          <w:bCs/>
          <w:b/>
        </w:rPr>
        <w:t xml:space="preserve">35.397 M USD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~4.185 M USD (+30 %) →</w:t>
      </w:r>
      <w:r>
        <w:t xml:space="preserve"> </w:t>
      </w:r>
      <w:r>
        <w:rPr>
          <w:bCs/>
          <w:b/>
        </w:rPr>
        <w:t xml:space="preserve">EV/ventas NTM 8,5x</w:t>
      </w:r>
      <w:r>
        <w:t xml:space="preserve">; EV/ventas 12 m pasados 11,0x;</w:t>
      </w:r>
      <w:r>
        <w:t xml:space="preserve"> </w:t>
      </w:r>
      <w:r>
        <w:rPr>
          <w:bCs/>
          <w:b/>
        </w:rPr>
        <w:t xml:space="preserve">EV/beneficio bruto NTM 14,2x</w:t>
      </w:r>
      <w:r>
        <w:t xml:space="preserve"> </w:t>
      </w:r>
      <w:r>
        <w:t xml:space="preserve">(límite 35).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~13x NTM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mínimo ~7,4x</w:t>
      </w:r>
      <w:r>
        <w:t xml:space="preserve"> </w:t>
      </w:r>
      <w:r>
        <w:t xml:space="preserve">(abril-2026): estimación propia a partir de Seeking Alpha (12,5x pasado y 9,7x futuro en mar-26; media de 5 años 14,7x pasado) y de los precios de 2023-2025 (~8x en oct-23, 17-21x en 2025) [22].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 ~6x NTM</w:t>
      </w:r>
      <w:r>
        <w:t xml:space="preserve">: Motorola Solutions ~6,0x, Tyler ~5,5-6x, Samsara ~9,6x (Palantir, &gt; 40x, no entra) [23]. Axon crece el triple que Motorola y Tyler.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30 % frente al 29 % del año objetivo → factor 0,98.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13,0x (su mediana de 3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+34,2 %</w:t>
            </w:r>
          </w:p>
        </w:tc>
      </w:tr>
    </w:tbl>
    <w:p>
      <w:pPr>
        <w:pStyle w:val="BodyText"/>
      </w:pPr>
      <w:r>
        <w:t xml:space="preserve">Acciones dentro de 12 meses: 85,0 M (+3 %).</w:t>
      </w:r>
      <w:r>
        <w:t xml:space="preserve"> </w:t>
      </w:r>
      <w:r>
        <w:rPr>
          <w:bCs/>
          <w:b/>
        </w:rPr>
        <w:t xml:space="preserve">Asimetría 2,9.</w:t>
      </w:r>
      <w:r>
        <w:t xml:space="preserve"> </w:t>
      </w:r>
      <w:r>
        <w:rPr>
          <w:bCs/>
          <w:b/>
        </w:rPr>
        <w:t xml:space="preserve">Precio máximo de compra: 504,4 USD</w:t>
      </w:r>
      <w:r>
        <w:t xml:space="preserve"> </w:t>
      </w:r>
      <w:r>
        <w:t xml:space="preserve">(el que da base 0 %; el tope de EV/beneficio bruto 35 quedaría muy por encima).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la proyección propia</w:t>
      </w:r>
      <w:r>
        <w:t xml:space="preserve">: 4.800 / 5.500 / 6.000 M (el alcista es el objetivo 2028 de la empresa); la regla mecánica da cifras muy parecidas.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~692-697 USD (18 de 20-21 analistas en Comprar) [7][8]; nuestra ponderada (554,8) es más prudente porque mantiene el múltiplo de hoy. Consenso de ventas 2028: no encontrado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WACC 10 %, margen FCF del 6 % al 25 % en 10 años y crecimiento terminal del 4 %, el precio descuenta</w:t>
      </w:r>
      <w:r>
        <w:t xml:space="preserve"> </w:t>
      </w:r>
      <w:r>
        <w:rPr>
          <w:bCs/>
          <w:b/>
        </w:rPr>
        <w:t xml:space="preserve">~17,6 % anual durante 10 años</w:t>
      </w:r>
      <w:r>
        <w:t xml:space="preserve"> </w:t>
      </w:r>
      <w:r>
        <w:t xml:space="preserve">(ventas de ~16.200 M en 2036). Es la mitad del ritmo actual:</w:t>
      </w:r>
      <w:r>
        <w:t xml:space="preserve"> </w:t>
      </w:r>
      <w:r>
        <w:rPr>
          <w:bCs/>
          <w:b/>
        </w:rPr>
        <w:t xml:space="preserve">razonable y con margen.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dos lecturas. Wall Street sigue en Comprar (objetivos 600-800 USD; Needham 750, Goldman 715) y TIKR insiste en que «el negocio no refleja la caída» [6][7][14]. Pero el tono de la prensa en septiembre-octubre es de castigo: margen bruto por debajo de lo esperado, convertible con poca caja, venta de un directivo y la etiqueta de «software que la IA puede sustituir» [6][14][15].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Motley Fool / Seeking Alpha</w:t>
      </w:r>
      <w:r>
        <w:t xml:space="preserve">: la crítica se centra en la valoración por beneficios (PER futuro de 60-70x) y los pagos en acciones; no hemos encontrado artículos de Seeking Alpha de sep-oct 2026 [12][22].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no hemos podido leer el flujo; las noticias de StockTwits sobre el convertible hablan de dilución.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no aparecen hilos de Rankia ni de Investing ES; TIKR en español repite el debate dilución/margen frente a crecimiento.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acelera y sube la guía, pero el precio ha caído más de un 40 %. El sentimiento es de capitulación parcial, no de euforia: es el terreno donde nacen los cambios de tendencia, pero todavía no se ve el giro.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Reversión del sentimiento que no llega</w:t>
      </w:r>
      <w:r>
        <w:t xml:space="preserve">: el principal. Sin giro de percepción el múltiplo puede comprimirse a ~5x (bajista −42 %), como Motorola y Tyler, aunque el negocio cumpla.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Márgenes</w:t>
      </w:r>
      <w:r>
        <w:t xml:space="preserve">: memoria y aranceles en dispositivos, y el peso de antidrones y drones (margen menor). Un 3T con margen bruto &lt; 58 % sin recuperación en el 4T dañaría la guía de FCF.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Caja y deuda</w:t>
      </w:r>
      <w:r>
        <w:t xml:space="preserve">: ~3.000 M de deuda con un FCF de 12 m de 133 M; depende de que el 4T traiga los ~450 M de FCF del año.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16 %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Gasto público y política</w:t>
      </w:r>
      <w:r>
        <w:t xml:space="preserve">: presupuestos municipales, cambios en la financiación federal y debate sobre vigilancia y uso de la fuerza.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</w:t>
      </w:r>
      <w:r>
        <w:t xml:space="preserve">: Motorola en cámaras y 911; Flock en lectores de matrículas; rivales de defensa en antidrones.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 crecimiento &lt; 25 % dos trimestres seguidos; retención neta &lt; 120 %; recorte de la guía 2026 o del objetivo 2028; FCF 2026 muy por debajo de 450 M sin explicación de inventario; ampliación de capital o nuevo convertible a corto plazo.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~5-nov-2026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(margen con la memoria y sin aranceles devueltos; ventas ~910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4T26 (el de mayor crecimiento según el CFO, y la mayor parte del FCF), guía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del programa contra drones del DHS (1.500 M) y federales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Abril-2027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Axon Week: nuevos productos de IA, 911 y drones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2030-2033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 los bonos sénior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La cartera value propuesta de Hotis (IGLN, Edenred, Daiichi Sankyo, Uber, Viscofan, Alphabet, Netflix, SAP, Intuit, Nemetschek, LVMH y liquidez) deja hasta un 20 % para growth. Ninguna de las growth ya analizadas (Palantir, CrowdStrike, Spotify, Rheinmetall) está en Comprar.</w:t>
      </w:r>
    </w:p>
    <w:p>
      <w:pPr>
        <w:pStyle w:val="BodyText"/>
      </w:pPr>
      <w:r>
        <w:rPr>
          <w:bCs/>
          <w:b/>
        </w:rPr>
        <w:t xml:space="preserve">Axon no entra hoy: peso 0 %.</w:t>
      </w:r>
      <w:r>
        <w:t xml:space="preserve"> </w:t>
      </w:r>
      <w:r>
        <w:t xml:space="preserve">Pero es la candidata más cercana a entrar de las cinco: a diferencia de CrowdStrike o Palantir, el problema no es el precio (EV/beneficio bruto 14,2x, compra hasta 504,4 USD) sino que la tendencia no ha girado. Además aporta algo que la cartera no tiene: seguridad pública y defensa (antidrones), poco correlacionada con el consumo (LVMH, Netflix, Uber) y distinta del software empresarial (SAP, Intuit, Nemetschek), aunque cotiza con el mismo factor de software de crecimiento.</w:t>
      </w:r>
    </w:p>
    <w:p>
      <w:pPr>
        <w:pStyle w:val="BodyText"/>
      </w:pPr>
      <w:r>
        <w:rPr>
          <w:bCs/>
          <w:b/>
        </w:rPr>
        <w:t xml:space="preserve">Plan si se activa la cuarta señal</w:t>
      </w:r>
      <w:r>
        <w:t xml:space="preserve">: convicción baja →</w:t>
      </w:r>
      <w:r>
        <w:t xml:space="preserve"> </w:t>
      </w:r>
      <w:r>
        <w:rPr>
          <w:bCs/>
          <w:b/>
        </w:rPr>
        <w:t xml:space="preserve">3,5 %</w:t>
      </w:r>
      <w:r>
        <w:t xml:space="preserve">, de la liquidez, en dos tramos: la mitad cuando se cumpla el disparador (precio &gt; ~450 USD con el múltiplo +20 % sobre el mínimo, vuelta sobre la media de 200 sesiones o mejora clara del sentimiento tras el 3T) y la otra mitad tras los resultados del 4T (feb-2027) si confirman el FCF. Se recalcula tras el 3T.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+34,6 % (4), CAGR 2 años 33,4 % (4), aceleración +1,2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6,4 % (3), tecnología 5,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59,5 % (3), regla del 40 = 38,7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3 %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 </w:t>
            </w:r>
            <w:r>
              <w:t xml:space="preserve">(menos de 4 señales)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</w:t>
      </w:r>
      <w:r>
        <w:t xml:space="preserve"> </w:t>
      </w:r>
      <w:r>
        <w:t xml:space="preserve">(propuesta, sin cambiar el código): en Axon la regla mide bien el negocio y la valoración, pero (a) el «precio máximo de compra» (504,4 USD) queda por encima del precio actual y puede leerse como «compra ya», cuando lo que falta es tendencia; convendría que el motor diga, cuando la única falta es de señales, el precio al que se activaría la señal más cercana (aquí la 4, ~445-455 USD) y añada un estado «En vigilancia por tendencia» análogo al de rentabilidad; (b) el margen bruto penaliza a una empresa mixta de hardware y software (59,5 % → 3/5) aunque su software esté al 75 %: se podría puntuar con el margen del negocio recurrente cuando sea &gt; 40 % de las ventas, repasando el backtest.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Axon, 8-K de 5-ago-2026 (carta a accionistas 2T26); resúmenes en Quartr, Stock Titan, Panabee y StockStory.</w:t>
      </w:r>
      <w:r>
        <w:t xml:space="preserve"> </w:t>
      </w:r>
      <w:r>
        <w:t xml:space="preserve">[2] Axon, 8-K de 6-may-2026 (1T26).</w:t>
      </w:r>
      <w:r>
        <w:t xml:space="preserve"> </w:t>
      </w:r>
      <w:r>
        <w:t xml:space="preserve">[3] Axon, 8-K de 24-feb-2026 (4T25 y guía 2026, objetivo 2028); Zacks.</w:t>
      </w:r>
      <w:r>
        <w:t xml:space="preserve"> </w:t>
      </w:r>
      <w:r>
        <w:t xml:space="preserve">[4] Axon, 8-K de 4-nov-2025 (3T25).</w:t>
      </w:r>
      <w:r>
        <w:t xml:space="preserve"> </w:t>
      </w:r>
      <w:r>
        <w:t xml:space="preserve">[5] Axon, 8-K de 4-ago-2025 (2T25); Quantisnow; Simply Wall St.</w:t>
      </w:r>
      <w:r>
        <w:t xml:space="preserve"> </w:t>
      </w:r>
      <w:r>
        <w:t xml:space="preserve">[6] TIKR, «Axon stock just fell 22% in a month» (sep-2026).</w:t>
      </w:r>
      <w:r>
        <w:t xml:space="preserve"> </w:t>
      </w:r>
      <w:r>
        <w:t xml:space="preserve">[7] 247 Wall St, «Axon jumps after earnings beat and analyst target hikes» (11-ago-2026).</w:t>
      </w:r>
      <w:r>
        <w:t xml:space="preserve"> </w:t>
      </w:r>
      <w:r>
        <w:t xml:space="preserve">[8] Benzinga (Argus, guía en USD); StockAnalysis (objetivo medio).</w:t>
      </w:r>
      <w:r>
        <w:t xml:space="preserve"> </w:t>
      </w:r>
      <w:r>
        <w:t xml:space="preserve">[9] Presentación del 2T26 (resumen de 2Slides); Conviction Queue.</w:t>
      </w:r>
      <w:r>
        <w:t xml:space="preserve"> </w:t>
      </w:r>
      <w:r>
        <w:t xml:space="preserve">[10] Investing.com, análisis técnico de AXON (23-sep-2026).</w:t>
      </w:r>
      <w:r>
        <w:t xml:space="preserve"> </w:t>
      </w:r>
      <w:r>
        <w:t xml:space="preserve">[11] Macrotrends (cierre del 13-oct-2026); StockAnalysis (12-oct); Morningstar/TIKR (9-oct).</w:t>
      </w:r>
      <w:r>
        <w:t xml:space="preserve"> </w:t>
      </w:r>
      <w:r>
        <w:t xml:space="preserve">[12] TIKR (abril-2026); Motley Fool (30-abr-2026).</w:t>
      </w:r>
      <w:r>
        <w:t xml:space="preserve"> </w:t>
      </w:r>
      <w:r>
        <w:t xml:space="preserve">[13] Trefis (10-ago-2026); Vectorshift (resumen del 2T26).</w:t>
      </w:r>
      <w:r>
        <w:t xml:space="preserve"> </w:t>
      </w:r>
      <w:r>
        <w:t xml:space="preserve">[14] TIKR (15 y 16-sep-2026); Placera/Finviz (precio del convertible).</w:t>
      </w:r>
      <w:r>
        <w:t xml:space="preserve"> </w:t>
      </w:r>
      <w:r>
        <w:t xml:space="preserve">[15] Weiss Ratings; Chartmill.</w:t>
      </w:r>
      <w:r>
        <w:t xml:space="preserve"> </w:t>
      </w:r>
      <w:r>
        <w:t xml:space="preserve">[16] Arkolith, Stock Titan e Insiderscreener (Formularios 4).</w:t>
      </w:r>
      <w:r>
        <w:t xml:space="preserve"> </w:t>
      </w:r>
      <w:r>
        <w:t xml:space="preserve">[17] MarketBeat (27-may-2026); Critical Communications Review (8-may-2026).</w:t>
      </w:r>
      <w:r>
        <w:t xml:space="preserve"> </w:t>
      </w:r>
      <w:r>
        <w:t xml:space="preserve">[18] TIKR (oct-2026, el CFO y el 4T); Vectorshift e Israel Desks (Carbyne).</w:t>
      </w:r>
      <w:r>
        <w:t xml:space="preserve"> </w:t>
      </w:r>
      <w:r>
        <w:t xml:space="preserve">[19] MarketBeat, historial de cotización; Digrin.</w:t>
      </w:r>
      <w:r>
        <w:t xml:space="preserve"> </w:t>
      </w:r>
      <w:r>
        <w:t xml:space="preserve">[20] Stock Titan (FCF de 12 m); Barchart/Quartr (guía 2026 de flujo, FCF, inversiones y pagos en acciones).</w:t>
      </w:r>
      <w:r>
        <w:t xml:space="preserve"> </w:t>
      </w:r>
      <w:r>
        <w:t xml:space="preserve">[21] Simpson Thacher (25-sep-2026); Axon, nota de precio del convertible (16-sep-2026).</w:t>
      </w:r>
      <w:r>
        <w:t xml:space="preserve"> </w:t>
      </w:r>
      <w:r>
        <w:t xml:space="preserve">[22] Seeking Alpha, métricas de valoración (27-mar-2026).</w:t>
      </w:r>
      <w:r>
        <w:t xml:space="preserve"> </w:t>
      </w:r>
      <w:r>
        <w:t xml:space="preserve">[23] aktien.guide; MarketScreener; OpenCapital.</w:t>
      </w:r>
      <w:r>
        <w:t xml:space="preserve"> </w:t>
      </w:r>
      <w:r>
        <w:t xml:space="preserve">[memoria/estimación propia] Mediana y mínimo de 3 años del EV/ventas NTM, ventas NTM, caja pro forma y deuda, margen bruto de 12 m, ventas de 2023.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2026-10-15T20:45:01Z</dcterms:created>
  <dcterms:modified xsi:type="dcterms:W3CDTF">2026-10-15T20:45:01Z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