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9f0b1a479b3bb4b1b0d668d472de96a8b3b606"/>
    <w:p>
      <w:pPr>
        <w:pStyle w:val="Heading1"/>
      </w:pPr>
      <w:r>
        <w:t xml:space="preserve">Celestica (CLS): análisis growth, 14-oct-2026</w:t>
      </w:r>
    </w:p>
    <w:p>
      <w:pPr>
        <w:pStyle w:val="FirstParagraph"/>
      </w:pPr>
      <w:r>
        <w:rPr>
          <w:bCs/>
          <w:b/>
        </w:rPr>
        <w:t xml:space="preserve">Señal (método vigente v11): Vender</w:t>
      </w:r>
      <w:r>
        <w:t xml:space="preserve"> </w:t>
      </w:r>
      <w:r>
        <w:t xml:space="preserve">· Puntuación 66,2/100 · Señales de cambio de tendencia 3/8 · EV/EBITDA NTM 16,5 veces</w:t>
      </w:r>
      <w:r>
        <w:t xml:space="preserve"> </w:t>
      </w:r>
      <w:r>
        <w:t xml:space="preserve">Precio 357,44 USD (fecha del informe) · Objetivo 12 m 263,6 USD · Ponderada −26,2 % · Base −24,4 % · Bajista −63,3 % · Alcista +7,1 % · Compra hasta 251,1 USD</w:t>
      </w:r>
      <w:r>
        <w:t xml:space="preserve"> </w:t>
      </w:r>
      <w:r>
        <w:t xml:space="preserve">Peso orientativo: 0 % de la cartera · Por qué: ponderada ≤ -10 %</w:t>
      </w:r>
      <w:r>
        <w:t xml:space="preserve"> </w:t>
      </w:r>
      <w:r>
        <w:t xml:space="preserve">Cabecera rehecha con la v11 el 15-oct (auditoría de homogeneidad). Antes decía (método v7): Vender (no comprar). El texto de abajo puede citar cifras de esa versión anterior; mandan las de esta cabecera.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Celestica diseña y fabrica para los hiperescaladores (Google, Meta, OpenAI, AMD…) los switches Ethernet de 400G, 800G y ya 1,6T de sus centros de datos de IA. También integra racks de cómputo de IA. Es el «fabricante a medida» de la red de la IA, con un margen bruto del ~11 % y un margen operativo del ~8 %.</w:t>
      </w:r>
    </w:p>
    <w:p>
      <w:pPr>
        <w:numPr>
          <w:ilvl w:val="0"/>
          <w:numId w:val="1001"/>
        </w:numPr>
        <w:pStyle w:val="Compact"/>
      </w:pPr>
      <w:r>
        <w:t xml:space="preserve">El crecimiento se acelera: +62 % en el 2T26, +47 % en 12 meses y una guía de 20.500 M USD en 2026 (+65 %). La empresa dice que 2027 crecerá aún más. Lleva ocho trimestres seguidos superando la guía y subiéndola.</w:t>
      </w:r>
    </w:p>
    <w:p>
      <w:pPr>
        <w:numPr>
          <w:ilvl w:val="0"/>
          <w:numId w:val="1001"/>
        </w:numPr>
        <w:pStyle w:val="Compact"/>
      </w:pPr>
      <w:r>
        <w:t xml:space="preserve">El mercado ya lo sabe. La acción vale 9 veces lo que valía en oct-2023, y el EV/EBITDA NTM es de ~16,5x, por encima de Jabil, Flex o Sanmina. Hubo además una ampliación de 3.390 M USD a 310 USD en agosto (+10 % de acciones), y el consejero delegado ha vendido ~130 M USD desde junio.</w:t>
      </w:r>
    </w:p>
    <w:p>
      <w:pPr>
        <w:numPr>
          <w:ilvl w:val="0"/>
          <w:numId w:val="1001"/>
        </w:numPr>
        <w:pStyle w:val="Compact"/>
      </w:pPr>
      <w:r>
        <w:t xml:space="preserve">La regla mecánica proyecta ~30.900 M de ventas a jun-2028 y les aplica un múltiplo un 30 % menor por la desaceleración. Sale una ponderada del −26 %. Con ventas en línea con la guía y sin contar dos veces la dilución, el base queda en torno al 0 %:</w:t>
      </w:r>
      <w:r>
        <w:t xml:space="preserve"> </w:t>
      </w:r>
      <w:r>
        <w:rPr>
          <w:bCs/>
          <w:b/>
        </w:rPr>
        <w:t xml:space="preserve">el precio ya descuenta el crecimiento prometido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Conclusión: un negocio excelente en su ciclo y bien gestionado, pero cíclico, con poco margen y muy concentrado en clientes. A este precio no deja margen de seguridad. No comprar. Se revisa tras los resultados del 26-oct y el Día del Inversor del 27-oct, o por debajo de ~250 USD.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Celestica (Toronto; cotiza en la NYSE y la TSX y desde 2025 presenta 10-K/10-Q como emisor doméstico de EE. UU.) tiene dos segmentos [1][3]: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CCS (Connectivity &amp; Cloud Solutions), ~81 % de las ventas</w:t>
      </w:r>
      <w:r>
        <w:t xml:space="preserve">: comunicaciones y</w:t>
      </w:r>
      <w:r>
        <w:t xml:space="preserve"> </w:t>
      </w:r>
      <w:r>
        <w:rPr>
          <w:iCs/>
          <w:i/>
        </w:rPr>
        <w:t xml:space="preserve">enterprise</w:t>
      </w:r>
      <w:r>
        <w:t xml:space="preserve"> </w:t>
      </w:r>
      <w:r>
        <w:t xml:space="preserve">(servidores y almacenamiento) para hiperescaladores. Dentro está</w:t>
      </w:r>
      <w:r>
        <w:t xml:space="preserve"> </w:t>
      </w:r>
      <w:r>
        <w:rPr>
          <w:bCs/>
          <w:b/>
        </w:rPr>
        <w:t xml:space="preserve">HPS (Hardware Platform Solutions)</w:t>
      </w:r>
      <w:r>
        <w:t xml:space="preserve">, el negocio de diseño propio (ODM): switches Ethernet de caja blanca diseñados por Celestica, con software abierto. En los 12 meses a junio, HPS vendió 6.400 M (+66 %) y en el 2T26, ~1.900 M (+58 %). CCS creció un 84 % en el 2T26, con un margen del segmento del 8,7 %.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ATS (Advanced Technology Solutions), ~19 %</w:t>
      </w:r>
      <w:r>
        <w:t xml:space="preserve">: aeroespacial y defensa, industrial, salud y equipos de semiconductores. Es la fabricación por encargo (EMS) clásica. Creció un 8 % en el 2T26, con un margen del 6,3 %.</w:t>
      </w:r>
    </w:p>
    <w:p>
      <w:pPr>
        <w:pStyle w:val="FirstParagraph"/>
      </w:pPr>
      <w:r>
        <w:rPr>
          <w:bCs/>
          <w:b/>
        </w:rPr>
        <w:t xml:space="preserve">Lo nuevo</w:t>
      </w:r>
      <w:r>
        <w:t xml:space="preserve">: 1) los switches de 1,6T, que empiezan a fabricarse este año. Hay un acuerdo con AMD para el switch</w:t>
      </w:r>
      <w:r>
        <w:t xml:space="preserve"> </w:t>
      </w:r>
      <w:r>
        <w:rPr>
          <w:iCs/>
          <w:i/>
        </w:rPr>
        <w:t xml:space="preserve">scale-up</w:t>
      </w:r>
      <w:r>
        <w:t xml:space="preserve"> </w:t>
      </w:r>
      <w:r>
        <w:t xml:space="preserve">de 1,6T de su plataforma de racks Helios y un programa de 1,6T con óptica coempaquetada (CPO) para un hiperescalador [3]. 2) la integración de racks completos de IA: Google (TPU), OpenAI y AMD son clientes nombrados [9].</w:t>
      </w:r>
    </w:p>
    <w:p>
      <w:pPr>
        <w:pStyle w:val="BodyText"/>
      </w:pPr>
      <w:r>
        <w:rPr>
          <w:bCs/>
          <w:b/>
        </w:rPr>
        <w:t xml:space="preserve">Tecnología: 3/5.</w:t>
      </w:r>
      <w:r>
        <w:t xml:space="preserve"> </w:t>
      </w:r>
      <w:r>
        <w:t xml:space="preserve">El diseño de switches de alta velocidad y la integración a escala son difíciles, pero hay alternativas reales: Accton, Arista o Nvidia (Spectrum-X) en switches, y Foxconn, Quanta, Wiwynn, Jabil o Flex en racks. No hay patentes ni efectos de red que blinden el negocio.</w:t>
      </w:r>
      <w:r>
        <w:t xml:space="preserve"> </w:t>
      </w:r>
      <w:r>
        <w:rPr>
          <w:bCs/>
          <w:b/>
        </w:rPr>
        <w:t xml:space="preserve">Posición: 4/5.</w:t>
      </w:r>
      <w:r>
        <w:t xml:space="preserve"> </w:t>
      </w:r>
      <w:r>
        <w:t xml:space="preserve">Es el líder en switches de caja blanca para hiperescaladores en Norteamérica, con cuota creciente, pero no es el mayor del sector de fabricación.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(GAAP)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2.893,4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3.194,0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3.654,9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+43,6 %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4.047,0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+52,8 %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4.698,6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+62,4 %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3T26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5.250-5.550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+64-74 %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Fuentes: [1][2]. El margen bruto GAAP incluye las ganancias del</w:t>
      </w:r>
      <w:r>
        <w:t xml:space="preserve"> </w:t>
      </w:r>
      <w:r>
        <w:rPr>
          <w:iCs/>
          <w:i/>
        </w:rPr>
        <w:t xml:space="preserve">swap</w:t>
      </w:r>
      <w:r>
        <w:t xml:space="preserve"> </w:t>
      </w:r>
      <w:r>
        <w:t xml:space="preserve">sobre acciones propias (TRS). El ajustado es del 11,5 % en el 2T26 y del 11,4 % en el 1S26.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12.390,9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(guía de la empresa)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 (empresa: «más del 65 %»; consenso)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≥33.800; consenso ~35.450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+65 %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Ventas de los últimos 12 meses</w:t>
      </w:r>
      <w:r>
        <w:t xml:space="preserve"> </w:t>
      </w:r>
      <w:r>
        <w:t xml:space="preserve">(3T25-2T26): 15.594,5 M USD,</w:t>
      </w:r>
      <w:r>
        <w:t xml:space="preserve"> </w:t>
      </w:r>
      <w:r>
        <w:rPr>
          <w:bCs/>
          <w:b/>
        </w:rPr>
        <w:t xml:space="preserve">+47,3 %</w:t>
      </w:r>
      <w:r>
        <w:t xml:space="preserve"> </w:t>
      </w:r>
      <w:r>
        <w:t xml:space="preserve">sobre los 10.587,2 M de un año antes.</w:t>
      </w:r>
      <w:r>
        <w:t xml:space="preserve"> </w:t>
      </w:r>
      <w:r>
        <w:rPr>
          <w:bCs/>
          <w:b/>
        </w:rPr>
        <w:t xml:space="preserve">CAGR propio a 2 años</w:t>
      </w:r>
      <w:r>
        <w:t xml:space="preserve">:</w:t>
      </w:r>
      <w:r>
        <w:t xml:space="preserve"> </w:t>
      </w:r>
      <w:r>
        <w:rPr>
          <w:bCs/>
          <w:b/>
        </w:rPr>
        <w:t xml:space="preserve">33,2 %</w:t>
      </w:r>
      <w:r>
        <w:t xml:space="preserve"> </w:t>
      </w:r>
      <w:r>
        <w:t xml:space="preserve">(8.784,6 M en los 12 meses a jun-2024).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Aceleración</w:t>
      </w:r>
      <w:r>
        <w:t xml:space="preserve">: el 2T26 creció un 62,4 %, frente a una media del 36,3 % en los cuatro trimestres anteriores:</w:t>
      </w:r>
      <w:r>
        <w:t xml:space="preserve"> </w:t>
      </w:r>
      <w:r>
        <w:rPr>
          <w:bCs/>
          <w:b/>
        </w:rPr>
        <w:t xml:space="preserve">+26,1 pp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Retención</w:t>
      </w:r>
      <w:r>
        <w:t xml:space="preserve">: no aplica (fabricación por programas, no suscripción).</w:t>
      </w:r>
      <w:r>
        <w:t xml:space="preserve"> </w:t>
      </w:r>
      <w:r>
        <w:rPr>
          <w:rStyle w:val="VerbatimChar"/>
        </w:rPr>
        <w:t xml:space="preserve">nrr_pct</w:t>
      </w:r>
      <w:r>
        <w:t xml:space="preserve"> </w:t>
      </w:r>
      <w:r>
        <w:t xml:space="preserve">= null.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</w:t>
      </w:r>
      <w:r>
        <w:t xml:space="preserve"> </w:t>
      </w:r>
      <w:r>
        <w:t xml:space="preserve">(27-jul): 3T26 de 5.250-5.550 M y BPA ajustado de 2,88-3,08 USD; 2026 de 20.500 M (antes 19.000), BPA de 11,30 (antes 10,15), margen operativo ajustado del 8,4 % y FCF de 600 M. En 2027, crecimiento superior al 65 % y un BPA que crecerá más que las ventas [1].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</w:t>
      </w:r>
      <w:r>
        <w:t xml:space="preserve">:</w:t>
      </w:r>
      <w:r>
        <w:t xml:space="preserve"> </w:t>
      </w:r>
      <w:r>
        <w:rPr>
          <w:bCs/>
          <w:b/>
        </w:rPr>
        <w:t xml:space="preserve">~250.000 M USD en 2028</w:t>
      </w:r>
      <w:r>
        <w:t xml:space="preserve">, estimación propia [14]. Suma switches Ethernet de centros de datos (Dell’Oro/650 Group: ~163.000 M USD de switches de alta velocidad en 2030, citado en el folleto [3]), la integración de racks y servidores de IA que los hiperescaladores subcontratan, y el mercado de ATS. El dato es incierto: el gasto en TI de centros de datos (~3,1 billones USD en 2030 según el folleto) es mucho mayor, pero Celestica solo captura la parte de fabricación.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Penetración</w:t>
      </w:r>
      <w:r>
        <w:t xml:space="preserve">: 15.594,5 / 250.000 =</w:t>
      </w:r>
      <w:r>
        <w:t xml:space="preserve"> </w:t>
      </w:r>
      <w:r>
        <w:rPr>
          <w:bCs/>
          <w:b/>
        </w:rPr>
        <w:t xml:space="preserve">6,2 %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</w:t>
      </w:r>
      <w:r>
        <w:t xml:space="preserve">: en switches, Accton, Arista, Nvidia y Cisco (marca propia); en racks y servidores, Foxconn (FII), Quanta, Wiwynn, Jabil, Flex y Sanmina (que compró ZT Systems a AMD).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</w:t>
      </w:r>
      <w:r>
        <w:t xml:space="preserve">: ingeniería propia de switches (HPS), relación de años con los hiperescaladores, entrega a tiempo y a escala, y un ROIC ajustado del 55 % [1]. El riesgo es que es un negocio de programas: cada generación se vuelve a licitar.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27-jul: segunda subida de la guía de 2026 (ventas de 19.000 a 20.500 M; BPA de 10,15 a 11,30) y anuncio de aceleración en 2027. El consenso de ventas de 2027 (~35.450 M) supera la guía. Recomendaciones: Hold de 1 a 0 desde mayo. En contra: Barclays recorta el objetivo de 430 a 406 por la dilución.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357,44 USD frente a una media de ~333 USD que sube (~329 hace un mes). Cálculo propio.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−2,2 % desde el 13-abr frente a ~+10 % del S&amp;P 500; −24 % desde el máximo de 472,40 USD (2-jun).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 NTM de ~16,5x frente a un mínimo de ~14,4x a finales de agosto: +15 %, por debajo del +20 %. Hace un año estaba en ~20x.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[4][16]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era rentable. El margen operativo ajustado sube 0,8 pp (7,4 % → 8,2 %); la señal pide primer beneficio o +5 pp.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Mixto: dilución y «momentum fatigue» en la prensa, compras de los analistas y minoristas alcistas pero nerviosos. Sin giro claro.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[8]-[11]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compra. Ventas del consejero delegado (~346.000 acciones, ~130 M USD, jun-sep), del CFO saliente y de otro directivo.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el 26-oct y Día del Inversor el 27-oct (objetivos a largo plazo); programas de 1,6T con AMD y CPO.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[1][3][12]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Subida en 12 meses del +36,9 % (de 261,06 a 357,44 USD) y EV/beneficio bruto de 13,8x, lejos del veto (≥ 150 % con &gt; 20x). La euforia estuvo antes: +146 % en los 12 meses hasta febrero de 2026 (TIKR) [9] y máximo en junio.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bruto</w:t>
      </w:r>
      <w:r>
        <w:t xml:space="preserve">:</w:t>
      </w:r>
      <w:r>
        <w:t xml:space="preserve"> </w:t>
      </w:r>
      <w:r>
        <w:rPr>
          <w:bCs/>
          <w:b/>
        </w:rPr>
        <w:t xml:space="preserve">11,4 %</w:t>
      </w:r>
      <w:r>
        <w:t xml:space="preserve"> </w:t>
      </w:r>
      <w:r>
        <w:t xml:space="preserve">ajustado (sin pagos en acciones ni ganancias del TRS) en el 1S26; GAAP de 12,0 % en 12 meses [1][2]. Es el de un fabricante: en el método puntúa 0 de 5. Por eso el tope relevante no es el EV/beneficio bruto (13,8x, holgado) sino el múltiplo de EBITDA.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operativo</w:t>
      </w:r>
      <w:r>
        <w:t xml:space="preserve">: ajustado del 8,2 % en el 2T26 (récord), GAAP del 9,8 %. Guía del 8,4 % para 2026, y la empresa espera que suba en 2027.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FCF</w:t>
      </w:r>
      <w:r>
        <w:t xml:space="preserve">: ~530 M USD en 12 meses (</w:t>
      </w:r>
      <w:r>
        <w:rPr>
          <w:bCs/>
          <w:b/>
        </w:rPr>
        <w:t xml:space="preserve">3,4 %</w:t>
      </w:r>
      <w:r>
        <w:t xml:space="preserve"> </w:t>
      </w:r>
      <w:r>
        <w:t xml:space="preserve">de las ventas, +37 %) [3]. Guía de 600 M para 2026, después de invertir ~625 M en 12 meses (cinco veces lo de hace un año). El capital circulante absorbe caja: las existencias suben 1.214 M en el semestre, compensadas por proveedores (+2.097 M) [1]. FCF</w:t>
      </w:r>
      <w:r>
        <w:t xml:space="preserve"> </w:t>
      </w:r>
      <w:r>
        <w:rPr>
          <w:bCs/>
          <w:b/>
        </w:rPr>
        <w:t xml:space="preserve">creciente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Regla del 40</w:t>
      </w:r>
      <w:r>
        <w:t xml:space="preserve">: 47,3 + 3,4 =</w:t>
      </w:r>
      <w:r>
        <w:t xml:space="preserve"> </w:t>
      </w:r>
      <w:r>
        <w:rPr>
          <w:bCs/>
          <w:b/>
        </w:rPr>
        <w:t xml:space="preserve">50,7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el gasto comercial y de administración ajustado baja del 3,0 % al 2,2 % de las ventas; el ROIC ajustado sube del 35,5 % al 55,5 % [1].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Caja</w:t>
      </w:r>
      <w:r>
        <w:t xml:space="preserve">: 535,7 M USD a 30-jun, más ~3.390 M netos de la ampliación de agosto:</w:t>
      </w:r>
      <w:r>
        <w:t xml:space="preserve"> </w:t>
      </w:r>
      <w:r>
        <w:rPr>
          <w:bCs/>
          <w:b/>
        </w:rPr>
        <w:t xml:space="preserve">~3.926 M pro forma</w:t>
      </w:r>
      <w:r>
        <w:t xml:space="preserve">. Sin contar el FCF del 3T [1][3].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Deuda</w:t>
      </w:r>
      <w:r>
        <w:t xml:space="preserve">: préstamos de la línea de crédito y arrendamientos financieros por</w:t>
      </w:r>
      <w:r>
        <w:t xml:space="preserve"> </w:t>
      </w:r>
      <w:r>
        <w:rPr>
          <w:bCs/>
          <w:b/>
        </w:rPr>
        <w:t xml:space="preserve">810,4 M</w:t>
      </w:r>
      <w:r>
        <w:t xml:space="preserve"> </w:t>
      </w:r>
      <w:r>
        <w:t xml:space="preserve">(26,4 a corto y 784,0 a largo plazo). Caja neta pro forma de ~3.100 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Pista</w:t>
      </w:r>
      <w:r>
        <w:t xml:space="preserve">: el FCF es positivo; no hay quema.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Dilución</w:t>
      </w:r>
      <w:r>
        <w:t xml:space="preserve">:</w:t>
      </w:r>
      <w:r>
        <w:t xml:space="preserve"> </w:t>
      </w:r>
      <w:r>
        <w:rPr>
          <w:bCs/>
          <w:b/>
        </w:rPr>
        <w:t xml:space="preserve">+10,1 % en 12 meses</w:t>
      </w:r>
      <w:r>
        <w:t xml:space="preserve">. La ampliación de agosto colocó 11,13 M acciones a 310 USD, un 14,5 % por debajo del cierre anterior (362,76 USD). Hay 126,1 M acciones más ~1,5 M en derechos de acciones (RSU/PSU): ~127,7 M diluidas, frente a ~115,9 M un año antes [3]. Hasta 2025, la empresa recompraba acciones. Es la primera ampliación grande en años, para financiar capacidad y capital circulante.</w:t>
      </w:r>
      <w:r>
        <w:t xml:space="preserve"> </w:t>
      </w:r>
      <w:r>
        <w:rPr>
          <w:bCs/>
          <w:b/>
        </w:rPr>
        <w:t xml:space="preserve">En rojo</w:t>
      </w:r>
      <w:r>
        <w:t xml:space="preserve"> </w:t>
      </w:r>
      <w:r>
        <w:t xml:space="preserve">según el método (bloque E: 0 de 5 en dilución).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Pagos en acciones</w:t>
      </w:r>
      <w:r>
        <w:t xml:space="preserve">: ~80 M USD en 12 meses,</w:t>
      </w:r>
      <w:r>
        <w:t xml:space="preserve"> </w:t>
      </w:r>
      <w:r>
        <w:rPr>
          <w:bCs/>
          <w:b/>
        </w:rPr>
        <w:t xml:space="preserve">0,5 % de las ventas</w:t>
      </w:r>
      <w:r>
        <w:t xml:space="preserve"> </w:t>
      </w:r>
      <w:r>
        <w:t xml:space="preserve">[2]. Irrelevantes.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Historial (5/5)</w:t>
      </w:r>
      <w:r>
        <w:t xml:space="preserve">: supera la parte alta de la guía de ventas y de BPA trimestre tras trimestre (2T26: 4.700 M frente a 4.150-4.450; BPA 2,54 frente a 2,14-2,34). Ha subido la guía anual dos veces en 2026 (17.000 → 19.000 → 20.500 M) [1][6].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Dirección (3/5)</w:t>
      </w:r>
      <w:r>
        <w:t xml:space="preserve">: Rob Mionis es consejero delegado desde 2015 (de memoria) y preside el consejo. Llevó a la empresa de un fabricante genérico al líder en switches para hiperescaladores. La asignación de capital ha sido buena: recompras a precios bajos y un ROIC del 55 %. Le restan tres cosas: 1) vendió ~346.000 acciones (~130 M USD) entre junio y septiembre, incluidas ~150.000 el 4 y 5-ago, justo antes de que la empresa colocara acciones a 310 USD (plan 10b5-1) [7]; 2) la ampliación con un descuento del 14,5 %; 3) cambios en la cúpula: nuevo CFO desde el 1-oct (Todd Ankenmann; Chawla pasa a presidente de mercados globales) y nuevo presidente de CCS en julio [12]. La participación de los directivos es pequeña (~0,75 %).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Ejercicio objetivo</w:t>
      </w:r>
      <w:r>
        <w:t xml:space="preserve">: los 12 meses a jun-2028, dos años después de los 12 meses a jun-2026, como en el backtest.</w:t>
      </w:r>
      <w:r>
        <w:t xml:space="preserve"> </w:t>
      </w:r>
      <w:r>
        <w:rPr>
          <w:bCs/>
          <w:b/>
        </w:rPr>
        <w:t xml:space="preserve">Métrica</w:t>
      </w:r>
      <w:r>
        <w:t xml:space="preserve">: EV/EBITDA NTM, porque Celestica es rentable de forma estable. Con la proyección mecánica, el código saca el margen EBITDA implícito de los dos múltiplos (9,6 %).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 de hoy</w:t>
      </w:r>
      <w:r>
        <w:t xml:space="preserve">: 357,44 × 127,7 + 810 − 3.926 =</w:t>
      </w:r>
      <w:r>
        <w:t xml:space="preserve"> </w:t>
      </w:r>
      <w:r>
        <w:rPr>
          <w:bCs/>
          <w:b/>
        </w:rPr>
        <w:t xml:space="preserve">42.533 M USD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Ventas NTM</w:t>
      </w:r>
      <w:r>
        <w:t xml:space="preserve"> </w:t>
      </w:r>
      <w:r>
        <w:t xml:space="preserve">(3T26-2T27):</w:t>
      </w:r>
      <w:r>
        <w:t xml:space="preserve"> </w:t>
      </w:r>
      <w:r>
        <w:rPr>
          <w:bCs/>
          <w:b/>
        </w:rPr>
        <w:t xml:space="preserve">~27.050 M</w:t>
      </w:r>
      <w:r>
        <w:t xml:space="preserve"> </w:t>
      </w:r>
      <w:r>
        <w:t xml:space="preserve">(+73 %). Suman la guía del 3T (5.400), el 4T implícito en la guía anual (6.350) y un 1S27 de ~15.300, coherente con el «más del 65 %» de 2027 [15].</w:t>
      </w:r>
      <w:r>
        <w:t xml:space="preserve"> </w:t>
      </w:r>
      <w:r>
        <w:rPr>
          <w:bCs/>
          <w:b/>
        </w:rPr>
        <w:t xml:space="preserve">EV/ventas NTM 1,6x</w:t>
      </w:r>
      <w:r>
        <w:t xml:space="preserve">;</w:t>
      </w:r>
      <w:r>
        <w:t xml:space="preserve"> </w:t>
      </w:r>
      <w:r>
        <w:rPr>
          <w:bCs/>
          <w:b/>
        </w:rPr>
        <w:t xml:space="preserve">EV/EBITDA NTM ~16,5x</w:t>
      </w:r>
      <w:r>
        <w:t xml:space="preserve"> </w:t>
      </w:r>
      <w:r>
        <w:t xml:space="preserve">(EBITDA ~2.580 M);</w:t>
      </w:r>
      <w:r>
        <w:t xml:space="preserve"> </w:t>
      </w:r>
      <w:r>
        <w:rPr>
          <w:bCs/>
          <w:b/>
        </w:rPr>
        <w:t xml:space="preserve">EV/beneficio bruto NTM 13,8x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Mediana de 3 años: ~12x NTM</w:t>
      </w:r>
      <w:r>
        <w:t xml:space="preserve">;</w:t>
      </w:r>
      <w:r>
        <w:t xml:space="preserve"> </w:t>
      </w:r>
      <w:r>
        <w:rPr>
          <w:bCs/>
          <w:b/>
        </w:rPr>
        <w:t xml:space="preserve">mínimo ~5,5x</w:t>
      </w:r>
      <w:r>
        <w:t xml:space="preserve"> </w:t>
      </w:r>
      <w:r>
        <w:t xml:space="preserve">(oct-2023). Son estimaciones de memoria [16]: la acción pasó de ~6x a ~20-22x en 2025-2026.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Comparables: ~14x NTM</w:t>
      </w:r>
      <w:r>
        <w:t xml:space="preserve"> </w:t>
      </w:r>
      <w:r>
        <w:t xml:space="preserve">(estimado a partir de los múltiplos de 12 meses pasados [13]): Jabil ~12x, Flex ~16x, Sanmina ~11x, Fabrinet ~20x. Celestica crece mucho más que todos ellos.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Desaceleración</w:t>
      </w:r>
      <w:r>
        <w:t xml:space="preserve">: crecimiento NTM del 73 % frente al 37,5 % del año objetivo en la regla → factor de 0,72 (casi el tope del −30 %).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a jun-2028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Supuesto (regla mecánica)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 EV/EBITDA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mitad del crecimiento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−63,3 %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+44,1 % y +37,5 % (media del pasado y el CAGR propio, con decaimiento)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−24,4 %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×1,2 el crecimiento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263,6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−26,2 %</w:t>
            </w:r>
          </w:p>
        </w:tc>
      </w:tr>
    </w:tbl>
    <w:p>
      <w:pPr>
        <w:pStyle w:val="BodyText"/>
      </w:pPr>
      <w:r>
        <w:t xml:space="preserve">Sin dividendo (Celestica no reparte). Acciones dentro de 12 meses: 140,6 M (la regla repite el +10,1 % de dilución).</w:t>
      </w:r>
      <w:r>
        <w:t xml:space="preserve"> </w:t>
      </w:r>
      <w:r>
        <w:rPr>
          <w:bCs/>
          <w:b/>
        </w:rPr>
        <w:t xml:space="preserve">Asimetría</w:t>
      </w:r>
      <w:r>
        <w:t xml:space="preserve">: 0,1.</w:t>
      </w:r>
      <w:r>
        <w:t xml:space="preserve"> </w:t>
      </w:r>
      <w:r>
        <w:rPr>
          <w:bCs/>
          <w:b/>
        </w:rPr>
        <w:t xml:space="preserve">Precio máximo de compra: 251,1 USD</w:t>
      </w:r>
      <w:r>
        <w:t xml:space="preserve"> </w:t>
      </w:r>
      <w:r>
        <w:t xml:space="preserve">(−30 %). Lo fija la condición de base ≥ 0 % y ponderada ≥ 5 %; el tope de 35x el beneficio bruto quedaría muy por encima.</w:t>
      </w:r>
    </w:p>
    <w:p>
      <w:pPr>
        <w:pStyle w:val="BodyText"/>
      </w:pPr>
      <w:r>
        <w:rPr>
          <w:bCs/>
          <w:b/>
        </w:rPr>
        <w:t xml:space="preserve">Contraste y sensibilidad</w:t>
      </w:r>
      <w:r>
        <w:t xml:space="preserve"> </w:t>
      </w:r>
      <w:r>
        <w:t xml:space="preserve">(cuentas nuestras con el mismo código, sin cambiarlo):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 del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Vigente (la que manda)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−26,2 %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−24,4 %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Dilución futura del 0,5 % (la ampliación ya está en caja)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−19,2 %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−17,2 %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 de 38.000 M a jun-2028 (coherentes con la guía de 2027), múltiplo 11,8x, dilución 0,5 % (cálculo a mano)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Igual, pero sin rebaja del múltiplo (16,5x)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~+37 %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~+37 %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 de la regla, sin rebaja del múltiplo, dilución 0,5 %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~+13 %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~+13 %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Lectura</w:t>
      </w:r>
      <w:r>
        <w:t xml:space="preserve">: la conclusión depende sobre todo del múltiplo. Si el EV/EBITDA se mantiene en ~16,5x dentro de un año y las ventas cumplen la guía, la acción puede subir un 30-40 %. Si el múltiplo vuelve a su mediana de 3 años (~12x), como pasa al bajar la tasa de crecimiento de un fabricante, el precio de hoy ya descuenta todo lo prometido para 2027.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Consenso</w:t>
      </w:r>
      <w:r>
        <w:t xml:space="preserve">: precio objetivo medio de ~474 USD (+33 %, 22 analistas, de 375 a 550) [6]. Ventas de 2027 de ~35.450 M y BPA de ~19,7 USD: a 357 USD, un PER 2027 de ~18x.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DCF inverso</w:t>
      </w:r>
      <w:r>
        <w:t xml:space="preserve">: WACC del 10 %, margen FCF que sube del 3,4 % al 5 % y crecimiento terminal del 3 %. El precio descuenta un</w:t>
      </w:r>
      <w:r>
        <w:t xml:space="preserve"> </w:t>
      </w:r>
      <w:r>
        <w:rPr>
          <w:bCs/>
          <w:b/>
        </w:rPr>
        <w:t xml:space="preserve">~21 % anual durante 10 años</w:t>
      </w:r>
      <w:r>
        <w:t xml:space="preserve">, es decir, ~105.000 M USD de ventas en 2036. Es exigente para un fabricante cíclico, aunque 2026-2027 vayan muy por encima.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Prensa y analistas</w:t>
      </w:r>
      <w:r>
        <w:t xml:space="preserve">: casi todos en Comprar (22 de 22). En octubre mantienen sus objetivos CIBC (500) y Bernstein (520). El tono de la prensa cambió en agosto con la ampliación: «Celestica drops 13 % as a $3 billion stock sale dilutes the AI darling» (Kalkine); Invezz (25-ago) recomienda vender hasta que se absorba la dilución [6][9].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Seeking Alpha</w:t>
      </w:r>
      <w:r>
        <w:t xml:space="preserve">: en 2026 alterna Buy y Hold. Los títulos recientes son «Celestica Suffers From Outsized Growth Prospects And Momentum Fatigue» y, en sentido contrario, «The AI Infrastructure Titan Ready To Explode» [8].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StockTwits ($CLS, 13 y 14-oct)</w:t>
      </w:r>
      <w:r>
        <w:t xml:space="preserve">: alcista pero nervioso. «9 more trading days until earnings! They will BEAT and RAISE», «frustrating to hold», «right now, I am a bag holder, averaging down». Hoy se comenta una caída generalizada de la infraestructura de IA (CLS −6,9 % a media sesión; Flex, Fabrinet y Jabil −6/−8 %) y el temor a moratorias de centros de datos [10].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Reddit (r/stocks, r/investing) y foros en castellano (Rankia, Investing ES)</w:t>
      </w:r>
      <w:r>
        <w:t xml:space="preserve">: las búsquedas no devolvieron hilos recientes indexados.</w:t>
      </w:r>
      <w:r>
        <w:t xml:space="preserve"> </w:t>
      </w:r>
      <w:r>
        <w:rPr>
          <w:bCs/>
          <w:b/>
        </w:rPr>
        <w:t xml:space="preserve">Laguna</w:t>
      </w:r>
      <w:r>
        <w:t xml:space="preserve">: no podemos decir qué se dice ahí [11].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negocio va mejor que nunca (ventas +62 %, guía subida dos veces), pero la acción lleva cuatro meses lateral o a la baja. Pesan la dilución, las ventas del consejero delegado y el miedo a un pico del gasto en IA. No es euforia ni miedo extremo: es una acción muy seguida y con el consenso ya muy alcista, así que una sorpresa positiva tiene menos efecto.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Ciclo del gasto en IA de los hiperescaladores</w:t>
      </w:r>
      <w:r>
        <w:t xml:space="preserve">: es el riesgo principal. Más del 60 % de las ventas viene de tres clientes [9]. Si recortan inversiones o cambian de proveedor en una generación (800G → 1,6T), las ventas caen rápido y el múltiplo con ellas. Las moratorias de centros de datos (Nueva York, jul-2026) y la falta de energía son síntomas de ese riesgo.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Margen fino</w:t>
      </w:r>
      <w:r>
        <w:t xml:space="preserve">: con un margen bruto del 11 %, cualquier presión de precios de los hiperescaladores o un problema de ejecución en los programas de 1,6T se come el beneficio.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Dilución y gobierno</w:t>
      </w:r>
      <w:r>
        <w:t xml:space="preserve">: la ampliación del 10 % y las ventas del consejero delegado justo antes de colocarla. No se puede descartar otra ampliación si la inversión en capacidad sigue creciendo.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Componentes y aranceles</w:t>
      </w:r>
      <w:r>
        <w:t xml:space="preserve">: en 2026 la escasez de memoria frenó entregas, y los aranceles de EE. UU. (fabricación en México, Tailandia y Malasia) son un riesgo si no se trasladan al cliente.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Competencia</w:t>
      </w:r>
      <w:r>
        <w:t xml:space="preserve">: Accton, Foxconn y Quanta en switches y racks; Nvidia vende su propia red completa.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Reversión del sentimiento</w:t>
      </w:r>
      <w:r>
        <w:t xml:space="preserve">: ya cayó un 37 % entre junio y agosto con el negocio intacto. En el bajista de la regla (7x EBITDA) quedaría otro −63 %.</w:t>
      </w:r>
    </w:p>
    <w:p>
      <w:pPr>
        <w:pStyle w:val="FirstParagraph"/>
      </w:pPr>
      <w:r>
        <w:rPr>
          <w:bCs/>
          <w:b/>
        </w:rPr>
        <w:t xml:space="preserve">Señales de venta concretas</w:t>
      </w:r>
      <w:r>
        <w:t xml:space="preserve"> </w:t>
      </w:r>
      <w:r>
        <w:t xml:space="preserve">(para quien la tenga):</w:t>
      </w:r>
      <w:r>
        <w:t xml:space="preserve"> </w:t>
      </w:r>
      <w:r>
        <w:t xml:space="preserve">- Ventas del 3T por debajo de 5.250 M o guía del 4T que no confirme ~20.500 M en 2026.</w:t>
      </w:r>
      <w:r>
        <w:t xml:space="preserve"> </w:t>
      </w:r>
      <w:r>
        <w:t xml:space="preserve">- La empresa retira o rebaja el «más del 65 %» de 2027 en el Día del Inversor.</w:t>
      </w:r>
      <w:r>
        <w:t xml:space="preserve"> </w:t>
      </w:r>
      <w:r>
        <w:t xml:space="preserve">- Pérdida de un programa de 1,6T o de uno de los tres grandes clientes.</w:t>
      </w:r>
      <w:r>
        <w:t xml:space="preserve"> </w:t>
      </w:r>
      <w:r>
        <w:t xml:space="preserve">- Margen operativo ajustado por debajo del 7,5 % dos trimestres seguidos.</w:t>
      </w:r>
    </w:p>
    <w:p>
      <w:pPr>
        <w:pStyle w:val="BodyText"/>
      </w:pPr>
      <w:r>
        <w:t xml:space="preserve">Hoy no hay tesis rota: la señal sale de la valoración.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26-oct-2026 (tras el cierre)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3T26 (guía de 5.250-5.550 M, BPA 2,88-3,08)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Superar la guía es lo esperado; el foco está en el 4T y en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27-oct-2026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del Inversor (Nueva York): objetivos a largo plazo y margen de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 fijar la cifra de 2027 que la regla no 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Finales de oct y principios de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e inversiones previstas de Alphabet, Meta, Microsoft y Amazon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Visibilidad del gasto en IA de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2S26-2027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Fabricación a escala de los switches de 1,6T (AMD Helios, CPO)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Mezcla y margen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4T26 y guía formal de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Confirmación de la aceleración</w:t>
            </w:r>
          </w:p>
        </w:tc>
      </w:tr>
    </w:tbl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Señal: no entra.</w:t>
      </w:r>
      <w:r>
        <w:t xml:space="preserve"> </w:t>
      </w:r>
      <w:r>
        <w:t xml:space="preserve">Con la regla v7 sale Vender (no comprar): ponderada −26,2 %. Incluso con las correcciones que proponemos, el base ronda el 0 % y no llega al +5 % que pide la compra.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Frente a la cartera value vigente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informes/cartera-2026-10-14-15h.md</w:t>
      </w:r>
      <w:r>
        <w:t xml:space="preserve">): no hay ninguna fabricante de electrónica. La exposición a la inversión en IA ya entra por</w:t>
      </w:r>
      <w:r>
        <w:t xml:space="preserve"> </w:t>
      </w:r>
      <w:r>
        <w:rPr>
          <w:bCs/>
          <w:b/>
        </w:rPr>
        <w:t xml:space="preserve">Alphabet</w:t>
      </w:r>
      <w:r>
        <w:t xml:space="preserve"> </w:t>
      </w:r>
      <w:r>
        <w:t xml:space="preserve">(que además es cliente de Celestica) y, en menor medida, por SAP e Intuit. Celestica no pasaría los requisitos value: el ROIC − WACC sí, pero la rentabilidad a 12 meses no.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Frente a las compras growth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informes-growth/cartera-growth.md</w:t>
      </w:r>
      <w:r>
        <w:t xml:space="preserve">: Nu, argenx, Axon y Shopify; bolsillo ≈16 % con Shopify, tope del 20 %): las cuatro son software, plataformas o biotecnología con márgenes brutos altos. Celestica aportaría diversificación hacia el hardware de IA, pero con un riesgo de ciclo que ninguna de las cuatro tiene.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Liquidez</w:t>
      </w:r>
      <w:r>
        <w:t xml:space="preserve">: después de Shopify apenas queda liquidez. La posición mínima es del 3,5 % (unas 3-4 acciones a ~321 EUR).</w:t>
      </w:r>
      <w:r>
        <w:t xml:space="preserve"> </w:t>
      </w:r>
      <w:r>
        <w:rPr>
          <w:bCs/>
          <w:b/>
        </w:rPr>
        <w:t xml:space="preserve">No cabe sin vender algo</w:t>
      </w:r>
      <w:r>
        <w:t xml:space="preserve">, y no hay motivo para rotar.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 cambiara</w:t>
      </w:r>
      <w:r>
        <w:t xml:space="preserve">: pasaría a interesar por debajo de</w:t>
      </w:r>
      <w:r>
        <w:t xml:space="preserve"> </w:t>
      </w:r>
      <w:r>
        <w:rPr>
          <w:bCs/>
          <w:b/>
        </w:rPr>
        <w:t xml:space="preserve">~251 USD</w:t>
      </w:r>
      <w:r>
        <w:t xml:space="preserve">, o si en el Día del Inversor se fijan ventas de 2027-2028 que, con la regla mejorada, den base ≥ 0 % y ponderada ≥ 5 %. En ese caso, y solo con la liquidez que quede tras las órdenes value del 7-nov: 3,5 % (convicción baja), en dos tramos.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+47,3 % (5), CAGR 2 años 33,2 % (4), aceleración +26,1 pp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6,2 % (3), tecnología (3), posición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de 8 señales (revisiones, media de 200, catalizador)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11,4 % (0), regla del 40 de 50,7 (4),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(5), dilución del 10,1 % 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(5), dirección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Mejoras del método que propone este informe</w:t>
      </w:r>
      <w:r>
        <w:t xml:space="preserve"> </w:t>
      </w:r>
      <w:r>
        <w:t xml:space="preserve">(sin tocar el código; pendientes del backtest):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Guía de la empresa como suelo de la proyección mecánica</w:t>
      </w:r>
      <w:r>
        <w:t xml:space="preserve"> </w:t>
      </w:r>
      <w:r>
        <w:t xml:space="preserve">cuando la empresa da una cifra anual firme y la cumple siempre (historial 5/5). Aquí la regla da 30.865 M para los 12 meses a jun-2028, por debajo de la guía de la propia empresa para el año natural 2027 (≥ 33.800 M). Es lo mismo que pedía BE Semiconductor con la cartera de pedidos:</w:t>
      </w:r>
      <w:r>
        <w:t xml:space="preserve"> </w:t>
      </w:r>
      <w:r>
        <w:rPr>
          <w:rStyle w:val="VerbatimChar"/>
        </w:rPr>
        <w:t xml:space="preserve">ventas_guia_m</w:t>
      </w:r>
      <w:r>
        <w:t xml:space="preserve"> </w:t>
      </w:r>
      <w:r>
        <w:t xml:space="preserve">como mínimo del escenario base (no del alcista) cuando</w:t>
      </w:r>
      <w:r>
        <w:t xml:space="preserve"> </w:t>
      </w:r>
      <w:r>
        <w:rPr>
          <w:rStyle w:val="VerbatimChar"/>
        </w:rPr>
        <w:t xml:space="preserve">historial_0a5</w:t>
      </w:r>
      <w:r>
        <w:t xml:space="preserve"> </w:t>
      </w:r>
      <w:r>
        <w:t xml:space="preserve">≥ 4.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Medir la desaceleración con la misma proyección</w:t>
      </w:r>
      <w:r>
        <w:t xml:space="preserve"> </w:t>
      </w:r>
      <w:r>
        <w:t xml:space="preserve">(ya propuesto con BESI). Hoy se compara un crecimiento NTM del 73 % (guía) con el 37,5 % de la regla y el múltiplo cae casi el máximo. Además,</w:t>
      </w:r>
      <w:r>
        <w:t xml:space="preserve"> </w:t>
      </w:r>
      <w:r>
        <w:rPr>
          <w:rStyle w:val="VerbatimChar"/>
        </w:rPr>
        <w:t xml:space="preserve">crecimiento_actual_pct</w:t>
      </w:r>
      <w:r>
        <w:t xml:space="preserve"> </w:t>
      </w:r>
      <w:r>
        <w:t xml:space="preserve">mueve también el margen EBITDA implícito, así que un mismo dato cambia dos cosas a la vez. Con el crecimiento de la regla en las dos puntas, la ponderada pasa de −26 % a +10 %: demasiado sensible a un solo campo.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Cs/>
          <w:b/>
        </w:rPr>
        <w:t xml:space="preserve">dilucion_esperada_pct</w:t>
      </w:r>
      <w:r>
        <w:rPr>
          <w:bCs/>
          <w:b/>
        </w:rPr>
        <w:t xml:space="preserve"> </w:t>
      </w:r>
      <w:r>
        <w:rPr>
          <w:bCs/>
          <w:b/>
        </w:rPr>
        <w:t xml:space="preserve">aparte</w:t>
      </w:r>
      <w:r>
        <w:t xml:space="preserve"> </w:t>
      </w:r>
      <w:r>
        <w:t xml:space="preserve">(ya propuesto con Rocket Lab). La ampliación de agosto ya está en caja y en las acciones; la regla la repite y cuesta ~7 pp de ponderada.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Con EV/EBITDA y ventas del analista, el código aplica el múltiplo de EBITDA a las ventas</w:t>
      </w:r>
      <w:r>
        <w:t xml:space="preserve"> </w:t>
      </w:r>
      <w:r>
        <w:t xml:space="preserve">(</w:t>
      </w:r>
      <w:r>
        <w:rPr>
          <w:rStyle w:val="VerbatimChar"/>
        </w:rPr>
        <w:t xml:space="preserve">margenImpl</w:t>
      </w:r>
      <w:r>
        <w:t xml:space="preserve"> </w:t>
      </w:r>
      <w:r>
        <w:t xml:space="preserve">= 1 si la proyección no es mecánica). En v7 no pasa porque la proyección es siempre mecánica, pero cualquier versión que use la del analista con EBITDA necesita el campo</w:t>
      </w:r>
      <w:r>
        <w:t xml:space="preserve"> </w:t>
      </w:r>
      <w:r>
        <w:rPr>
          <w:rStyle w:val="VerbatimChar"/>
        </w:rPr>
        <w:t xml:space="preserve">margen_ebitda_obj_pct</w:t>
      </w:r>
      <w:r>
        <w:t xml:space="preserve"> </w:t>
      </w:r>
      <w:r>
        <w:t xml:space="preserve">(ya propuesto con Siemens Energy).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Para fabricantes con margen bruto &lt; 20 %</w:t>
      </w:r>
      <w:r>
        <w:t xml:space="preserve">, el filtro de EV/beneficio bruto ≤ 35 no limita nada (aquí 13,8x). Un tope propio con EV/EBITDA (p. ej., ≤ 1,5 × comparables o ≤ 25x, como se propuso con Siemens Energy) mediría mejor la valoración.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Celestica, Q2 2026 Financial Results (8-K, ex. 99.1, 27-jul-2026, SEC EDGAR): ventas, márgenes, BPA, guía del 3T y de 2026, perspectiva de 2027, balance y flujo de caja.</w:t>
      </w:r>
      <w:r>
        <w:t xml:space="preserve"> </w:t>
      </w:r>
      <w:r>
        <w:t xml:space="preserve">[2] SEC EDGAR, XBRL companyfacts de Celestica (10-K 2025 y 10-Q 2026): ventas y beneficio bruto trimestrales 2024-2026, flujo de operaciones, pagos en acciones y acciones diluidas; 6-K del 3T23 (ventas 2.043,3 M) y 10-K (2023: 7.961 M).</w:t>
      </w:r>
      <w:r>
        <w:t xml:space="preserve"> </w:t>
      </w:r>
      <w:r>
        <w:t xml:space="preserve">[3] Celestica, folleto de la ampliación (424B5, 5/6-ago-2026) y 8-K del 7-ago: 11,13 M acciones a 310 USD, ~3.390 M netos, 126,1 M acciones tras la oferta y 1,53 M de RSU/PSU; datos de 12 meses (ventas 15.600 M, FCF ~530 M, inversiones 625 M, ROIC); Dell’Oro/650 Group; programas de 1,6T con AMD y CPO.</w:t>
      </w:r>
      <w:r>
        <w:t xml:space="preserve"> </w:t>
      </w:r>
      <w:r>
        <w:t xml:space="preserve">[4] Cotización: Yahoo Finance chart API (serie diaria de 2 años) y Nasdaq.com (histórico): cierre del 13-oct-2026 de 357,44 USD en ambas; 261,06 USD el 13-oct-2025; TSX 507,89 CAD el 13-oct (~355,7 USD al cambio de 1,428). A media sesión del 14-oct: ~332,8 USD.</w:t>
      </w:r>
      <w:r>
        <w:t xml:space="preserve"> </w:t>
      </w:r>
      <w:r>
        <w:t xml:space="preserve">[5] Yahoo Finance: S&amp;P 500 y comparables (JBL, FLEX, FN, SANM); rentabilidades de 6 y 12 meses calculadas por nosotros.</w:t>
      </w:r>
      <w:r>
        <w:t xml:space="preserve"> </w:t>
      </w:r>
      <w:r>
        <w:t xml:space="preserve">[6] StockAnalysis.com (datos de S&amp;P Global): objetivo medio de 473,91 USD (22 analistas, de 375 a 550); consenso de ventas de 2026 (20.560 M) y 2027 (35.450 M), BPA de 2027 de ~19,67; acciones de los analistas de agosto a octubre de 2026; TipRanks/The Fly (guía de 2026 subida de 17.000 a 19.000 M con el 1T).</w:t>
      </w:r>
      <w:r>
        <w:t xml:space="preserve"> </w:t>
      </w:r>
      <w:r>
        <w:t xml:space="preserve">[7] SEC EDGAR, formularios 4 (jun-sep 2026): ventas de R. Mionis, M. Chawla y T. Cooper; ninguna compra.</w:t>
      </w:r>
      <w:r>
        <w:t xml:space="preserve"> </w:t>
      </w:r>
      <w:r>
        <w:t xml:space="preserve">[8] Seeking Alpha: «Celestica announces $3B common stock offering; shares drop»; «Celestica Suffers From Outsized Growth Prospects And Momentum Fatigue»; «The AI Infrastructure Titan Ready To Explode»; artículos de 2026.</w:t>
      </w:r>
      <w:r>
        <w:t xml:space="preserve"> </w:t>
      </w:r>
      <w:r>
        <w:t xml:space="preserve">[9] TIKR («Up 146% In Last 12 Months…», feb-2026); Invezz (25-ago-2026); Kalkine («drops 13% as a $3 billion stock sale dilutes the AI darling»); The Motley Fool Canada (27-ago-2026: caída del 37 %, &gt;60 % de las ventas en tres clientes; OpenAI, AMD y Google como clientes nombrados).</w:t>
      </w:r>
      <w:r>
        <w:t xml:space="preserve"> </w:t>
      </w:r>
      <w:r>
        <w:t xml:space="preserve">[10] StockTwits, flujo de $CLS (13 y 14-oct-2026).</w:t>
      </w:r>
      <w:r>
        <w:t xml:space="preserve"> </w:t>
      </w:r>
      <w:r>
        <w:t xml:space="preserve">[11] Reddit, Rankia e Investing.com ES: búsquedas sin hilos recientes indexados (laguna).</w:t>
      </w:r>
      <w:r>
        <w:t xml:space="preserve"> </w:t>
      </w:r>
      <w:r>
        <w:t xml:space="preserve">[12] Celestica, notas de prensa del 8-sep-2026 (Día del Inversor el 27-oct) y del 6-oct-2026 (resultados del 3T el 26-oct); 8-K del 11-sep-2026 (nuevo CFO) y del 6-jul-2026 (nuevo presidente de CCS).</w:t>
      </w:r>
      <w:r>
        <w:t xml:space="preserve"> </w:t>
      </w:r>
      <w:r>
        <w:t xml:space="preserve">[13] StockAnalysis.com, estadísticas de JBL, FLEX, SANM y FN (14-oct-2026): EV/EBITDA de 12 meses pasados de 14,1x, 20,8x, 13,8x y 26,1x; márgenes brutos del 9-12 %.</w:t>
      </w:r>
      <w:r>
        <w:t xml:space="preserve"> </w:t>
      </w:r>
      <w:r>
        <w:t xml:space="preserve">[14] Mercado alcanzable de ~250.000 M USD en 2028: estimación propia a partir de [3].</w:t>
      </w:r>
      <w:r>
        <w:t xml:space="preserve"> </w:t>
      </w:r>
      <w:r>
        <w:t xml:space="preserve">[15] Estimación propia de las ventas NTM (~27.050 M) y del EBITDA NTM (~2.580 M) con la guía de la empresa.</w:t>
      </w:r>
      <w:r>
        <w:t xml:space="preserve"> </w:t>
      </w:r>
      <w:r>
        <w:t xml:space="preserve">[16] De memoria / aproximado: múltiplos históricos de Celestica (EV/EBITDA NTM ~5,5x en oct-2023, ~10-11x en 2024, ~20x en oct-2025, ~22x en jun-2026; mediana de 3 años ~12x) y paso de los múltiplos de los comparables de 12 meses pasados a NTM.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2026-10-15T20:45:06Z</dcterms:created>
  <dcterms:modified xsi:type="dcterms:W3CDTF">2026-10-15T20:45:06Z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