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f863a75fd7f8d63f8736a9dd29152547e69078"/>
    <w:p>
      <w:pPr>
        <w:pStyle w:val="Heading1"/>
      </w:pPr>
      <w:r>
        <w:t xml:space="preserve">Comfort Systems USA (FIX): análisis growth, 14-oct-2026</w:t>
      </w:r>
    </w:p>
    <w:p>
      <w:pPr>
        <w:pStyle w:val="FirstParagraph"/>
      </w:pPr>
      <w:r>
        <w:rPr>
          <w:bCs/>
          <w:b/>
        </w:rPr>
        <w:t xml:space="preserve">Señal (método vigente v11): Vender</w:t>
      </w:r>
      <w:r>
        <w:t xml:space="preserve"> </w:t>
      </w:r>
      <w:r>
        <w:t xml:space="preserve">· Puntuación 76,7/100 · Señales de cambio de tendencia 4/8 · EV/EBITDA NTM 19,8 veces</w:t>
      </w:r>
      <w:r>
        <w:t xml:space="preserve"> </w:t>
      </w:r>
      <w:r>
        <w:t xml:space="preserve">Precio 1.626,64 USD (fecha del informe) · Objetivo 12 m 1.337,5 USD · Ponderada −17,6 % · Base −15,6 % · Bajista −57,2 % · Alcista +18,2 % · Compra hasta 1.276,2 USD</w:t>
      </w:r>
      <w:r>
        <w:t xml:space="preserve"> </w:t>
      </w:r>
      <w:r>
        <w:t xml:space="preserve">Peso orientativo: 0 % de la cartera · Por qué: ponderada ≤ -10 %</w:t>
      </w:r>
      <w:r>
        <w:t xml:space="preserve"> </w:t>
      </w:r>
      <w:r>
        <w:t xml:space="preserve">Cabecera rehecha con la v11 el 15-oct (auditoría de homogeneidad). Antes decía (método v9): Mantener. El texto de abajo puede citar cifras de esa versión anterior; mandan las de esta cabecera.</w:t>
      </w:r>
      <w:r>
        <w:t xml:space="preserve"> </w:t>
      </w:r>
      <w:r>
        <w:t xml:space="preserve">Referencia v7: idéntica (76,7; ponderada −1,2 %, base +1,4 %, bajista −53,1 %; Mantener; compra hasta 1.530,6 USD). La guía no recorta porque la empresa la bate por mucho.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(1.542,37 USD, 14-oct, 16:55 UTC, −5,2 % en el día) y con el objetivo del informe fijo: ponderada +4,2 %, base +7,0 %, bajista −50,6 %. Sigue en Mantener, ahora rozando el límite (le falta 0,8 puntos de ponderada y 0,6 de bajista).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Comfort Systems es el mayor contratista independiente de instalaciones mecánicas (climatización, tuberías) y eléctricas de EE. UU., y se ha convertido en uno de los grandes constructores «de dentro» de los centros de datos: la tecnología pasó del 45 % de las ventas en 2025 al 58 % en el primer semestre de 2026 [1][2].</w:t>
      </w:r>
    </w:p>
    <w:p>
      <w:pPr>
        <w:numPr>
          <w:ilvl w:val="0"/>
          <w:numId w:val="1001"/>
        </w:numPr>
        <w:pStyle w:val="Compact"/>
      </w:pPr>
      <w:r>
        <w:t xml:space="preserve">Crece como una tecnológica: +50,3 % en el 2T26 (+43,8 % sin compras), +46 % en 12 meses, cartera de pedidos de 14.061 M USD (+73 %; +69 % sin compras) y márgenes en máximos (EBITDA 18,4 % frente al 15,4 %) [1][2].</w:t>
      </w:r>
    </w:p>
    <w:p>
      <w:pPr>
        <w:numPr>
          <w:ilvl w:val="0"/>
          <w:numId w:val="1001"/>
        </w:numPr>
        <w:pStyle w:val="Compact"/>
      </w:pPr>
      <w:r>
        <w:t xml:space="preserve">La percepción ya giró hace tiempo y ahora se enfría: la acción multiplicó por cinco desde abril de 2025, tocó 2.066 USD en junio y ha caído un 21 %; directivos y consejeros solo venden; el sector «energía e infraestructura para IA» está en revisión (hoy −5 %).</w:t>
      </w:r>
    </w:p>
    <w:p>
      <w:pPr>
        <w:numPr>
          <w:ilvl w:val="0"/>
          <w:numId w:val="1001"/>
        </w:numPr>
        <w:pStyle w:val="Compact"/>
      </w:pPr>
      <w:r>
        <w:t xml:space="preserve">A 19,8x EV/EBITDA NTM y 3,7x EV/ventas no es caro para lo que crece (EV/beneficio bruto 14,4x, muy lejos del tope de 35), pero la regla rebaja el múltiplo un 30 % porque el crecimiento se normaliza hacia el 16 % (consenso 2028), y el bajista (−53 %) recuerda que es un negocio cíclico de construcción en el pico de su ciclo.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Mantener</w:t>
      </w:r>
      <w:r>
        <w:t xml:space="preserve">. Excelente empresa, en el momento caro del ciclo. Pasaría a comprable por debajo de ≈ 1.525 USD si los resultados del 3T (finales de octubre) mantienen la cartera y el margen; con un margen más prudente (16 %) haría falta bastante menos precio.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hace</w:t>
      </w:r>
      <w:r>
        <w:t xml:space="preserve">: diseña, fabrica (en taller, de forma modular) e instala sistemas de climatización, tuberías de proceso, fontanería y electricidad en edificios comerciales, industriales e institucionales; además da mantenimiento. 51 empresas operativas en 206 sedes de 150 ciudades, ~25.000 empleados [1][2].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Mezcla del 1S26</w:t>
      </w:r>
      <w:r>
        <w:t xml:space="preserve"> </w:t>
      </w:r>
      <w:r>
        <w:t xml:space="preserve">[1]: mecánica 71 %, eléctrica 29 %; tecnología (centros de datos y fábricas de chips) 58 %, manufactura 18 %, sanidad 7 %, educación 5 %, Administración 4 %, comercio y oficinas 6 %. Construcción nueva 57 %, obra en edificios existentes 15 %,</w:t>
      </w:r>
      <w:r>
        <w:t xml:space="preserve"> </w:t>
      </w:r>
      <w:r>
        <w:rPr>
          <w:bCs/>
          <w:b/>
        </w:rPr>
        <w:t xml:space="preserve">modular 17 %</w:t>
      </w:r>
      <w:r>
        <w:t xml:space="preserve">, proyectos de servicio 5 %, mantenimiento 6 %.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</w:t>
      </w:r>
      <w:r>
        <w:t xml:space="preserve">: no es tecnología propia, es</w:t>
      </w:r>
      <w:r>
        <w:t xml:space="preserve"> </w:t>
      </w:r>
      <w:r>
        <w:rPr>
          <w:bCs/>
          <w:b/>
        </w:rPr>
        <w:t xml:space="preserve">capacidad</w:t>
      </w:r>
      <w:r>
        <w:t xml:space="preserve">. Fabrica módulos completos (salas eléctricas y mecánicas, «EAS &amp; TAS») en naves propias y los lleva montados a la obra, lo que ahorra mano de obra cualificada en el lugar, que es el cuello de botella del sector. Apunta a ~5 millones de pies cuadrados de capacidad modular a finales del verano de 2027 [8]. Usa BIM y prefabricación desde hace 20 años.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Contratos</w:t>
      </w:r>
      <w:r>
        <w:t xml:space="preserve">: ~92,7 % de las ventas son proyectos (8.941 en curso a junio, de ~3,3 M USD de media y 6-9 meses), gran parte</w:t>
      </w:r>
      <w:r>
        <w:t xml:space="preserve"> </w:t>
      </w:r>
      <w:r>
        <w:rPr>
          <w:bCs/>
          <w:b/>
        </w:rPr>
        <w:t xml:space="preserve">a precio fijo</w:t>
      </w:r>
      <w:r>
        <w:t xml:space="preserve">: si se equivoca en el presupuesto o hay sobrecostes no recuperables, pierde margen o dinero. Una parte es a coste más margen, con menos margen y menos riesgo 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Puntuación</w:t>
      </w:r>
      <w:r>
        <w:t xml:space="preserve">: tecnología</w:t>
      </w:r>
      <w:r>
        <w:t xml:space="preserve"> </w:t>
      </w:r>
      <w:r>
        <w:rPr>
          <w:bCs/>
          <w:b/>
        </w:rPr>
        <w:t xml:space="preserve">3/5</w:t>
      </w:r>
      <w:r>
        <w:t xml:space="preserve"> </w:t>
      </w:r>
      <w:r>
        <w:t xml:space="preserve">(ventaja real en modular y en plantilla, pero replicable por EMCOR y otros con tiempo y dinero); posición</w:t>
      </w:r>
      <w:r>
        <w:t xml:space="preserve"> </w:t>
      </w:r>
      <w:r>
        <w:rPr>
          <w:bCs/>
          <w:b/>
        </w:rPr>
        <w:t xml:space="preserve">4/5</w:t>
      </w:r>
      <w:r>
        <w:t xml:space="preserve"> </w:t>
      </w:r>
      <w:r>
        <w:t xml:space="preserve">(entre los dos primeros en contratación mecánica de EE. UU. con EMCOR y referencia en centros de datos; mercado muy fragmentado).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compras (same-store)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+35 % (resumen de la conferencia)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2.865,3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~+51 % (estimación: 47,3 % en el semestre)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ajustado (margen)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 (9,6 %)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892 (12,7 %)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+29,5 % (same-store +26,1 %)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1.455 (16,0 %)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2.392 (18,4 %)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2.896 (18,7 %)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 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3.389 (18,9 %)</w:t>
            </w:r>
          </w:p>
        </w:tc>
      </w:tr>
    </w:tbl>
    <w:p>
      <w:pPr>
        <w:pStyle w:val="BodyText"/>
      </w:pPr>
      <w:r>
        <w:t xml:space="preserve">Fuentes: [1][2][6]; trimestres por diferencia de los acumulados XBRL.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Últimos 12 meses</w:t>
      </w:r>
      <w:r>
        <w:t xml:space="preserve">: 11.228 M USD,</w:t>
      </w:r>
      <w:r>
        <w:t xml:space="preserve"> </w:t>
      </w:r>
      <w:r>
        <w:rPr>
          <w:bCs/>
          <w:b/>
        </w:rPr>
        <w:t xml:space="preserve">+46,1 %</w:t>
      </w:r>
      <w:r>
        <w:t xml:space="preserve">.</w:t>
      </w:r>
      <w:r>
        <w:t xml:space="preserve"> </w:t>
      </w:r>
      <w:r>
        <w:rPr>
          <w:bCs/>
          <w:b/>
        </w:rPr>
        <w:t xml:space="preserve">CAGR a 2 años</w:t>
      </w:r>
      <w:r>
        <w:t xml:space="preserve">: 35,9 %.</w:t>
      </w:r>
      <w:r>
        <w:t xml:space="preserve"> </w:t>
      </w:r>
      <w:r>
        <w:rPr>
          <w:bCs/>
          <w:b/>
        </w:rPr>
        <w:t xml:space="preserve">Aceleración</w:t>
      </w:r>
      <w:r>
        <w:t xml:space="preserve">: el 2T creció un 50,3 % frente a una media del 38,4 % en los cuatro anteriores:</w:t>
      </w:r>
      <w:r>
        <w:t xml:space="preserve"> </w:t>
      </w:r>
      <w:r>
        <w:rPr>
          <w:bCs/>
          <w:b/>
        </w:rPr>
        <w:t xml:space="preserve">+11,9 pp</w:t>
      </w:r>
      <w:r>
        <w:t xml:space="preserve"> </w:t>
      </w:r>
      <w:r>
        <w:t xml:space="preserve">(aunque el 2T frena frente al 1T, +56,5 %).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Compras</w:t>
      </w:r>
      <w:r>
        <w:t xml:space="preserve">: aportan 5-7 puntos (Hunt Electric, 206 M USD, may-2026; Feyen Zylstra, 110 M, y Meisner, oct-2025; Right Way, may-2025). El crecimiento orgánico sigue siendo enorme (+43,8 % en el 2T). Ojo: la proyección mecánica del motor usa el crecimiento total, compras incluidas.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Cartera de pedidos</w:t>
      </w:r>
      <w:r>
        <w:t xml:space="preserve">: 14.061 M USD a junio (+12,9 % en el trimestre; +73,1 % en un año, +68,7 % sin compras). El salto del 2T vino de centros de datos en Texas (1.000 M en la eléctrica de Texas y 510 M en la modular de Texas). Más de un año de ventas comprometido [2].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solo de crecimiento sin compras. 2026: «mid to high 30%» (~36,5 %), con comparaciones más difíciles en el 2S; implica un 2S26 de ~+28 % orgánico y ~+32 % total (estimación). Sin guía 2027 («optimistas para el resto de 2026 y bien entrado 2027») [8].</w:t>
      </w:r>
      <w:r>
        <w:t xml:space="preserve"> </w:t>
      </w:r>
      <w:r>
        <w:rPr>
          <w:bCs/>
          <w:b/>
        </w:rPr>
        <w:t xml:space="preserve">Bate su guía por mucho</w:t>
      </w:r>
      <w:r>
        <w:t xml:space="preserve">: 2025 empezó guiando «high single digit» y acabó en +26,1 %; 2026 empezó en «mid to high teens» y va por el doble [13]. Por eso el exceso es de +17,6 pp y la v9 no recorta (partida mecánica 42,1 % &lt; 32 + 17,6).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aplica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null). El mantenimiento es solo ~6-7 % de las ventas: casi todo es proyecto que hay que volver a ganar.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</w:t>
      </w:r>
      <w:r>
        <w:t xml:space="preserve">: la empresa no da cifra. Tomamos</w:t>
      </w:r>
      <w:r>
        <w:t xml:space="preserve"> </w:t>
      </w:r>
      <w:r>
        <w:rPr>
          <w:bCs/>
          <w:b/>
        </w:rPr>
        <w:t xml:space="preserve">~200.000 M USD</w:t>
      </w:r>
      <w:r>
        <w:t xml:space="preserve"> </w:t>
      </w:r>
      <w:r>
        <w:t xml:space="preserve">en 2028 (estimación propia [12]: instalación y servicio mecánico, eléctrico y de fontanería en edificios no residenciales de EE. UU.).</w:t>
      </w:r>
      <w:r>
        <w:t xml:space="preserve"> </w:t>
      </w:r>
      <w:r>
        <w:rPr>
          <w:bCs/>
          <w:b/>
        </w:rPr>
        <w:t xml:space="preserve">Penetración: 5,6 %.</w:t>
      </w:r>
      <w:r>
        <w:t xml:space="preserve"> </w:t>
      </w:r>
      <w:r>
        <w:t xml:space="preserve">El sub-mercado de centros de datos es más pequeño y es donde está casi todo el crecimiento.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EMCOR (el mayor, más diversificado), IES Holdings, MYR Group, Limbach, Sterling Infrastructure (obra civil para centros de datos), Quanta (redes eléctricas) y miles de contratistas locales.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plantilla cualificada propia (sin sindicatos: 9 afiliados de 22.700 empleados en 2025), modular a escala, balance sin deuda que le da avales (10-20 % de las obras exigen fianza) y reputación con los grandes clientes de centros de datos, que reservan capacidad con anticipos [2][8].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Concentración</w:t>
      </w:r>
      <w:r>
        <w:t xml:space="preserve">: el mayor cliente fue el 12,8 % de las ventas de 2025 [2] (no se identifica; por el sector, probablemente un gran operador de centros de datos). Tecnología 58 %.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(débil)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el 2T suben objetivos y estimaciones (KeyBanc 2.004 → 2.110; UBS 2.225; Erste eleva el BPA 2027; D.A. Davidson inicia con 2.100); consenso de BPA 2026 de 48,5 USD. Sin subidas localizadas en sep-oct ni recortes.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[5][6][7]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1.626,64 frente a 1.582,8 USD, media al alza (1.509,7 hace un mes).</w:t>
            </w:r>
            <w:r>
              <w:t xml:space="preserve"> </w:t>
            </w:r>
            <w:r>
              <w:rPr>
                <w:bCs/>
                <w:b/>
              </w:rPr>
              <w:t xml:space="preserve">Hoy, a 1.542, está por debajo.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−0,1 % frente a +13,4 % del S&amp;P 500.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de ~15,6x en el mínimo de 12 meses (oct-2025) a 19,8x (+27 %); pero baja desde ~27x en junio y está a 1,4 veces su mediana de 3 años.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 +3,0 pp en el 2T (18,4 % frente a 15,4 %); el +5 pp del 1T llevaba una ganancia puntual. Ya era rentable.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enfría desde junio: −21 % desde el máximo, caídas sin noticia (26-jun), debate de burbuja de la inversión en 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ventas: el consejero delegado vendió ~25,8 M USD el 26-ago a 1.608 USD; también el director financiero y consejeros.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a finales de octubre; integración de Hunt; capacidad modular nueva en 2027.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[1][8]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por la regla (+92,3 % en 12 meses, por debajo del 150 %, con EV/beneficio bruto de 14,4x). Pero la hubo en primavera: en mayo cotizaba con +332 % en 52 semanas [10]. Hoy el precio está en fase de digestión.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 </w:t>
      </w:r>
      <w:r>
        <w:t xml:space="preserve">de 12 meses:</w:t>
      </w:r>
      <w:r>
        <w:t xml:space="preserve"> </w:t>
      </w:r>
      <w:r>
        <w:rPr>
          <w:bCs/>
          <w:b/>
        </w:rPr>
        <w:t xml:space="preserve">25,7 %</w:t>
      </w:r>
      <w:r>
        <w:t xml:space="preserve"> </w:t>
      </w:r>
      <w:r>
        <w:t xml:space="preserve">(2.881 M sobre 11.228 M), desde el 19 % de 2023. Muy alto para un contratista (EMCOR ~19-20 % [memoria]); es margen de escasez: los clientes pagan por plazo y capacidad. El código le da 1 de 5 (escala pensada para software).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operativo</w:t>
      </w:r>
      <w:r>
        <w:t xml:space="preserve">: 17,1 % en el 2T (13,8 % hace un año). EBITDA ajustado 18,4 %.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~2.163 M USD (</w:t>
      </w:r>
      <w:r>
        <w:rPr>
          <w:bCs/>
          <w:b/>
        </w:rPr>
        <w:t xml:space="preserve">19,3 % de las ventas</w:t>
      </w:r>
      <w:r>
        <w:t xml:space="preserve">; 1.035 M en 2025 − 113 M del 1S25 + 1.241,5 M del 1S26).</w:t>
      </w:r>
      <w:r>
        <w:t xml:space="preserve"> </w:t>
      </w:r>
      <w:r>
        <w:rPr>
          <w:bCs/>
          <w:b/>
        </w:rPr>
        <w:t xml:space="preserve">Inflado por anticipos</w:t>
      </w:r>
      <w:r>
        <w:t xml:space="preserve">: la facturación por adelantado subió 1.062 M en el semestre (a 3.231 M) y la dirección dijo que «un tercio» del flujo del 2T es caja anticipada [2][8]. FCF normalizado ≈ beneficio neto, ~1.434 M (12,8 %). Cuando las obras se ejecuten, esos anticipos se devolverán en circulante.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46,1 + 19,3 =</w:t>
      </w:r>
      <w:r>
        <w:t xml:space="preserve"> </w:t>
      </w:r>
      <w:r>
        <w:rPr>
          <w:bCs/>
          <w:b/>
        </w:rPr>
        <w:t xml:space="preserve">65,4</w:t>
      </w:r>
      <w:r>
        <w:t xml:space="preserve"> </w:t>
      </w:r>
      <w:r>
        <w:t xml:space="preserve">(con el FCF normalizado, ~59).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claro. Las ventas suben un 50 % y el BPA un 92 %; los gastos generales bajan del 9,7 % al 8,8 % de las ventas.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Camino a la rentabilidad</w:t>
      </w:r>
      <w:r>
        <w:t xml:space="preserve">: no aplica, ya es muy rentable; FCF creciente.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</w:t>
      </w:r>
      <w:r>
        <w:t xml:space="preserve">: 1.854,8 M USD;</w:t>
      </w:r>
      <w:r>
        <w:t xml:space="preserve"> </w:t>
      </w:r>
      <w:r>
        <w:rPr>
          <w:bCs/>
          <w:b/>
        </w:rPr>
        <w:t xml:space="preserve">deuda</w:t>
      </w:r>
      <w:r>
        <w:t xml:space="preserve">: 54,1 M (más ~274 M de arrendamientos a largo plazo, no incluidos); deuda/EBITDA 0,03; línea de crédito de 1.100 M sin usar, vence en 2030 [1].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 acciones diluidas de 35,369 M a 35,254 M en un año (</w:t>
      </w:r>
      <w:r>
        <w:rPr>
          <w:bCs/>
          <w:b/>
        </w:rPr>
        <w:t xml:space="preserve">−0,3 %</w:t>
      </w:r>
      <w:r>
        <w:t xml:space="preserve">). Recompra poca este año (8 M en el 1S26 frente a 216 M en 2025), con la caja dedicada a capacidad (capex de 289 M en el semestre, 5 veces el de 2025) y compras [1][2].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 ~38 M en 12 meses,</w:t>
      </w:r>
      <w:r>
        <w:t xml:space="preserve"> </w:t>
      </w:r>
      <w:r>
        <w:rPr>
          <w:bCs/>
          <w:b/>
        </w:rPr>
        <w:t xml:space="preserve">0,3 % de las ventas</w:t>
      </w:r>
      <w:r>
        <w:t xml:space="preserve">: nada.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ilimitada (FCF positivo). Dividendo de 0,90 USD trimestral (0,2 %), subido 14 años seguidos.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5/5</w:t>
      </w:r>
      <w:r>
        <w:t xml:space="preserve">: cumple y supera la guía año tras año con mucho margen (2025: guía «high single digit», real +26 %; 2026: guía inicial «mid to high teens», hoy «mid to high 30%») [13]. Cartera y márgenes en máximos sin pérdidas de proyectos relevantes localizadas.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4/5</w:t>
      </w:r>
      <w:r>
        <w:t xml:space="preserve">: Brian Lane, consejero delegado desde 2011, con sucesión ordenada (Trent McKenna, presidente desde enero de 2026; Craig Sasser, director de operaciones desde julio) [3]. Asignación de capital prudente: 71 % de la caja a compras pequeñas de empresas rentables, 18 % recompras, 11 % dividendos (media 2007-2025) [1]. Resta un punto por las</w:t>
      </w:r>
      <w:r>
        <w:t xml:space="preserve"> </w:t>
      </w:r>
      <w:r>
        <w:rPr>
          <w:bCs/>
          <w:b/>
        </w:rPr>
        <w:t xml:space="preserve">ventas continuadas de directivos</w:t>
      </w:r>
      <w:r>
        <w:t xml:space="preserve"> </w:t>
      </w:r>
      <w:r>
        <w:t xml:space="preserve">en 2026 (Lane ~47 M USD entre mayo y agosto) y por ampliar capacidad en el pico del ciclo, aunque dice hacerlo solo con compromisos de clientes [8].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Múltiplo:</w:t>
      </w:r>
      <w:r>
        <w:t xml:space="preserve"> </w:t>
      </w:r>
      <w:r>
        <w:rPr>
          <w:bCs/>
          <w:b/>
        </w:rPr>
        <w:t xml:space="preserve">EV/EBITDA de los 12 meses siguientes</w:t>
      </w:r>
      <w:r>
        <w:t xml:space="preserve">, 19,8x hoy (EV de 55.538 M USD; EBITDA NTM ~2.812 M [9]). 12 meses pasados: 27,7x. Mediana de 3 años ~14x y mínimo ~9,5x (reconstruidos, aproximados). Comparables ~17,5x NTM (Quanta ~27x, Sterling ~18x, IES ~17x, EMCOR ~14x; aproximados [9]).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 2 años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−53,1 %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1.604,1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−1,2 %</w:t>
            </w:r>
          </w:p>
        </w:tc>
      </w:tr>
    </w:tbl>
    <w:p>
      <w:pPr>
        <w:pStyle w:val="BodyText"/>
      </w:pPr>
      <w:r>
        <w:t xml:space="preserve">(v9 = v7: proyección mecánica con partida del 42,1 %; la guía + exceso, 49,6 %, no recorta. Múltiplo base rebajado al mínimo permitido, ×0,70, porque el crecimiento pasa del 33,7 % NTM al 16 % del año objetivo. Margen EBITDA implícito congelado del 18,7 %. Asimetría 0,9.)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Compra hasta 1.530,6 USD</w:t>
      </w:r>
      <w:r>
        <w:t xml:space="preserve"> </w:t>
      </w:r>
      <w:r>
        <w:t xml:space="preserve">(ponderada 5 % con el objetivo fijo). Pero a ese precio el bajista sale en −50,2 %, peor que el −50 % que exige la regla: el límite que cumple todo es</w:t>
      </w:r>
      <w:r>
        <w:t xml:space="preserve"> </w:t>
      </w:r>
      <w:r>
        <w:rPr>
          <w:bCs/>
          <w:b/>
        </w:rPr>
        <w:t xml:space="preserve">≈ 1.525 USD</w:t>
      </w:r>
      <w:r>
        <w:t xml:space="preserve"> </w:t>
      </w:r>
      <w:r>
        <w:t xml:space="preserve">(759,4 ÷ 0,498). Ver mejora de método 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 precio actual</w:t>
      </w:r>
      <w:r>
        <w:t xml:space="preserve"> </w:t>
      </w:r>
      <w:r>
        <w:t xml:space="preserve">(1.542,37 USD, 16:55 UTC del 14-oct, objetivo fijo): ponderada +4,2 %, base +7,0 %, bajista −50,6 %: Mantener, en el borde de la vigilancia.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Dos sesgos que se compensan (y no hay que olvidar)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Ventas mecánicas muy por encima del consenso</w:t>
      </w:r>
      <w:r>
        <w:t xml:space="preserve">: 21.650 M frente a 17.886 M del consenso para 2028 (+21 %). La regla extrapola un 42 % que incluye compras y un año excepcional de centros de datos; el consenso, con la cartera a la vista, ya frena al 19 % y al 16 %.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Múltiplo base rebajado un 30 %</w:t>
      </w:r>
      <w:r>
        <w:t xml:space="preserve"> </w:t>
      </w:r>
      <w:r>
        <w:t xml:space="preserve">(13,9x), por debajo de los comparables.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Margen congelado en máximos</w:t>
      </w:r>
      <w:r>
        <w:t xml:space="preserve"> </w:t>
      </w:r>
      <w:r>
        <w:t xml:space="preserve">(18,7 %). Con el</w:t>
      </w:r>
      <w:r>
        <w:t xml:space="preserve"> </w:t>
      </w:r>
      <w:r>
        <w:rPr>
          <w:bCs/>
          <w:b/>
        </w:rPr>
        <w:t xml:space="preserve">16 % propuesto</w:t>
      </w:r>
      <w:r>
        <w:t xml:space="preserve"> </w:t>
      </w:r>
      <w:r>
        <w:t xml:space="preserve">(</w:t>
      </w:r>
      <w:r>
        <w:rPr>
          <w:rStyle w:val="VerbatimChar"/>
        </w:rPr>
        <w:t xml:space="preserve">margen_ebitda_obj_pct</w:t>
      </w:r>
      <w:r>
        <w:t xml:space="preserve">,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) los precios serían ≈ 657 / 1.417 / 2.031 USD y la ponderada</w:t>
      </w:r>
      <w:r>
        <w:t xml:space="preserve"> </w:t>
      </w:r>
      <w:r>
        <w:rPr>
          <w:bCs/>
          <w:b/>
        </w:rPr>
        <w:t xml:space="preserve">≈ −14 %</w:t>
      </w:r>
      <w:r>
        <w:t xml:space="preserve"> </w:t>
      </w:r>
      <w:r>
        <w:t xml:space="preserve">(zona de Vender). Con las ventas del consenso y el margen de hoy, el base estaría en ≈ 1.350 USD. Es decir: el objetivo de la regla no es conservador; si acaso, es generoso.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2.197 USD (10 analistas, todos Comprar; 1.910-2.500) [5][6]: +35 %. Los analistas aplican ~25-30x al beneficio de 2027 sin rebajar el múltiplo por la normalización; la regla sí la rebaja.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el beneficio neto de 12 meses (1.434 M) como flujo, 9 % de descuento y 3 % a perpetuidad, el precio descuenta un</w:t>
      </w:r>
      <w:r>
        <w:t xml:space="preserve"> </w:t>
      </w:r>
      <w:r>
        <w:rPr>
          <w:bCs/>
          <w:b/>
        </w:rPr>
        <w:t xml:space="preserve">~13,6 % anual durante 10 años</w:t>
      </w:r>
      <w:r>
        <w:t xml:space="preserve">. Para un contratista de construcción, que ha crecido ~15 % anual en la última década con el viento de cola más fuerte de su historia, es exigente pero no absurdo.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</w:t>
      </w:r>
      <w:r>
        <w:t xml:space="preserve"> </w:t>
      </w:r>
      <w:r>
        <w:t xml:space="preserve">(r/ValueInvesting, r/stocks): la tesis popular fue la de «comprar el miedo a los centros de datos» en marzo de 2025 (−30 % en cuatro meses, PER de 22 a 324 USD); se cumplió con creces [11]. En 2026 no localizamos hilos relevantes nuevos: es un valor poco «de foro», seguido sobre todo por inversores institucionales.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 / Zacks / Simply Wall St</w:t>
      </w:r>
      <w:r>
        <w:t xml:space="preserve">: tono alcista pero preocupado por la valoración («Trading at a Premium: Buy, Hold or Fold?»; «¿ya está todo en el precio?») y por un frenazo de la inversión en IA o en la conexión eléctrica de los centros de datos [10].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 / X</w:t>
      </w:r>
      <w:r>
        <w:t xml:space="preserve">: no consultado directamente (sin acceso fiable); la prensa recoge caídas fuertes sin noticia (−8 % el 26-jun, −6,3 % el 6-ene, −5,3 % en otra sesión), señal de un accionariado nervioso y de posiciones de momento [10].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Castellano</w:t>
      </w:r>
      <w:r>
        <w:t xml:space="preserve"> </w:t>
      </w:r>
      <w:r>
        <w:t xml:space="preserve">(Rankia, Investing.com ES): sin hilos localizados tras tres búsquedas.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Cambio</w:t>
      </w:r>
      <w:r>
        <w:t xml:space="preserve">: de euforia (mayo-junio) a digestión y miedo de ciclo (julio-octubre). Coincide con los datos: el negocio sigue acelerando pero el mercado ya no paga más múltiplo.</w:t>
      </w:r>
      <w:r>
        <w:t xml:space="preserve"> </w:t>
      </w:r>
      <w:r>
        <w:rPr>
          <w:bCs/>
          <w:b/>
        </w:rPr>
        <w:t xml:space="preserve">No hay euforia hoy</w:t>
      </w:r>
      <w:r>
        <w:t xml:space="preserve">; tampoco capitulación.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Ciclo de construcción y de la inversión en centros de datos</w:t>
      </w:r>
      <w:r>
        <w:t xml:space="preserve"> </w:t>
      </w:r>
      <w:r>
        <w:t xml:space="preserve">(el principal): 58 % de las ventas en tecnología y un cliente del 12,8 %. Si los grandes operadores frenan su inversión (por caja, por energía o por exceso de capacidad), las nuevas contrataciones caen rápido; la cartera da ~1 año de colchón, no más (proyectos de 6-9 meses).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Margen de contratista en máximos</w:t>
      </w:r>
      <w:r>
        <w:t xml:space="preserve">: margen bruto del 25,7 % frente al 19 % de 2023. Más competencia (EMCOR y otros ampliando capacidad), menos escasez de mano de obra o un error de presupuesto en obras a precio fijo lo bajarían; cada punto de margen EBITDA son ~150-180 M USD.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Contratos a precio fijo</w:t>
      </w:r>
      <w:r>
        <w:t xml:space="preserve">: el 10-Q lo dice claro: si el presupuesto falla o hay sobrecostes no recuperables, puede haber pérdidas importantes [2]. Con proyectos cada vez más grandes, el riesgo por obra sube.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Mano de obra cualificada</w:t>
      </w:r>
      <w:r>
        <w:t xml:space="preserve">: es el cuello de botella y la ventaja; si no la encuentra, no puede convertir cartera en ventas; si sobra (al girar el ciclo), pierde poder de precio.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Anticipos que se dan la vuelta</w:t>
      </w:r>
      <w:r>
        <w:t xml:space="preserve">: 3.231 M de facturación por adelantado; si la contratación frena, el FCF puede caer bruscamente aunque el beneficio aguante.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Compras</w:t>
      </w:r>
      <w:r>
        <w:t xml:space="preserve">: pequeñas y ordenadas, pero inflan el crecimiento total 5-7 puntos.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Riesgo de IA (como amenaza)</w:t>
      </w:r>
      <w:r>
        <w:t xml:space="preserve">: bajo. Es trabajo físico y cualificado (tuberías, cableado, montaje) que la IA no sustituye; si acaso, le ayuda a presupuestar y diseñar.</w:t>
      </w:r>
      <w:r>
        <w:t xml:space="preserve"> </w:t>
      </w:r>
      <w:r>
        <w:rPr>
          <w:bCs/>
          <w:b/>
        </w:rPr>
        <w:t xml:space="preserve">La IA es aquí un riesgo de demanda, no de sustitución</w:t>
      </w:r>
      <w:r>
        <w:t xml:space="preserve">: la empresa es una apuesta de ciclo a la construcción de infraestructura de IA.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(si se tuviera): cartera same-store que cae dos trimestres seguidos; margen bruto &lt; 22 % dos trimestres; pérdida o aplazamiento de un gran cliente de centros de datos; crecimiento same-store &lt; 10 % antes de 2028; pérdidas relevantes en algún proyecto a precio fijo.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Finales de octubre de 2026</w:t>
      </w:r>
      <w:r>
        <w:t xml:space="preserve">: resultados del 3T (en 2025 fue el 23-oct; un agregador da el 26-oct-2026; sin confirmar). Claves: cartera (&gt; 14.000 M), margen bruto (≥ 25 %), crecimiento same-store del 2S (~28 % implícito) y primera señal para 2027.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Febrero de 2027</w:t>
      </w:r>
      <w:r>
        <w:t xml:space="preserve">: resultados anuales y primera guía de 2027 (suele empezar baja y batirla).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Verano de 2027</w:t>
      </w:r>
      <w:r>
        <w:t xml:space="preserve">: ~5 millones de pies cuadrados de capacidad modular.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Continuos</w:t>
      </w:r>
      <w:r>
        <w:t xml:space="preserve">: anuncios de inversión de los grandes operadores de centros de datos y de su conexión eléctrica; compras de empresas.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Señal Mantener: no entra y no sustituye a ninguna.</w:t>
      </w:r>
      <w:r>
        <w:t xml:space="preserve"> </w:t>
      </w:r>
      <w:r>
        <w:t xml:space="preserve">El bolsillo growth está lleno (~20 %: Nu, argenx, Shopify, Axon y Snowflake; las más flojas, Shopify ≈ +18 % y Snowflake ≈ +16 % de ponderada al precio actual) y la liquidez libre es casi nula. Comfort Systems da −1,2 % al cierre y +4,2 % al precio actual: muy por debajo de cualquiera de las cinco, así que no compensa el coste de rotar.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Suplentes</w:t>
      </w:r>
      <w:r>
        <w:t xml:space="preserve"> </w:t>
      </w:r>
      <w:r>
        <w:t xml:space="preserve">(Samsara, Datadog, Natera, MongoDB, Toast, Zscaler, Dexcom):</w:t>
      </w:r>
      <w:r>
        <w:t xml:space="preserve"> </w:t>
      </w:r>
      <w:r>
        <w:rPr>
          <w:bCs/>
          <w:b/>
        </w:rPr>
        <w:t xml:space="preserve">no entra en la lista</w:t>
      </w:r>
      <w:r>
        <w:t xml:space="preserve">, que es solo de Comprar. Queda</w:t>
      </w:r>
      <w:r>
        <w:t xml:space="preserve"> </w:t>
      </w:r>
      <w:r>
        <w:rPr>
          <w:bCs/>
          <w:b/>
        </w:rPr>
        <w:t xml:space="preserve">en observación</w:t>
      </w:r>
      <w:r>
        <w:t xml:space="preserve"> </w:t>
      </w:r>
      <w:r>
        <w:t xml:space="preserve">detrás de las que están «en vigilancia» (Arista, DoorDash, Wise, HubSpot).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Por qué no forzarla aunque esté cerca del límite</w:t>
      </w:r>
      <w:r>
        <w:t xml:space="preserve">: (a) el objetivo es generoso por el margen congelado en máximos (con el 16 %, −14 %); (b) añade</w:t>
      </w:r>
      <w:r>
        <w:t xml:space="preserve"> </w:t>
      </w:r>
      <w:r>
        <w:rPr>
          <w:bCs/>
          <w:b/>
        </w:rPr>
        <w:t xml:space="preserve">riesgo de ciclo de inversión en IA</w:t>
      </w:r>
      <w:r>
        <w:t xml:space="preserve">, el mismo que llevó a descartar GE Vernova (−9 %) y Celestica y que el usuario ha dicho que le da miedo (Duolingo); (c) Alphabet se vende mañana y no cuenta como exposición a IA, pero sustituirla por un contratista de centros de datos sería cambiar riesgo de plataforma por riesgo de obra en el pico del ciclo.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Qué la haría comprable</w:t>
      </w:r>
      <w:r>
        <w:t xml:space="preserve">: resultados del 3T con cartera ≥ 14.000 M y margen bruto ≥ 25 %, y precio</w:t>
      </w:r>
      <w:r>
        <w:t xml:space="preserve"> </w:t>
      </w:r>
      <w:r>
        <w:rPr>
          <w:bCs/>
          <w:b/>
        </w:rPr>
        <w:t xml:space="preserve">≤ ≈ 1.525 USD</w:t>
      </w:r>
      <w:r>
        <w:t xml:space="preserve"> </w:t>
      </w:r>
      <w:r>
        <w:t xml:space="preserve">con la regla (≤ ~1.300-1.350 USD con el margen del 16 %, nuestra referencia prudente). Si llega, sería candidata con convicción</w:t>
      </w:r>
      <w:r>
        <w:t xml:space="preserve"> </w:t>
      </w:r>
      <w:r>
        <w:rPr>
          <w:bCs/>
          <w:b/>
        </w:rPr>
        <w:t xml:space="preserve">baja-media</w:t>
      </w:r>
      <w:r>
        <w:t xml:space="preserve"> </w:t>
      </w:r>
      <w:r>
        <w:t xml:space="preserve">(puntuación 76,7 ≥ 75 → «media» por la regla, pero asimetría 0,9) y peso del 3,5-4 %, en dos tramos.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+46 % en 12 meses, CAGR 36 %, aceleración +11,9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5,6 % (3), tecnología 3,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 8 señales;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25,7 % (1), regla del 40 de 65 (5),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positivo, sin dilución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81da8d965ce68425a37128028b9e186d24a9a9f"/>
    <w:p>
      <w:pPr>
        <w:pStyle w:val="Heading2"/>
      </w:pPr>
      <w:r>
        <w:t xml:space="preserve">Mejoras de método que salen de este informe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margen_ebitda_obj_pct</w:t>
      </w:r>
      <w:r>
        <w:rPr>
          <w:bCs/>
          <w:b/>
        </w:rPr>
        <w:t xml:space="preserve"> </w:t>
      </w:r>
      <w:r>
        <w:rPr>
          <w:bCs/>
          <w:b/>
        </w:rPr>
        <w:t xml:space="preserve">también tiene que poder recortar</w:t>
      </w:r>
      <w:r>
        <w:t xml:space="preserve"> </w:t>
      </w:r>
      <w:r>
        <w:t xml:space="preserve">(ya propuesto con Siemens Energy, Celestica y GE Vernova, donde el margen congelado infravaloraba). Aquí pasa lo contrario: el margen implícito de hoy (18,7 %) es un máximo de ciclo de contratista; con el 16 % la ponderada pasa de −1,2 % a ≈ −14 % y la señal de Mantener a Vender. Propuesta: el campo es el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entre el objetivo de la empresa, el consenso y una media de ciclo cuando el margen actual supera en &gt; 3 pp la media de 5 años. Probar en el backtest antes de usarlo.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El «compra hasta» no comprueba el bajista</w:t>
      </w:r>
      <w:r>
        <w:t xml:space="preserve">: el motor da 1.530,6 USD, pero a ese precio el bajista es −50,2 % (&lt; −50 %) y la regla no compraría. Propuesta: que</w:t>
      </w:r>
      <w:r>
        <w:t xml:space="preserve"> </w:t>
      </w:r>
      <w:r>
        <w:rPr>
          <w:rStyle w:val="VerbatimChar"/>
        </w:rPr>
        <w:t xml:space="preserve">precio_max_compra</w:t>
      </w:r>
      <w:r>
        <w:t xml:space="preserve"> </w:t>
      </w:r>
      <w:r>
        <w:t xml:space="preserve">sea también ≤ precio bajista ÷ 0,5 (con dividendo). Cambio mecánico, sin efecto en el backtest de señales; sí en los límites de las órdenes.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Crecimiento orgánico en compradores en serie</w:t>
      </w:r>
      <w:r>
        <w:t xml:space="preserve">: la proyección mecánica parte del crecimiento total (con 5-7 pp de compras) y sale un 21 % por encima del consenso a 2028. Propuesta: campo</w:t>
      </w:r>
      <w:r>
        <w:t xml:space="preserve"> </w:t>
      </w:r>
      <w:r>
        <w:rPr>
          <w:rStyle w:val="VerbatimChar"/>
        </w:rPr>
        <w:t xml:space="preserve">ventas_12m_organico_pct</w:t>
      </w:r>
      <w:r>
        <w:t xml:space="preserve"> </w:t>
      </w:r>
      <w:r>
        <w:t xml:space="preserve">que sustituya al total en la proyección cuando las compras aporten &gt; 3 pp. Y un aviso: con empresas que guían muy bajo (exceso de +17,6 pp), el tope de v9 no protege nada.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Comfort Systems USA, nota de resultados del 2T 2026 (8-K, ex. 99.1 y 99.2, 23-jul-2026, SEC EDGAR); nota del 1T 2026 (23-abr-2026); presentación a inversores (8-K del 3-ago-2026).</w:t>
      </w:r>
      <w:r>
        <w:t xml:space="preserve"> </w:t>
      </w:r>
      <w:r>
        <w:t xml:space="preserve">[2] SEC EDGAR: 10-Q del 2T 2026 (same-store, compras, cartera por segmentos y operaciones, precio fijo, facturación por adelantado); 10-K 2025 (mayor cliente 12,8 %, mezcla de mercados, empleados); XBRL companyfacts (CIK 1035983).</w:t>
      </w:r>
      <w:r>
        <w:t xml:space="preserve"> </w:t>
      </w:r>
      <w:r>
        <w:t xml:space="preserve">[3] SEC, formularios 4 (abr-ago 2026) y 8-K de 19-dic-2025 y 22-jun-2026 (cambios en la dirección).</w:t>
      </w:r>
      <w:r>
        <w:t xml:space="preserve"> </w:t>
      </w:r>
      <w:r>
        <w:t xml:space="preserve">[4] Yahoo Finance chart API (diarios a 2 años y mensuales a 5 años; 1.626,64 USD el 13-oct; 1.542,37 USD el 14-oct a las 16:55 UTC) y Nasdaq.com (histórico: cierre de 1.626,64 USD el 13-oct); SPY para el índice.</w:t>
      </w:r>
      <w:r>
        <w:t xml:space="preserve"> </w:t>
      </w:r>
      <w:r>
        <w:t xml:space="preserve">[5] stockanalysis.com, previsiones y acciones de analistas (14-oct-2026).</w:t>
      </w:r>
      <w:r>
        <w:t xml:space="preserve"> </w:t>
      </w:r>
      <w:r>
        <w:t xml:space="preserve">[6] MarketScreener, finanzas y estimaciones (14-oct-2026).</w:t>
      </w:r>
      <w:r>
        <w:t xml:space="preserve"> </w:t>
      </w:r>
      <w:r>
        <w:t xml:space="preserve">[7] MarketBeat (29-jul-2026, Erste Group) y Benzinga (objetivos de UBS y D.A. Davidson).</w:t>
      </w:r>
      <w:r>
        <w:t xml:space="preserve"> </w:t>
      </w:r>
      <w:r>
        <w:t xml:space="preserve">[8] Transcripción de la conferencia del 2T 2026 (Earnings Whispers, 24-jul-2026) y resumen de Nasdaq.com.</w:t>
      </w:r>
      <w:r>
        <w:t xml:space="preserve"> </w:t>
      </w:r>
      <w:r>
        <w:t xml:space="preserve">[9] Estimaciones propias de EV, EBITDA y ventas NTM, múltiplos históricos y de comparables (OpenCapital para los de 12 meses pasados del 1T26; NTM aproximados) y DCF inverso.</w:t>
      </w:r>
      <w:r>
        <w:t xml:space="preserve"> </w:t>
      </w:r>
      <w:r>
        <w:t xml:space="preserve">[10] Weiss Ratings, TIKR, MarketMinute, Nasdaq/Zacks, Simply Wall St, Insider Monkey (prensa y análisis, 2026).</w:t>
      </w:r>
      <w:r>
        <w:t xml:space="preserve"> </w:t>
      </w:r>
      <w:r>
        <w:t xml:space="preserve">[11] Reddit r/ValueInvesting (mar-2025, vía Insider Monkey/Finviz «A Bull Case Theory»); sin hilos en castellano localizados.</w:t>
      </w:r>
      <w:r>
        <w:t xml:space="preserve"> </w:t>
      </w:r>
      <w:r>
        <w:t xml:space="preserve">[12] Mercado alcanzable: estimación propia.</w:t>
      </w:r>
      <w:r>
        <w:t xml:space="preserve"> </w:t>
      </w:r>
      <w:r>
        <w:t xml:space="preserve">[13] Guías iniciales de 2025 y 2026: resúmenes de GuruFocus y Quartr de las conferencias de feb-2025 y feb-2026 (no comprobadas en la transcripción completa); 10-K 2025 (same-store real de 2025, +26,1 %).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2026-10-15T20:45:09Z</dcterms:created>
  <dcterms:modified xsi:type="dcterms:W3CDTF">2026-10-15T20:45:09Z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