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2476b3a57fe1b70ee766662cd727c8d8189cc9"/>
    <w:p>
      <w:pPr>
        <w:pStyle w:val="Heading1"/>
      </w:pPr>
      <w:r>
        <w:t xml:space="preserve">CrowdStrike Holdings (CRWD): análisis growth, 14-oct-2026</w:t>
      </w:r>
    </w:p>
    <w:p>
      <w:pPr>
        <w:pStyle w:val="FirstParagraph"/>
      </w:pPr>
      <w:r>
        <w:rPr>
          <w:bCs/>
          <w:b/>
        </w:rPr>
        <w:t xml:space="preserve">Señal (método vigente v11): Mantener</w:t>
      </w:r>
      <w:r>
        <w:t xml:space="preserve"> </w:t>
      </w:r>
      <w:r>
        <w:t xml:space="preserve">· Puntuación 81,2/100 · Señales de cambio de tendencia 7/8 · EV/ventas NTM 40,3 veces</w:t>
      </w:r>
      <w:r>
        <w:t xml:space="preserve"> </w:t>
      </w:r>
      <w:r>
        <w:t xml:space="preserve">Precio 261,21 USD (fecha del informe) · Objetivo 12 m 288,9 USD · Ponderada +10,6 % · Base +13,6 % · Bajista −43,0 % · Alcista +58,1 % · Compra hasta 170,3 USD</w:t>
      </w:r>
      <w:r>
        <w:t xml:space="preserve"> </w:t>
      </w:r>
      <w:r>
        <w:t xml:space="preserve">Peso orientativo: 0 % de la cartera · Por qué: no compra: EV/beneficio bruto &gt; 35</w:t>
      </w:r>
      <w:r>
        <w:t xml:space="preserve"> </w:t>
      </w:r>
      <w:r>
        <w:t xml:space="preserve">Cabecera rehecha con la v11 el 15-oct (auditoría de homogeneidad). Antes decía (método v7): Mantener. El texto de abajo puede citar cifras de esa versión anterior; mandan las de esta cabecera.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Es un negocio de primera: el ARR crece un 25 %, el ARR neto nuevo se ha acelerado al +51 %, el margen FCF es del 28 % y la regla del 40 da 52,6. La puntuación growth es de 81,2/100.</w:t>
      </w:r>
    </w:p>
    <w:p>
      <w:pPr>
        <w:numPr>
          <w:ilvl w:val="0"/>
          <w:numId w:val="1001"/>
        </w:numPr>
        <w:pStyle w:val="Compact"/>
      </w:pPr>
      <w:r>
        <w:t xml:space="preserve">El cambio de tendencia ya se ha producido y es evidente: 7 de 8 señales están activas. Tras la «SaaSpocalypse» de febrero, la acción ha triplicado (de 85,68 a 261 USD) y cotiza en máximos históricos.</w:t>
      </w:r>
    </w:p>
    <w:p>
      <w:pPr>
        <w:numPr>
          <w:ilvl w:val="0"/>
          <w:numId w:val="1001"/>
        </w:numPr>
        <w:pStyle w:val="Compact"/>
      </w:pPr>
      <w:r>
        <w:t xml:space="preserve">Lo que falla es el precio. El EV/ventas de los próximos 12 meses es de ~40x, frente a una mediana de 3 años de ~18x. El DCF inverso exige un crecimiento de las ventas del ~31 % anual durante 10 años, por encima del ritmo actual (24-26 %).</w:t>
      </w:r>
    </w:p>
    <w:p>
      <w:pPr>
        <w:numPr>
          <w:ilvl w:val="0"/>
          <w:numId w:val="1001"/>
        </w:numPr>
        <w:pStyle w:val="Compact"/>
      </w:pPr>
      <w:r>
        <w:t xml:space="preserve">La regla cerrada del método valora con el múltiplo menor entre el actual y su mediana de 3 años, ajustado por desaceleración: 16,4x. Con eso, hasta el escenario alcista (21x) queda por debajo del precio de hoy: ponderada −47 %. Para que el escenario base iguale el precio, el mercado tendría que seguir pagando ~31x ventas FY2029 dentro de un año.</w:t>
      </w:r>
    </w:p>
    <w:p>
      <w:pPr>
        <w:numPr>
          <w:ilvl w:val="0"/>
          <w:numId w:val="1001"/>
        </w:numPr>
        <w:pStyle w:val="Compact"/>
      </w:pPr>
      <w:r>
        <w:t xml:space="preserve">Conclusión: es una empresa excelente con la percepción ya en el precio. La señal es Vender (no comprar; quien la tenga, recortar). Se vigila por debajo de 115 USD o si las ventas se aceleran por encima del 30 %.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CrowdStrike vende la plataforma Falcon de ciberseguridad nativa en la nube. Tiene un único agente ligero en el dispositivo y un «Threat Graph» que correlaciona billones de eventos. Cubre endpoint, identidad, nube (CNAPP), SIEM de nueva generación (Falcon Next-Gen SIEM, con Onum), servicios gestionados (Falcon Complete) y, desde 2026, seguridad para IA. Vende por suscripción (el 95 % de las ventas) a grandes empresas y administraciones. El modelo</w:t>
      </w:r>
      <w:r>
        <w:t xml:space="preserve"> </w:t>
      </w:r>
      <w:r>
        <w:rPr>
          <w:bCs/>
          <w:b/>
        </w:rPr>
        <w:t xml:space="preserve">Falcon Flex</w:t>
      </w:r>
      <w:r>
        <w:t xml:space="preserve"> </w:t>
      </w:r>
      <w:r>
        <w:t xml:space="preserve">permite consumir módulos con un compromiso global y ya suma 2.290 M USD de ARR (+101 %) [1].</w:t>
      </w:r>
    </w:p>
    <w:p>
      <w:pPr>
        <w:pStyle w:val="BodyText"/>
      </w:pPr>
      <w:r>
        <w:t xml:space="preserve">Lo nuevo: en Fal.Con (2-sep-2026) presentó</w:t>
      </w:r>
      <w:r>
        <w:t xml:space="preserve"> </w:t>
      </w:r>
      <w:r>
        <w:rPr>
          <w:bCs/>
          <w:b/>
        </w:rPr>
        <w:t xml:space="preserve">SafeMind</w:t>
      </w:r>
      <w:r>
        <w:t xml:space="preserve"> </w:t>
      </w:r>
      <w:r>
        <w:t xml:space="preserve">(un modelo de IA propio especializado en ciberseguridad),</w:t>
      </w:r>
      <w:r>
        <w:t xml:space="preserve"> </w:t>
      </w:r>
      <w:r>
        <w:rPr>
          <w:bCs/>
          <w:b/>
        </w:rPr>
        <w:t xml:space="preserve">Guardian</w:t>
      </w:r>
      <w:r>
        <w:t xml:space="preserve"> </w:t>
      </w:r>
      <w:r>
        <w:t xml:space="preserve">(protección de agentes de IA en ejecución) y un</w:t>
      </w:r>
      <w:r>
        <w:t xml:space="preserve"> </w:t>
      </w:r>
      <w:r>
        <w:rPr>
          <w:bCs/>
          <w:b/>
        </w:rPr>
        <w:t xml:space="preserve">Agentic Identity Provider</w:t>
      </w:r>
      <w:r>
        <w:t xml:space="preserve"> </w:t>
      </w:r>
      <w:r>
        <w:t xml:space="preserve">para identidades de agentes [10]. La tesis del mercado es que la IA multiplica la superficie de ataque y que CrowdStrike gana con ello en vez de perder.</w:t>
      </w:r>
    </w:p>
    <w:p>
      <w:pPr>
        <w:pStyle w:val="BodyText"/>
      </w:pPr>
      <w:r>
        <w:t xml:space="preserve">La tecnología se puntúa con</w:t>
      </w:r>
      <w:r>
        <w:t xml:space="preserve"> </w:t>
      </w:r>
      <w:r>
        <w:rPr>
          <w:bCs/>
          <w:b/>
        </w:rPr>
        <w:t xml:space="preserve">4/5</w:t>
      </w:r>
      <w:r>
        <w:t xml:space="preserve">: datos propios y efecto red del Threat Graph, y una arquitectura de un solo agente difícil de replicar. Pero hay alternativas de calidad (Microsoft Defender, Palo Alto Cortex, SentinelOne). La posición se puntúa con</w:t>
      </w:r>
      <w:r>
        <w:t xml:space="preserve"> </w:t>
      </w:r>
      <w:r>
        <w:rPr>
          <w:bCs/>
          <w:b/>
        </w:rPr>
        <w:t xml:space="preserve">4/5</w:t>
      </w:r>
      <w:r>
        <w:t xml:space="preserve">: líder en endpoint con cuota creciente, aunque en plataforma compite de tú a tú con Palo Alto y Microsoft.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FY26 (jul-25)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FY26 (oct-25)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FY26 (ene-26)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FY27 (abr-26)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FY27 (jul-26)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 FY27 (oct-26)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1.523-1.529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23-24 %</w:t>
            </w:r>
          </w:p>
        </w:tc>
      </w:tr>
    </w:tbl>
    <w:p>
      <w:pPr>
        <w:pStyle w:val="BodyText"/>
      </w:pPr>
      <w:r>
        <w:t xml:space="preserve">Fuentes: [1][3][4][21].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FY2027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5.991-6.011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~25 %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: 5.405 M USD,</w:t>
      </w:r>
      <w:r>
        <w:t xml:space="preserve"> </w:t>
      </w:r>
      <w:r>
        <w:rPr>
          <w:bCs/>
          <w:b/>
        </w:rPr>
        <w:t xml:space="preserve">+24,5 %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</w:t>
      </w:r>
      <w:r>
        <w:t xml:space="preserve">:</w:t>
      </w:r>
      <w:r>
        <w:t xml:space="preserve"> </w:t>
      </w:r>
      <w:r>
        <w:rPr>
          <w:bCs/>
          <w:b/>
        </w:rPr>
        <w:t xml:space="preserve">24,0 %</w:t>
      </w:r>
      <w:r>
        <w:t xml:space="preserve"> </w:t>
      </w:r>
      <w:r>
        <w:t xml:space="preserve">(los 12 meses a jul-24 sumaban 3.516 M USD).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Aceleración</w:t>
      </w:r>
      <w:r>
        <w:t xml:space="preserve">: el 2T FY27 creció un 25,8 %, frente a una media del 23,3 % en los cuatro trimestres anteriores:</w:t>
      </w:r>
      <w:r>
        <w:t xml:space="preserve"> </w:t>
      </w:r>
      <w:r>
        <w:rPr>
          <w:bCs/>
          <w:b/>
        </w:rPr>
        <w:t xml:space="preserve">+2,5 pp</w:t>
      </w:r>
      <w:r>
        <w:t xml:space="preserve">. El crecimiento tocó fondo en el 2T FY26 (efecto del apagón de julio de 2024 y de los paquetes de fidelización «CCP») y se ha reacelerado.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ARR</w:t>
      </w:r>
      <w:r>
        <w:t xml:space="preserve">: 5.840 M USD (+25 %). ARR neto nuevo récord de 333 M USD (+51 %). Guía de ARR neto nuevo FY27 del +34 % en el punto medio (+6,3 pp); ARR final FY27 de 6.603-6.612 M USD [1][10].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Retención</w:t>
      </w:r>
      <w:r>
        <w:t xml:space="preserve">: CrowdStrike no publica la retención neta en dólares en estos resultados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 tras tres búsquedas).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 larga</w:t>
      </w:r>
      <w:r>
        <w:t xml:space="preserve">: 10.000 M USD de ARR dentro de FY2030 y 20.000 M dentro de FY2035, adelantadas un año. Según BofA, la guía preliminar de ARR neto nuevo FY28 es de ≥ +20 % [10].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</w:t>
      </w:r>
      <w:r>
        <w:t xml:space="preserve">: CrowdStrike estima 149.000 M USD en 2026 y 325.000 M en 2030 [18]. La cifra de 2030 nos parece inflada (incluye mercados adyacentes que aún no domina). Por eso se toma como alcanzable en FY2029</w:t>
      </w:r>
      <w:r>
        <w:t xml:space="preserve"> </w:t>
      </w:r>
      <w:r>
        <w:rPr>
          <w:bCs/>
          <w:b/>
        </w:rPr>
        <w:t xml:space="preserve">150.000 M USD</w:t>
      </w:r>
      <w:r>
        <w:t xml:space="preserve">, la cifra de 2026 sin crecimiento: es una rebaja de ~1/3 frente a la interpolación de la empresa para 2028.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Penetración</w:t>
      </w:r>
      <w:r>
        <w:t xml:space="preserve">: 5.405 / 150.000 =</w:t>
      </w:r>
      <w:r>
        <w:t xml:space="preserve"> </w:t>
      </w:r>
      <w:r>
        <w:rPr>
          <w:bCs/>
          <w:b/>
        </w:rPr>
        <w:t xml:space="preserve">3,6 %</w:t>
      </w:r>
      <w:r>
        <w:t xml:space="preserve">, con mucho recorrido.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</w:t>
      </w:r>
      <w:r>
        <w:t xml:space="preserve">: Microsoft (Defender, incluido en las licencias E5), Palo Alto Networks (Cortex XSIAM, plataforma), SentinelOne (más barato, crece ~22 %), Zscaler y Cloudflare (red/SASE), Fortinet (red) [19].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un agente y una consola para más módulos (Flex reduce la fricción de venta cruzada), datos propios a escala y una marca de referencia en respuesta a incidentes. El apagón de julio de 2024 no provocó una fuga de clientes relevante: la retención bruta se mantuvo y el ARR neto nuevo bate récords dos años después.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FY27 elevada en el 1T y el 2T. El consenso de ventas FY28 pasa de ~7.150 a ~7.360 M USD. Varios analistas suben el precio objetivo en octubre (Wells Fargo 300, BMO 295, TD Cowen 280). Ojo: la subida de estimaciones es modesta (&lt; 4 % desde diciembre).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[1][9][11]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261,21 USD frente a una media de 50 sesiones de 226,91 USD. La de 200 sesiones no aparece publicada; por la serie de precios está en ~160-180 USD y sube.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+113-127 % en 12 meses y +123 % en 2026, muy por encima del Nasdaq y del software (+40 % desde abril).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[7][13][14]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~14x en el mínimo de febrero a ~40x hoy: casi el triple.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 −9,0 % a −2,3 % (+6,8 pp). Beneficio neto GAAP positivo. Margen no GAAP del 22 % al 25 %.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«el software ha muerto» de febrero a máximos históricos por la demanda de seguridad para 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de directivos de ~225 M USD en tres meses (incluido el CEO, en agosto). Ya estaba en el S&amp;P 500.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[16][17]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SafeMind, Guardian y Agentic Identity (Fal.Con, sep-2026). Objetivos de ARR adelantados.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no, por la regla.</w:t>
      </w:r>
      <w:r>
        <w:t xml:space="preserve"> </w:t>
      </w:r>
      <w:r>
        <w:t xml:space="preserve">La subida en 12 meses es del +113-127 %, por debajo del 150 % que exige el método. Pero está cerca: +205 % desde el mínimo de febrero, +30 % en el último mes y titulares de «récord». El riesgo de reversión del sentimiento es alto (sección 11).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</w:t>
      </w:r>
      <w:r>
        <w:t xml:space="preserve">: total GAAP del</w:t>
      </w:r>
      <w:r>
        <w:t xml:space="preserve"> </w:t>
      </w:r>
      <w:r>
        <w:rPr>
          <w:bCs/>
          <w:b/>
        </w:rPr>
        <w:t xml:space="preserve">74,6 %</w:t>
      </w:r>
      <w:r>
        <w:t xml:space="preserve"> </w:t>
      </w:r>
      <w:r>
        <w:t xml:space="preserve">en el 2T FY27 (coste de ventas ~374 M USD sobre 1.471 M USD [22]). Suscripción: 78 % GAAP / 81 % no GAAP; total no GAAP: 79 % [1]. Se usa la cifra GAAP total, que es la más prudente. Objetivo FY29 de margen bruto de suscripción del 82-85 % [5].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 de los últimos 12 meses</w:t>
      </w:r>
      <w:r>
        <w:t xml:space="preserve">: 296,3 + 376,4 + 468 + 377,4 =</w:t>
      </w:r>
      <w:r>
        <w:t xml:space="preserve"> </w:t>
      </w:r>
      <w:r>
        <w:rPr>
          <w:bCs/>
          <w:b/>
        </w:rPr>
        <w:t xml:space="preserve">1.518 M USD</w:t>
      </w:r>
      <w:r>
        <w:t xml:space="preserve">, un</w:t>
      </w:r>
      <w:r>
        <w:t xml:space="preserve"> </w:t>
      </w:r>
      <w:r>
        <w:rPr>
          <w:bCs/>
          <w:b/>
        </w:rPr>
        <w:t xml:space="preserve">28,1 %</w:t>
      </w:r>
      <w:r>
        <w:t xml:space="preserve"> </w:t>
      </w:r>
      <w:r>
        <w:t xml:space="preserve">de las ventas (FY26: 1.240 M USD, 26 %) [1][3][4]. FCF</w:t>
      </w:r>
      <w:r>
        <w:t xml:space="preserve"> </w:t>
      </w:r>
      <w:r>
        <w:rPr>
          <w:bCs/>
          <w:b/>
        </w:rPr>
        <w:t xml:space="preserve">creciente</w:t>
      </w:r>
      <w:r>
        <w:t xml:space="preserve">. El objetivo FY29 es un margen FCF del 34-38 % [5].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</w:t>
      </w:r>
      <w:r>
        <w:t xml:space="preserve">: 24,5 + 28,1 =</w:t>
      </w:r>
      <w:r>
        <w:t xml:space="preserve"> </w:t>
      </w:r>
      <w:r>
        <w:rPr>
          <w:bCs/>
          <w:b/>
        </w:rPr>
        <w:t xml:space="preserve">52,6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margen operativo no GAAP del 25 % (22 % hace un año). La guía FY27 de beneficio operativo no GAAP es de 1.497-1.508 M USD (~25 % de las ventas). El resultado operativo GAAP sigue siendo negativo (−33,2 M USD) por los pagos en acciones.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Caja</w:t>
      </w:r>
      <w:r>
        <w:t xml:space="preserve">: 5.010 M USD.</w:t>
      </w:r>
      <w:r>
        <w:t xml:space="preserve"> </w:t>
      </w:r>
      <w:r>
        <w:rPr>
          <w:bCs/>
          <w:b/>
        </w:rPr>
        <w:t xml:space="preserve">Deuda</w:t>
      </w:r>
      <w:r>
        <w:t xml:space="preserve">: bonos del 3,00 % con vencimiento en febrero de 2029 por 750 M USD (sin convertibles). Caja neta: 4.260 M USD [1][2].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</w:t>
      </w:r>
      <w:r>
        <w:t xml:space="preserve">: el FCF es positivo, así que no hay quema.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Dilución</w:t>
      </w:r>
      <w:r>
        <w:t xml:space="preserve">: las acciones básicas pasan de 999,6 a 1.019,4 M (</w:t>
      </w:r>
      <w:r>
        <w:rPr>
          <w:bCs/>
          <w:b/>
        </w:rPr>
        <w:t xml:space="preserve">+2,0 %</w:t>
      </w:r>
      <w:r>
        <w:t xml:space="preserve"> </w:t>
      </w:r>
      <w:r>
        <w:t xml:space="preserve">anual). Las diluidas son 1.044,5 M [2].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Pagos en acciones</w:t>
      </w:r>
      <w:r>
        <w:t xml:space="preserve">: ~</w:t>
      </w:r>
      <w:r>
        <w:rPr>
          <w:bCs/>
          <w:b/>
        </w:rPr>
        <w:t xml:space="preserve">24 % de las ventas</w:t>
      </w:r>
      <w:r>
        <w:t xml:space="preserve"> </w:t>
      </w:r>
      <w:r>
        <w:t xml:space="preserve">(675 M USD en el 1S FY27; ~1.100 M en FY26) [22].</w:t>
      </w:r>
      <w:r>
        <w:t xml:space="preserve"> </w:t>
      </w:r>
      <w:r>
        <w:rPr>
          <w:bCs/>
          <w:b/>
        </w:rPr>
        <w:t xml:space="preserve">En rojo: supera el 15 %.</w:t>
      </w:r>
      <w:r>
        <w:t xml:space="preserve"> </w:t>
      </w:r>
      <w:r>
        <w:t xml:space="preserve">Es el gran coste oculto: el FCF del 28 % no descuenta este 24 %. Medido como FCF menos pagos en acciones, el margen sería de ~4 %.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 (4/5)</w:t>
      </w:r>
      <w:r>
        <w:t xml:space="preserve">: supera su propia guía de ventas trimestre tras trimestre (1T FY27: 1.390 M USD frente a una guía de 1.360-1.364; 2T FY27 por encima de lo esperado) y ha subido dos veces la guía de ARR de FY27. No se le da el 5 porque no hemos podido verificar con fuente primaria los ocho trimestres, y porque el apagón de julio de 2024 obligó a rebajar la guía de FY25-FY26.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Dirección (4/5)</w:t>
      </w:r>
      <w:r>
        <w:t xml:space="preserve">: el cofundador George Kurtz es CEO desde 2011 y conserva una participación relevante. La asignación de capital es sensata: compras pequeñas y complementarias (Onum, Pangea, SGNL) y sin deuda nueva. Le restan las ventas recurrentes de acciones de directivos (~225 M USD en tres meses) y los pagos en acciones del 24 % de las ventas.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FY2029</w:t>
      </w:r>
      <w:r>
        <w:t xml:space="preserve"> </w:t>
      </w:r>
      <w:r>
        <w:t xml:space="preserve">(feb-2028 a ene-2029). Es el primero que cierra más de 18 meses después del 14-oct-2026: el FY2028 cierra en ene-2028, a 15,5 meses. Métrica:</w:t>
      </w:r>
      <w:r>
        <w:t xml:space="preserve"> </w:t>
      </w:r>
      <w:r>
        <w:rPr>
          <w:bCs/>
          <w:b/>
        </w:rPr>
        <w:t xml:space="preserve">EV/ventas de los 12 meses siguientes (NTM)</w:t>
      </w:r>
      <w:r>
        <w:t xml:space="preserve">, porque dentro de 12 meses el mercado mirará las ventas de FY2029.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 de hoy</w:t>
      </w:r>
      <w:r>
        <w:t xml:space="preserve">: 261,21 × 1.044,5 + 750 − 5.010 =</w:t>
      </w:r>
      <w:r>
        <w:t xml:space="preserve"> </w:t>
      </w:r>
      <w:r>
        <w:rPr>
          <w:bCs/>
          <w:b/>
        </w:rPr>
        <w:t xml:space="preserve">268.574 M USD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Ventas NTM</w:t>
      </w:r>
      <w:r>
        <w:t xml:space="preserve">: 6.659 M USD. Suman la guía del 3T (1.526), el 4T implícito (1.614) y el 1T-2T FY28 al +23 %.</w:t>
      </w:r>
      <w:r>
        <w:t xml:space="preserve"> </w:t>
      </w:r>
      <w:r>
        <w:rPr>
          <w:bCs/>
          <w:b/>
        </w:rPr>
        <w:t xml:space="preserve">EV/ventas NTM: 40,3x</w:t>
      </w:r>
      <w:r>
        <w:t xml:space="preserve">; EV/ventas 12 m pasados: 49,7x.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de 3 años: ~18x NTM</w:t>
      </w:r>
      <w:r>
        <w:t xml:space="preserve">. Es una estimación propia: la mediana anual del EV/ventas de 12 m pasados en FY24-FY26 es de 22,3x [8], dividida por (1 + crecimiento) ≈ 1,24. Cuadra con los 21x de Clouded Judgement (jun-2024) y los 18,6x de TIKR [8].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Mínimo de 3 años: ~12x NTM</w:t>
      </w:r>
      <w:r>
        <w:t xml:space="preserve">. Estimación propia: oct-2023, EV ~41.000 M USD sobre ~3.500 M de ventas NTM; feb-2026, ~14x.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de los comparables: ~21x NTM</w:t>
      </w:r>
      <w:r>
        <w:t xml:space="preserve">. Estimación a partir de la mediana sectorial de ~25x EV/ventas de 12 m pasados (sep-2026) y del rango de 14-22x NTM de los líderes de plataforma (ene-2026) [19].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del 23 % frente al 21 % del FY2029 base → factor 0,91.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FY2029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+19 % FY28, +15 % FY29 (ARR en la senda mínima de 10.000 M en FY2030)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−69,3 %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+23 % FY28 (≈ consenso de 7.360), +21 % FY29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+26 % FY28, +25 % FY29 (ARR neto nuevo sostenido)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−27,1 %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−47,0 %</w:t>
            </w:r>
          </w:p>
        </w:tc>
      </w:tr>
    </w:tbl>
    <w:p>
      <w:pPr>
        <w:pStyle w:val="BodyText"/>
      </w:pPr>
      <w:r>
        <w:t xml:space="preserve">Las acciones dentro de 12 meses serían 1.065,4 M (+2 % de dilución) y la caja neta se mantiene en 4.260 M USD (el FCF positivo no se suma, por la regla).</w:t>
      </w:r>
      <w:r>
        <w:t xml:space="preserve"> </w:t>
      </w:r>
      <w:r>
        <w:rPr>
          <w:bCs/>
          <w:b/>
        </w:rPr>
        <w:t xml:space="preserve">Asimetría</w:t>
      </w:r>
      <w:r>
        <w:t xml:space="preserve">: −0,4. No tiene sentido económico porque los tres escenarios son negativos; el código la calcula igual.</w:t>
      </w:r>
      <w:r>
        <w:t xml:space="preserve"> </w:t>
      </w:r>
      <w:r>
        <w:rPr>
          <w:bCs/>
          <w:b/>
        </w:rPr>
        <w:t xml:space="preserve">Precio máximo de compra: 115,3 USD</w:t>
      </w:r>
      <w:r>
        <w:t xml:space="preserve"> </w:t>
      </w:r>
      <w:r>
        <w:t xml:space="preserve">(−56 %).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el precio objetivo medio es de 240,17 USD (S&amp;P, 53 analistas), 238,54 (Chartmill) o 256,17 (TipRanks). Todos están</w:t>
      </w:r>
      <w:r>
        <w:t xml:space="preserve"> </w:t>
      </w:r>
      <w:r>
        <w:rPr>
          <w:bCs/>
          <w:b/>
        </w:rPr>
        <w:t xml:space="preserve">por debajo</w:t>
      </w:r>
      <w:r>
        <w:t xml:space="preserve"> </w:t>
      </w:r>
      <w:r>
        <w:t xml:space="preserve">del precio actual, aunque las subidas recientes van a 280-325 USD [11]. El consenso de ventas FY2028 es de ~7.360 M USD, igual que nuestra base. No hemos encontrado consenso para FY2029 (null). La diferencia frente al consenso no está en las ventas sino en el múltiplo.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Sensibilidad</w:t>
      </w:r>
      <w:r>
        <w:t xml:space="preserve">: para que el escenario base iguale el precio de hoy, el mercado tendría que pagar</w:t>
      </w:r>
      <w:r>
        <w:t xml:space="preserve"> </w:t>
      </w:r>
      <w:r>
        <w:rPr>
          <w:bCs/>
          <w:b/>
        </w:rPr>
        <w:t xml:space="preserve">~31x las ventas FY2029</w:t>
      </w:r>
      <w:r>
        <w:t xml:space="preserve"> </w:t>
      </w:r>
      <w:r>
        <w:t xml:space="preserve">dentro de un año. Es un 70 % más que la mediana de 3 años.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con un WACC del 9,5 %, un margen FCF que pasa del 28 % al 35 % y un crecimiento terminal del 4 %, el precio descuenta</w:t>
      </w:r>
      <w:r>
        <w:t xml:space="preserve"> </w:t>
      </w:r>
      <w:r>
        <w:rPr>
          <w:bCs/>
          <w:b/>
        </w:rPr>
        <w:t xml:space="preserve">~31 % anual durante 10 años</w:t>
      </w:r>
      <w:r>
        <w:t xml:space="preserve">: unas ventas de ~79.000 M USD en FY2036. Supera el ritmo actual (24-26 %) y cuadruplica el objetivo de la propia empresa (20.000 M USD de ARR en FY2035).</w:t>
      </w:r>
      <w:r>
        <w:t xml:space="preserve"> </w:t>
      </w:r>
      <w:r>
        <w:rPr>
          <w:bCs/>
          <w:b/>
        </w:rPr>
        <w:t xml:space="preserve">No es razonable.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y analistas</w:t>
      </w:r>
      <w:r>
        <w:t xml:space="preserve">: el tono es muy positivo («record high», «AI security demand booms», varias subidas de objetivo en octubre) [11][13]. Hay voces de prudencia: BNP Paribas, GuruFocus (GF Value de 130 USD en agosto), Trefis (50x ventas sin beneficio operativo GAAP) y la narrativa más seguida en Simply Wall St (valor razonable de ~193 USD) [14][15][16].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</w:t>
      </w:r>
      <w:r>
        <w:t xml:space="preserve">: los artículos recientes reconocen la calidad pero recomiendan Mantener por valoración («Cybersecurity leader… but has valuation issues») [15].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X / StockTwits</w:t>
      </w:r>
      <w:r>
        <w:t xml:space="preserve">: tras los resultados de agosto, publicaciones mayoritariamente alcistas y flujo de opciones dominado por calls. SentiSense marcaba un sentimiento «ligeramente alcista» y enfriándose en agosto, antes del último tramo de subida [20]. El 1-sep hubo una caída del 7 % por toma de beneficios, con avisos de sobreprecio en redes.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(r/stocks, r/investing, r/CrowdStrike)</w:t>
      </w:r>
      <w:r>
        <w:t xml:space="preserve">: las búsquedas no devolvieron hilos indexados recientes.</w:t>
      </w:r>
      <w:r>
        <w:t xml:space="preserve"> </w:t>
      </w:r>
      <w:r>
        <w:rPr>
          <w:bCs/>
          <w:b/>
        </w:rPr>
        <w:t xml:space="preserve">Laguna</w:t>
      </w:r>
      <w:r>
        <w:t xml:space="preserve">: no se puede decir qué se dice ahí.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 castellano</w:t>
      </w:r>
      <w:r>
        <w:t xml:space="preserve">: la ficha de Rankia solo muestra la cotización (máximo de 52 semanas de 273,54 USD); no se pudieron leer hilos del foro. TIKR en español recoge el titular «ha más que duplicado en 2026, pero Wall Street apenas ha subido sus estimaciones» [9][12].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sentimiento ha pasado de miedo (febrero) a entusiasmo, y la subida del precio (+205 % desde el mínimo) es muy superior a la de las estimaciones (&lt; 4 %). Casi todo el movimiento es expansión del múltiplo. El giro de percepción ya está cobrado.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Reversión del sentimiento y del múltiplo</w:t>
      </w:r>
      <w:r>
        <w:t xml:space="preserve">: es el riesgo principal. A 40x ventas NTM, volver a la mediana (18x) supone −55 % con el negocio intacto. Ya pasó en febrero de 2026 (−60 % desde máximos).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Valoración extrema</w:t>
      </w:r>
      <w:r>
        <w:t xml:space="preserve">: el EV/ventas de 12 m pasados, 49,7x, supera los 30x del método.</w:t>
      </w:r>
      <w:r>
        <w:t xml:space="preserve"> </w:t>
      </w:r>
      <w:r>
        <w:rPr>
          <w:bCs/>
          <w:b/>
        </w:rPr>
        <w:t xml:space="preserve">En rojo.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Pagos en acciones del 24 % de las ventas</w:t>
      </w:r>
      <w:r>
        <w:t xml:space="preserve">:</w:t>
      </w:r>
      <w:r>
        <w:t xml:space="preserve"> </w:t>
      </w:r>
      <w:r>
        <w:rPr>
          <w:bCs/>
          <w:b/>
        </w:rPr>
        <w:t xml:space="preserve">en rojo</w:t>
      </w:r>
      <w:r>
        <w:t xml:space="preserve"> </w:t>
      </w:r>
      <w:r>
        <w:t xml:space="preserve">(&gt; 15 %). Las ventas de directivos son continuas.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Competencia de gigantes</w:t>
      </w:r>
      <w:r>
        <w:t xml:space="preserve">: Microsoft, que lo incluye en E5, y Palo Alto, que consolida plataforma con descuentos.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Riesgo operativo</w:t>
      </w:r>
      <w:r>
        <w:t xml:space="preserve">: otro incidente como el apagón de julio de 2024 golpearía la marca y la guía.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Dependencia de la narrativa de IA</w:t>
      </w:r>
      <w:r>
        <w:t xml:space="preserve">: si la demanda de seguridad para IA tarda en convertirse en ARR, la prima se desinfla.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(para quien la tenga):</w:t>
      </w:r>
      <w:r>
        <w:t xml:space="preserve"> </w:t>
      </w:r>
      <w:r>
        <w:t xml:space="preserve">- ARR neto nuevo con crecimiento interanual negativo en dos trimestres seguidos.</w:t>
      </w:r>
      <w:r>
        <w:t xml:space="preserve"> </w:t>
      </w:r>
      <w:r>
        <w:t xml:space="preserve">- Crecimiento de las ventas por debajo del 20 %.</w:t>
      </w:r>
      <w:r>
        <w:t xml:space="preserve"> </w:t>
      </w:r>
      <w:r>
        <w:t xml:space="preserve">- Recorte de la guía de ARR de FY27/FY28.</w:t>
      </w:r>
      <w:r>
        <w:t xml:space="preserve"> </w:t>
      </w:r>
      <w:r>
        <w:t xml:space="preserve">- Pérdida de la cuota de Flex.</w:t>
      </w:r>
      <w:r>
        <w:t xml:space="preserve"> </w:t>
      </w:r>
      <w:r>
        <w:t xml:space="preserve">- Caída por debajo de la media de 200 sesiones con giro de la media a la baja.</w:t>
      </w:r>
    </w:p>
    <w:p>
      <w:pPr>
        <w:pStyle w:val="BodyText"/>
      </w:pPr>
      <w:r>
        <w:t xml:space="preserve">Hoy no hay tesis rota: la señal de venta sale solo de la valoración.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Principios de dic-2026 (por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FY27 (guía de ventas de 1.523-1.529 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Principios de mar-2027 (por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 FY27 y guía FY28 (ARR neto nuevo ≥ +20 % según BofA)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Primavera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inversor / objetivos FY29 (margen FCF del 34-38 %)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Fal.Con 2027: adopción de SafeMind/Guardian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Vencimiento del bono de 750 M USD (cubierto por la caja)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Con la cartera value propuesta (IGLN, Edenred, Daiichi Sankyo, Uber, Viscofan, Alphabet, Netflix, SAP, Intuit, Nemetschek, LVMH y liquidez), el bolsillo growth podría llegar al 20 %. Una posición de convicción media sería del 4 %.</w:t>
      </w:r>
    </w:p>
    <w:p>
      <w:pPr>
        <w:pStyle w:val="BodyText"/>
      </w:pPr>
      <w:r>
        <w:rPr>
          <w:bCs/>
          <w:b/>
        </w:rPr>
        <w:t xml:space="preserve">CrowdStrike no merece hueco hoy: peso 0 %.</w:t>
      </w:r>
      <w:r>
        <w:t xml:space="preserve"> </w:t>
      </w:r>
      <w:r>
        <w:t xml:space="preserve">El negocio puntúa 81,2/100, pero la regla da Vender (ponderada −47 %) y el precio máximo de compra es 115,3 USD, un 56 % por debajo del actual. Además, la cartera ya tiene mucho software y tecnología de crecimiento (Alphabet, SAP, Intuit, Nemetschek, Netflix, Uber): CRWD añadiría correlación con el mismo factor (múltiplos de software) justo en máximos. La liquidez se queda donde está.</w:t>
      </w:r>
    </w:p>
    <w:p>
      <w:pPr>
        <w:pStyle w:val="BodyText"/>
      </w:pPr>
      <w:r>
        <w:rPr>
          <w:bCs/>
          <w:b/>
        </w:rPr>
        <w:t xml:space="preserve">Cuándo reconsiderarla</w:t>
      </w:r>
      <w:r>
        <w:t xml:space="preserve">: si cae por debajo de ~115 USD sin cambio de tesis (sería entrar en dos tramos, la mitad a ese precio y la otra mitad tras los siguientes resultados). También si las ventas se aceleran por encima del 30 % de forma sostenida: subiría el crecimiento objetivo y con él el múltiplo base. Conviene apuntarla en la cola growth para revisarla tras los resultados del 3T FY27.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+24,5 % (3), CAGR a 2 años 24,0 % (3), aceleración +2,5 pp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3,6 % (4), tecnología 4,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 señales, sin penalización por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74,6 % (4), regla del 40 = 52,6 (4),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del 2,0 %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Vender</w:t>
            </w:r>
            <w:r>
              <w:t xml:space="preserve">, porque la ponderada es ≤ −10 %</w:t>
            </w:r>
          </w:p>
        </w:tc>
      </w:tr>
    </w:tbl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CrowdStrike, nota de resultados 2T FY2027 (26-ago-2026), ir.crowdstrike.com y 8-K (SEC, ex. 99.1); resúmenes en Nasdaq, TradingView, CNBC y Yahoo Finance.</w:t>
      </w:r>
      <w:r>
        <w:t xml:space="preserve"> </w:t>
      </w:r>
      <w:r>
        <w:t xml:space="preserve">[2] CrowdStrike, 10-Q del trimestre cerrado el 31-jul-2026 (SEC): acciones medias diluidas de 1.044,5 M y básicas de 1.019,4 M (999,6 M un año antes); bonos del 3,00 % 2029 por 750 M USD; split 4x1.</w:t>
      </w:r>
      <w:r>
        <w:t xml:space="preserve"> </w:t>
      </w:r>
      <w:r>
        <w:t xml:space="preserve">[3] CrowdStrike, nota de resultados 1T FY2027 (3-jun-2026), 8-K (SEC); Grafa y AlphaQuery (ventas de 1.390 M USD).</w:t>
      </w:r>
      <w:r>
        <w:t xml:space="preserve"> </w:t>
      </w:r>
      <w:r>
        <w:t xml:space="preserve">[4] CrowdStrike, nota de resultados 4T y FY2026 (3-mar-2026), 8-K (SEC).</w:t>
      </w:r>
      <w:r>
        <w:t xml:space="preserve"> </w:t>
      </w:r>
      <w:r>
        <w:t xml:space="preserve">[5] CrowdStrike, presentación del 2T FY2027 y objetivos FY29; Investing.com, «Q2 FY27 slides».</w:t>
      </w:r>
      <w:r>
        <w:t xml:space="preserve"> </w:t>
      </w:r>
      <w:r>
        <w:t xml:space="preserve">[6] Morningstar / Yahoo Finance / heygotrade: cierre del 13-oct-2026; rango de 52 semanas.</w:t>
      </w:r>
      <w:r>
        <w:t xml:space="preserve"> </w:t>
      </w:r>
      <w:r>
        <w:t xml:space="preserve">[7] Macrotrends, historial de cotización de CRWD.</w:t>
      </w:r>
      <w:r>
        <w:t xml:space="preserve"> </w:t>
      </w:r>
      <w:r>
        <w:t xml:space="preserve">[8] GuruFocus (EV/ventas de 51,68 a 6-oct-2026, mediana de 10 años); StockAnalysis (EV/ventas por ejercicio); Alpha Spread; Clouded Judgement (jun-2024); TIKR.</w:t>
      </w:r>
      <w:r>
        <w:t xml:space="preserve"> </w:t>
      </w:r>
      <w:r>
        <w:t xml:space="preserve">[9] TIKR / Yahoo Finance, «CrowdStrike has more than doubled in 2026, but Wall Street has barely raised its revenue estimates» (6-oct-2026).</w:t>
      </w:r>
      <w:r>
        <w:t xml:space="preserve"> </w:t>
      </w:r>
      <w:r>
        <w:t xml:space="preserve">[10] Investing.com, transcripción del Fal.Con Investor Briefing (2-sep-2026); BofA (sep-2026).</w:t>
      </w:r>
      <w:r>
        <w:t xml:space="preserve"> </w:t>
      </w:r>
      <w:r>
        <w:t xml:space="preserve">[11] GuruFocus (Wells Fargo), MarketScreener (BMO), StockAnalysis / Chartmill / TipRanks (precio objetivo medio).</w:t>
      </w:r>
      <w:r>
        <w:t xml:space="preserve"> </w:t>
      </w:r>
      <w:r>
        <w:t xml:space="preserve">[12] JournalArta (9-oct-2026, media de 50 sesiones); Rankia, ficha de CRWD.</w:t>
      </w:r>
      <w:r>
        <w:t xml:space="preserve"> </w:t>
      </w:r>
      <w:r>
        <w:t xml:space="preserve">[13] Benzinga (oct-2026); 24/7 Wall St. (2-jun y 12-oct-2026).</w:t>
      </w:r>
      <w:r>
        <w:t xml:space="preserve"> </w:t>
      </w:r>
      <w:r>
        <w:t xml:space="preserve">[14] Trefis, «What changed for CrowdStrike stock» (2-oct-2026).</w:t>
      </w:r>
      <w:r>
        <w:t xml:space="preserve"> </w:t>
      </w:r>
      <w:r>
        <w:t xml:space="preserve">[15] Clouded Judgement (30-ene y 6-feb-2026); Yahoo Finance / Simply Wall St; Seeking Alpha.</w:t>
      </w:r>
      <w:r>
        <w:t xml:space="preserve"> </w:t>
      </w:r>
      <w:r>
        <w:t xml:space="preserve">[16] GuruFocus (10-ago-2026, ventas de directivos); Simply Wall St (Fal.Con 2026).</w:t>
      </w:r>
      <w:r>
        <w:t xml:space="preserve"> </w:t>
      </w:r>
      <w:r>
        <w:t xml:space="preserve">[17] Formularios 4 de la SEC (agregados por agent402 / Quantisnow).</w:t>
      </w:r>
      <w:r>
        <w:t xml:space="preserve"> </w:t>
      </w:r>
      <w:r>
        <w:t xml:space="preserve">[18] CrowdStrike, mercado potencial (vía Motley Fool / Webull / Yahoo).</w:t>
      </w:r>
      <w:r>
        <w:t xml:space="preserve"> </w:t>
      </w:r>
      <w:r>
        <w:t xml:space="preserve">[19] Windsor Drake, «Cybersecurity Valuation Q1 2026»; MarketWise (sep-2026); Chartloom.</w:t>
      </w:r>
      <w:r>
        <w:t xml:space="preserve"> </w:t>
      </w:r>
      <w:r>
        <w:t xml:space="preserve">[20] SentiSense; Historical Option Data; Benzinga ES.</w:t>
      </w:r>
      <w:r>
        <w:t xml:space="preserve"> </w:t>
      </w:r>
      <w:r>
        <w:t xml:space="preserve">[21] Notas de resultados trimestrales de CrowdStrike FY24-FY26 (ventas históricas).</w:t>
      </w:r>
      <w:r>
        <w:t xml:space="preserve"> </w:t>
      </w:r>
      <w:r>
        <w:t xml:space="preserve">[22] beancount.io y Quartr, análisis del 2T FY27 (coste de ventas, margen bruto no GAAP, pagos en acciones del 1S FY27).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2026-10-15T20:45:10Z</dcterms:created>
  <dcterms:modified xsi:type="dcterms:W3CDTF">2026-10-15T20:45:10Z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