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fb56297477b3c2177c4221e22b8f1d490e681e"/>
    <w:p>
      <w:pPr>
        <w:pStyle w:val="Heading1"/>
      </w:pPr>
      <w:r>
        <w:t xml:space="preserve">GE Vernova (GEV): análisis growth, 14-oct-2026</w:t>
      </w:r>
    </w:p>
    <w:p>
      <w:pPr>
        <w:pStyle w:val="FirstParagraph"/>
      </w:pPr>
      <w:r>
        <w:rPr>
          <w:bCs/>
          <w:b/>
        </w:rPr>
        <w:t xml:space="preserve">Señal (método vigente v11): Vender</w:t>
      </w:r>
      <w:r>
        <w:t xml:space="preserve"> </w:t>
      </w:r>
      <w:r>
        <w:t xml:space="preserve">· Puntuación 61,8/100 · Señales de cambio de tendencia 3/8 · EV/EBITDA NTM 30,1 veces</w:t>
      </w:r>
      <w:r>
        <w:t xml:space="preserve"> </w:t>
      </w:r>
      <w:r>
        <w:t xml:space="preserve">Precio 1.004,04 USD (fecha del informe) · Objetivo 12 m 853,1 USD · Ponderada −14,8 % · Base −12,6 % · Bajista −52,6 % · Alcista +18,4 % · Compra hasta 814,0 USD</w:t>
      </w:r>
      <w:r>
        <w:t xml:space="preserve"> </w:t>
      </w:r>
      <w:r>
        <w:t xml:space="preserve">Peso orientativo: 0 % de la cartera · Por qué: ponderada ≤ -10 %</w:t>
      </w:r>
      <w:r>
        <w:t xml:space="preserve"> </w:t>
      </w:r>
      <w:r>
        <w:t xml:space="preserve">Cabecera rehecha con la v11 el 15-oct (auditoría de homogeneidad). Antes decía (método v7): Vender (no comprar). El texto de abajo puede citar cifras de esa versión anterior; mandan las de esta cabecera.</w:t>
      </w:r>
      <w:r>
        <w:t xml:space="preserve"> </w:t>
      </w:r>
      <w:r>
        <w:rPr>
          <w:bCs/>
          <w:b/>
        </w:rPr>
        <w:t xml:space="preserve">Candidata v9 (proyección desde la guía): igual</w:t>
      </w:r>
      <w:r>
        <w:t xml:space="preserve">, Vender (−14,8 % / −12,6 % / −52,6 %; compra hasta 814 USD): la guía no recorta la proyección.</w:t>
      </w:r>
      <w:r>
        <w:t xml:space="preserve"> </w:t>
      </w:r>
      <w:r>
        <w:rPr>
          <w:bCs/>
          <w:b/>
        </w:rPr>
        <w:t xml:space="preserve">Al precio actual</w:t>
      </w:r>
      <w:r>
        <w:t xml:space="preserve"> </w:t>
      </w:r>
      <w:r>
        <w:t xml:space="preserve">(934,82 USD, 14-oct, 16:38 UTC, −6,9 % en la sesión): v7 y v9 dan Vender igual (ponderada −13,8 %, base −12,6 %, bajista −52,4 %; compra hasta 767 USD).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GE Vernova (la parte de energía de General Electric, en bolsa desde abr-2024) es el mayor fabricante de turbinas de gas del mundo y uno de los grandes de equipos de red. Es la gran beneficiaria del consumo eléctrico de los centros de datos: pedidos de 24.200 M USD en el 2T26 (+88 % orgánico) y una cartera de 176.000 M, más de cuatro años de ventas [1].</w:t>
      </w:r>
    </w:p>
    <w:p>
      <w:pPr>
        <w:numPr>
          <w:ilvl w:val="0"/>
          <w:numId w:val="1001"/>
        </w:numPr>
        <w:pStyle w:val="Compact"/>
      </w:pPr>
      <w:r>
        <w:t xml:space="preserve">Las ventas se aceleran (+21,9 % en el 2T26, +11,1 pp sobre la media de los cuatro trimestres anteriores), aunque casi la mitad de esa subida es la compra de Prolec GE; en orgánico, +12 %. El margen EBITDA sube del 8,5 % al 11,3 % y la empresa promete un 20 % en 2028 [1][3].</w:t>
      </w:r>
    </w:p>
    <w:p>
      <w:pPr>
        <w:numPr>
          <w:ilvl w:val="0"/>
          <w:numId w:val="1001"/>
        </w:numPr>
        <w:pStyle w:val="Compact"/>
      </w:pPr>
      <w:r>
        <w:t xml:space="preserve">El negocio es de primera, pero el precio ya lo descuenta. A 1.004 USD, la empresa vale ~30 veces el EBITDA de los próximos 12 meses (Siemens Energy, ~14x), y el DCF inverso pide un crecimiento del ~16 % anual durante 10 años, cuando la propia empresa espera ~10 % anual hasta 2028.</w:t>
      </w:r>
    </w:p>
    <w:p>
      <w:pPr>
        <w:numPr>
          <w:ilvl w:val="0"/>
          <w:numId w:val="1001"/>
        </w:numPr>
        <w:pStyle w:val="Compact"/>
      </w:pPr>
      <w:r>
        <w:t xml:space="preserve">La percepción se ha enfriado: −15 % desde el máximo de junio (1.174,86 USD), fallo de BPA en el 2T, rebaja de Morgan Stanley, relevo del director financiero y hoy −7 % con todo el sector de energía para IA. Solo 3 de 8 señales están activas, y ninguna de las de percepción.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Vender (no comprar)</w:t>
      </w:r>
      <w:r>
        <w:t xml:space="preserve">. Con la regla, ponderada −14,8 % y base −12,6 %. Ni con el margen del 20 % que promete la empresa saldría una compra (ponderada de ~−4 %, sección 9). Se revisa tras el 3T (28-oct) y la guía 2027 (diciembre), o por debajo de ~770-810 USD.</w:t>
      </w:r>
    </w:p>
    <w:bookmarkEnd w:id="20"/>
    <w:bookmarkStart w:id="23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GE Vernova vende equipos y servicios para generar y transportar electricidad, en tres segmentos (2T26) [1]: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</w:t>
      </w:r>
      <w:r>
        <w:t xml:space="preserve"> </w:t>
      </w:r>
      <w:r>
        <w:t xml:space="preserve">(turbinas de gas pesadas y aeroderivadas, nuclear, vapor e hidráulica; y su mantenimiento): ventas de 5.477 M USD (+14 %), margen EBITDA del 18,8 %, pedidos de 16.729 M (+134 % orgánico). La cartera de turbinas de gas más las reservas de capacidad (</w:t>
      </w:r>
      <w:r>
        <w:rPr>
          <w:iCs/>
          <w:i/>
        </w:rPr>
        <w:t xml:space="preserve">slot reservations</w:t>
      </w:r>
      <w:r>
        <w:t xml:space="preserve">) ha pasado de 62 GW (sep-2025) a 116 GW (jun-2026), y la empresa espera ≥ 125 GW a fin de año. Producción: 20 GW al año desde el 3T26, 24 GW en 2028 y 30 GW en 2030. Una base instalada de unas 7.000 turbinas de gas (de memoria) genera servicio durante décadas.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Electrification</w:t>
      </w:r>
      <w:r>
        <w:t xml:space="preserve"> </w:t>
      </w:r>
      <w:r>
        <w:t xml:space="preserve">(transformadores, celdas, HVDC, subestaciones, software de red): ventas de 3.637 M (+68 %; +29 % orgánico), margen del 18,4 %, cartera de equipos de 40.600 M (+69 %). Pedidos para centros de datos de más de 5.000 M en lo que va de año, más del doble que en todo 2025. Incluye Prolec GE (transformadores, México y EE. UU.), comprada al 100 % el 2-feb-2026 por ~5.300 M [3].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Wind</w:t>
      </w:r>
      <w:r>
        <w:t xml:space="preserve"> </w:t>
      </w:r>
      <w:r>
        <w:t xml:space="preserve">(eólica terrestre y marina): ventas de 2.026 M (−10 %), pérdidas EBITDA de 275 M en el trimestre y de 657 M en el semestre (la guía anual es de ~400 M de pérdidas, así que el 2S tendría que mejorar mucho). Pedidos −40 % en el 2T [1].</w:t>
      </w:r>
    </w:p>
    <w:p>
      <w:pPr>
        <w:pStyle w:val="BodyText"/>
      </w:pPr>
      <w:r>
        <w:rPr>
          <w:bCs/>
          <w:b/>
        </w:rPr>
        <w:t xml:space="preserve">Lo nuevo</w:t>
      </w:r>
      <w:r>
        <w:t xml:space="preserve"> </w:t>
      </w:r>
      <w:r>
        <w:t xml:space="preserve">no es la tecnología (la turbina HA de clase H existe desde 2014), sino el</w:t>
      </w:r>
      <w:r>
        <w:t xml:space="preserve"> </w:t>
      </w:r>
      <w:r>
        <w:rPr>
          <w:bCs/>
          <w:b/>
        </w:rPr>
        <w:t xml:space="preserve">cambio de demanda</w:t>
      </w:r>
      <w:r>
        <w:t xml:space="preserve">: centros de datos que necesitan generación firme en pocos años, electrificación y redes viejas.</w:t>
      </w:r>
      <w:r>
        <w:t xml:space="preserve"> </w:t>
      </w:r>
      <w:r>
        <w:rPr>
          <w:bCs/>
          <w:b/>
        </w:rPr>
        <w:t xml:space="preserve">Tecnología: 4/5</w:t>
      </w:r>
      <w:r>
        <w:t xml:space="preserve"> </w:t>
      </w:r>
      <w:r>
        <w:t xml:space="preserve">(oligopolio de tres en turbinas grandes —GE Vernova, Siemens Energy y Mitsubishi Heavy— con barreras de años en capacidad, cadena de suministro y base instalada; no es tecnología sin alternativas).</w:t>
      </w:r>
      <w:r>
        <w:t xml:space="preserve"> </w:t>
      </w:r>
      <w:r>
        <w:rPr>
          <w:bCs/>
          <w:b/>
        </w:rPr>
        <w:t xml:space="preserve">Posición: 5/5</w:t>
      </w:r>
      <w:r>
        <w:t xml:space="preserve"> </w:t>
      </w:r>
      <w:r>
        <w:t xml:space="preserve">(líder en turbinas de gas por base instalada y pedidos, número uno en equipos de red en Norteamérica tras Prolec, cuota creciente).</w:t>
      </w:r>
    </w:p>
    <w:bookmarkStart w:id="21" w:name="el-ciclo-de-los-centros-de-datos"/>
    <w:p>
      <w:pPr>
        <w:pStyle w:val="Heading3"/>
      </w:pPr>
      <w:r>
        <w:t xml:space="preserve">El ciclo de los centros de datos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favor</w:t>
      </w:r>
      <w:r>
        <w:t xml:space="preserve">: los hiperescaladores y las eléctricas firman reservas de capacidad con pago por adelantado hasta 2029-2031; el FCF de 9.900 M del 1S26 es casi todo anticipos. La cartera de Electrification crece un 69 % y los pedidos de centros de datos se han más que duplicado.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 contra</w:t>
      </w:r>
      <w:r>
        <w:t xml:space="preserve">: la demanda de turbinas de gas es históricamente cíclica (el pico anterior, 2000-2002, acabó con cancelaciones masivas y años de pérdidas en GE Power). Barclays (sobre Siemens Energy) estima una demanda sostenible de 80-90 GW al año frente a los pedidos actuales. La acción se mueve con cada duda sobre el gasto en IA (−6,5 % el 7-jul por la rebaja de Siemens Energy; −7 % hoy, con Vertiv, Constellation y Eaton) [10]. Si el ciclo gira, los anticipos se dan la vuelta y el FCF cae a la vez que los pedidos.</w:t>
      </w:r>
    </w:p>
    <w:bookmarkEnd w:id="21"/>
    <w:bookmarkStart w:id="22" w:name="la-eólica-marina"/>
    <w:p>
      <w:pPr>
        <w:pStyle w:val="Heading3"/>
      </w:pPr>
      <w:r>
        <w:t xml:space="preserve">La eólica marina</w:t>
      </w:r>
    </w:p>
    <w:p>
      <w:pPr>
        <w:pStyle w:val="FirstParagraph"/>
      </w:pPr>
      <w:r>
        <w:t xml:space="preserve">Es el punto débil. GE Vernova no busca pedidos nuevos de eólica marina (lo ha dicho la dirección; de memoria) y está acabando los existentes (Dogger Bank en el Reino Unido, Vineyard Wind en EE. UU.). En 2025 Wind perdió ~600 M, en parte por la orden federal de paralización del 22-dic-2025; hubo fracturas de palas en Dogger Bank y Vineyard Wind, y en sep-2026 cerró con un acuerdo confidencial el litigio con Vineyard Wind (GE reclamaba más de 300 M y Vineyard Wind más de 850 M) [13]. La perspectiva a 2028 supone que Wind se encoge (ventas −10 % anual) y gana un 6 % de margen. Pesa ~18 % de las ventas y resta ~1,5 puntos de margen; un nuevo problema de calidad sería el riesgo de provisión más probable.</w:t>
      </w:r>
    </w:p>
    <w:bookmarkEnd w:id="22"/>
    <w:bookmarkEnd w:id="23"/>
    <w:bookmarkStart w:id="24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orgánico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EBITDA ajustado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 (abr-jun 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~+11 %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 (jul-sep 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 (oct-dic 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 (ene-mar 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 (abr-jun 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11,3 %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+9,0 % (orgánico +9 %)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guía (22-jul)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45.500-46.500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+20,8 % (con Prolec; ~+13 % sin ella)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 perspectiva (28-ene-2026)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2025-28 de ~14 % («low teens» orgánico)</w:t>
            </w:r>
          </w:p>
        </w:tc>
      </w:tr>
    </w:tbl>
    <w:p>
      <w:pPr>
        <w:pStyle w:val="BodyText"/>
      </w:pPr>
      <w:r>
        <w:t xml:space="preserve">Fuentes: [1][2][3]. Margen bruto = ventas − coste de ventas del XBRL; trimestres del 4T por diferencia con el anual.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Ventas de los últimos 12 meses</w:t>
      </w:r>
      <w:r>
        <w:t xml:space="preserve">: 41.368 M USD,</w:t>
      </w:r>
      <w:r>
        <w:t xml:space="preserve"> </w:t>
      </w:r>
      <w:r>
        <w:rPr>
          <w:bCs/>
          <w:b/>
        </w:rPr>
        <w:t xml:space="preserve">+13,0 %</w:t>
      </w:r>
      <w:r>
        <w:t xml:space="preserve"> </w:t>
      </w:r>
      <w:r>
        <w:t xml:space="preserve">(36.615 M un año antes).</w:t>
      </w:r>
      <w:r>
        <w:t xml:space="preserve"> </w:t>
      </w:r>
      <w:r>
        <w:rPr>
          <w:bCs/>
          <w:b/>
        </w:rPr>
        <w:t xml:space="preserve">CAGR propio a 2 años: 10,7 %</w:t>
      </w:r>
      <w:r>
        <w:t xml:space="preserve"> </w:t>
      </w:r>
      <w:r>
        <w:t xml:space="preserve">(33.761 M a jun-2024).</w:t>
      </w:r>
      <w:r>
        <w:t xml:space="preserve"> </w:t>
      </w:r>
      <w:r>
        <w:rPr>
          <w:bCs/>
          <w:b/>
        </w:rPr>
        <w:t xml:space="preserve">Aceleración: +11,1 pp</w:t>
      </w:r>
      <w:r>
        <w:t xml:space="preserve"> </w:t>
      </w:r>
      <w:r>
        <w:t xml:space="preserve">(21,9 % frente a una media del 10,8 %). En orgánico la aceleración es de ~+4,5 pp (12 % frente a ~7,5 %).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qué GAAP y no orgánico</w:t>
      </w:r>
      <w:r>
        <w:t xml:space="preserve">: las ventas de partida (41.368 M) solo llevan cinco meses de Prolec (1.346 M); con las cifras orgánicas la proyección se quedaría corta, y con las GAAP la partida está algo inflada. Se compensan: la regla proyecta 55.458 M para 2028 (base), casi lo mismo que los 56.000 M de la empresa.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Cartera y pedidos</w:t>
      </w:r>
      <w:r>
        <w:t xml:space="preserve">: book-to-bill de ~2,2 en el 2T26 (24.200 M de pedidos frente a 11.104 M de ventas); cartera (RPO) de 176.284 M, +37 % en un año [2]. La conversión a ventas la limita la capacidad de fábrica (20 GW al año de turbinas).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: 2026 subida dos veces (de 41.000-42.000 M en dic-2025 a 44.000-45.000 M con Prolec, 44.500-45.500 M en abril y 45.500-46.500 M en julio), con FCF de 11.500-12.500 M (antes 5.000-5.500) [1][3]. Para la candidata v9: el 2S26 implícito crece un</w:t>
      </w:r>
      <w:r>
        <w:t xml:space="preserve"> </w:t>
      </w:r>
      <w:r>
        <w:rPr>
          <w:bCs/>
          <w:b/>
        </w:rPr>
        <w:t xml:space="preserve">22,1 %</w:t>
      </w:r>
      <w:r>
        <w:t xml:space="preserve"> </w:t>
      </w:r>
      <w:r>
        <w:t xml:space="preserve">y la empresa batió su primera guía de 2025 en</w:t>
      </w:r>
      <w:r>
        <w:t xml:space="preserve"> </w:t>
      </w:r>
      <w:r>
        <w:rPr>
          <w:bCs/>
          <w:b/>
        </w:rPr>
        <w:t xml:space="preserve">+4,5 pp</w:t>
      </w:r>
      <w:r>
        <w:t xml:space="preserve"> </w:t>
      </w:r>
      <w:r>
        <w:t xml:space="preserve">(de memoria); la partida mecánica (14,1 %) queda por debajo de 26,6 %, así que</w:t>
      </w:r>
      <w:r>
        <w:t xml:space="preserve"> </w:t>
      </w:r>
      <w:r>
        <w:rPr>
          <w:bCs/>
          <w:b/>
        </w:rPr>
        <w:t xml:space="preserve">v9 no recorta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</w:t>
      </w:r>
      <w:r>
        <w:t xml:space="preserve">: no aplica (</w:t>
      </w:r>
      <w:r>
        <w:rPr>
          <w:rStyle w:val="VerbatimChar"/>
        </w:rPr>
        <w:t xml:space="preserve">nrr_pct</w:t>
      </w:r>
      <w:r>
        <w:t xml:space="preserve"> </w:t>
      </w:r>
      <w:r>
        <w:t xml:space="preserve">= null); el servicio de la base instalada (~42 % de las ventas) hace de ingreso recurrente.</w:t>
      </w:r>
    </w:p>
    <w:bookmarkEnd w:id="24"/>
    <w:bookmarkStart w:id="25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</w:t>
      </w:r>
      <w:r>
        <w:t xml:space="preserve">: la empresa no da una cifra única. Tomamos</w:t>
      </w:r>
      <w:r>
        <w:t xml:space="preserve"> </w:t>
      </w:r>
      <w:r>
        <w:rPr>
          <w:bCs/>
          <w:b/>
        </w:rPr>
        <w:t xml:space="preserve">~350.000 M USD en 2028</w:t>
      </w:r>
      <w:r>
        <w:t xml:space="preserve"> </w:t>
      </w:r>
      <w:r>
        <w:t xml:space="preserve">(estimación propia: turbinas de gas y su servicio, nuclear pequeña, equipos de red y eólica fuera de China) [14].</w:t>
      </w:r>
      <w:r>
        <w:t xml:space="preserve"> </w:t>
      </w:r>
      <w:r>
        <w:rPr>
          <w:bCs/>
          <w:b/>
        </w:rPr>
        <w:t xml:space="preserve">Penetración: 11,8 %.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Siemens Energy y Mitsubishi Heavy en turbinas grandes (entre los tres, la gran mayoría de los pedidos; cuota exacta no comprobada); Hitachi Energy, Siemens Energy, ABB, Schneider, Eaton y fabricantes chinos y coreanos en redes; Vestas, Siemens Gamesa y Nordex en eólica.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la mayor base instalada de turbinas de gas (servicio con margen alto durante 20-30 años), capacidad reservada hasta 2029-2031 que los rivales no pueden ofrecer antes, y precio: la cartera de equipos tiene 6 puntos más de margen que hace un año [3].</w:t>
      </w:r>
    </w:p>
    <w:bookmarkEnd w:id="25"/>
    <w:bookmarkStart w:id="26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ventas de consenso subieron tras el 22-jul, pero el BPA del 2T falló (2,47 frente a ~3,2) y en el último mes dominan los recortes: JPMorgan de 1.330 a 1.150, Susquehanna de 1.300 a 1.270; Morgan Stanley a Infraponderar (3-ago), BNP Neutral (1.090), GLJ Vender (470). Guggenheim reitera 1.450.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[5][6][7]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1.004,04 frente a 929,7 USD (cálculo propio), media que sube (895 hace un mes). Hoy, a ~935 USD, está justo encima.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+1,3 % frente a +12,0 % del S&amp;P 500.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~3,4x en el mínimo de nov-2025 a 5,3x (+55 %). En EV/EBITDA, de ~26x a ~30x, y por debajo de los ~40x de junio.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EBITDA +2,8 pp (2T) y +3,3 pp (semestre): no llega a 5 pp; el salto del FCF son anticipos, no margen.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Empeora desde junio: fallo de BPA (−8,7 % ese día), Morgan Stanley, relevo del director financiero, recortes de objetivos, caídas del sector de energía para 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[5][7][10]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formulario 4 con compra en mercado desde oct-2025; solo concesiones, retenciones y ventas (Potvin a 1.059 USD, Abate a 948).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el 28-oct (meta ≥ 125 GW), guía 2027 previsiblemente en diciembre, nueva directora financiera el 1-ene-2027.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[1][12]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Subida en 12 meses del +55,8 % (644,41 USD el 14-oct-2025; +45 % al precio de hoy), lejos del 150 %; EV/beneficio bruto de 26,2x. La euforia, si la hubo, fue en junio.</w:t>
      </w:r>
    </w:p>
    <w:bookmarkEnd w:id="26"/>
    <w:bookmarkStart w:id="27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:</w:t>
      </w:r>
      <w:r>
        <w:t xml:space="preserve"> </w:t>
      </w:r>
      <w:r>
        <w:rPr>
          <w:bCs/>
          <w:b/>
        </w:rPr>
        <w:t xml:space="preserve">20,2 %</w:t>
      </w:r>
      <w:r>
        <w:t xml:space="preserve"> </w:t>
      </w:r>
      <w:r>
        <w:t xml:space="preserve">en los 12 meses a junio (8.360 M de beneficio bruto sobre 41.368 M) [2]. Margen de industrial: el código le da 1 de 5.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EBITDA ajustado</w:t>
      </w:r>
      <w:r>
        <w:t xml:space="preserve">: 8,4 % en 2025, 11,3 % en el 2T26, guía del 12-14 % en 2026 y</w:t>
      </w:r>
      <w:r>
        <w:t xml:space="preserve"> </w:t>
      </w:r>
      <w:r>
        <w:rPr>
          <w:bCs/>
          <w:b/>
        </w:rPr>
        <w:t xml:space="preserve">20 % en 2028</w:t>
      </w:r>
      <w:r>
        <w:t xml:space="preserve"> </w:t>
      </w:r>
      <w:r>
        <w:t xml:space="preserve">(Power 22 %, Electrification 22 %, Wind 6 %) [1][3]. Es la palanca principal de la tesis, y la regla no la ve (margen congelado; sección 9).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</w:t>
      </w:r>
      <w:r>
        <w:t xml:space="preserve">: 12.438 M en los 12 meses a junio (3.710 M de 2025 − 1.169 M del 1S25 + 9.897 M del 1S26):</w:t>
      </w:r>
      <w:r>
        <w:t xml:space="preserve"> </w:t>
      </w:r>
      <w:r>
        <w:rPr>
          <w:bCs/>
          <w:b/>
        </w:rPr>
        <w:t xml:space="preserve">margen del 30,1 %</w:t>
      </w:r>
      <w:r>
        <w:t xml:space="preserve">, muy inflado por los anticipos de las reservas de capacidad. El consenso espera 12.071 M en 2026 y solo 7.839 M en 2027 [8]: el FCF de este año no se repite. FCF</w:t>
      </w:r>
      <w:r>
        <w:t xml:space="preserve"> </w:t>
      </w:r>
      <w:r>
        <w:rPr>
          <w:bCs/>
          <w:b/>
        </w:rPr>
        <w:t xml:space="preserve">creciente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13,0 + 30,1 =</w:t>
      </w:r>
      <w:r>
        <w:t xml:space="preserve"> </w:t>
      </w:r>
      <w:r>
        <w:rPr>
          <w:bCs/>
          <w:b/>
        </w:rPr>
        <w:t xml:space="preserve">43,1</w:t>
      </w:r>
      <w:r>
        <w:t xml:space="preserve"> </w:t>
      </w:r>
      <w:r>
        <w:t xml:space="preserve">(con un FCF normalizado del ~13 %, ~26).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claro en Power y Electrification (EBITDA del segmento +31 % y +114 % en el 2T); Wind lo resta.</w:t>
      </w:r>
    </w:p>
    <w:bookmarkEnd w:id="27"/>
    <w:bookmarkStart w:id="28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</w:t>
      </w:r>
      <w:r>
        <w:t xml:space="preserve"> </w:t>
      </w:r>
      <w:r>
        <w:t xml:space="preserve">de 13.120 M USD (con restringida) y</w:t>
      </w:r>
      <w:r>
        <w:t xml:space="preserve"> </w:t>
      </w:r>
      <w:r>
        <w:rPr>
          <w:bCs/>
          <w:b/>
        </w:rPr>
        <w:t xml:space="preserve">deuda</w:t>
      </w:r>
      <w:r>
        <w:t xml:space="preserve"> </w:t>
      </w:r>
      <w:r>
        <w:t xml:space="preserve">de 2.849 M a 30-jun-2026 (bonos de 2.600 M emitidos para Prolec) [2]: caja neta de ~10.270 M. Calificación BBB (S&amp;P) / BBB+ (Fitch). Ojo: buena parte de la caja son anticipos de clientes que se consumirán al entregar, y hay pasivos de pensiones de 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FCF positivo, sin quema.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 negativa. Acciones diluidas medias de 276 M (2T25) a 270 M (2T26):</w:t>
      </w:r>
      <w:r>
        <w:t xml:space="preserve"> </w:t>
      </w:r>
      <w:r>
        <w:rPr>
          <w:bCs/>
          <w:b/>
        </w:rPr>
        <w:t xml:space="preserve">−2,2 %</w:t>
      </w:r>
      <w:r>
        <w:t xml:space="preserve">. Recompras de 4,3 M de acciones en el 1S26 a 854 USD de media (autorización de 10.000 M) [1]. Se usan</w:t>
      </w:r>
      <w:r>
        <w:t xml:space="preserve"> </w:t>
      </w:r>
      <w:r>
        <w:rPr>
          <w:bCs/>
          <w:b/>
        </w:rPr>
        <w:t xml:space="preserve">268 M</w:t>
      </w:r>
      <w:r>
        <w:t xml:space="preserve"> </w:t>
      </w:r>
      <w:r>
        <w:t xml:space="preserve">(266,3 M en circulación a 30-jun más ~3-4 M de opciones y acciones restringidas, menos las recompras del 3T).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</w:t>
      </w:r>
      <w:r>
        <w:t xml:space="preserve">: 257 M en 2025,</w:t>
      </w:r>
      <w:r>
        <w:t xml:space="preserve"> </w:t>
      </w:r>
      <w:r>
        <w:rPr>
          <w:bCs/>
          <w:b/>
        </w:rPr>
        <w:t xml:space="preserve">0,7 % de las ventas</w:t>
      </w:r>
      <w:r>
        <w:t xml:space="preserve"> </w:t>
      </w:r>
      <w:r>
        <w:t xml:space="preserve">[2]. Sin convertibles.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Dividendo</w:t>
      </w:r>
      <w:r>
        <w:t xml:space="preserve">: 0,50 USD al trimestre (0,2 %).</w:t>
      </w:r>
    </w:p>
    <w:bookmarkEnd w:id="28"/>
    <w:bookmarkStart w:id="29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(5/5)</w:t>
      </w:r>
      <w:r>
        <w:t xml:space="preserve">: desde la salida a bolsa ha cumplido o subido la guía casi siempre (2025: +9 % frente a una primera guía de ~+4,5 %; 2026 subida dos veces; perspectiva a 2028 subida en dic-2024, dic-2025 y ene-2026). Fallos puntuales: BPA del 2T26 por debajo del consenso y la eólica marina [1][3][5].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(4/5)</w:t>
      </w:r>
      <w:r>
        <w:t xml:space="preserve">: Scott Strazik, consejero delegado desde la separación (antes al frente de GE Gas Power), ha ejecutado bien: disciplina de precios en la cartera, salida de la eólica marina, compra de Prolec y recompras. No es fundador ni tiene una participación relevante, los directivos venden (no compran) y el director financiero Ken Parks se jubila; le sustituye el 1-ene-2027 Claire McDonough, directora financiera de Rivian, con un paquete de entrada de 14,5 M USD en acciones y 5 M en efectivo [12]. La recompra se ha hecho a precios altos (854 USD de media).</w:t>
      </w:r>
    </w:p>
    <w:bookmarkEnd w:id="29"/>
    <w:bookmarkStart w:id="30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objetivo: 2028</w:t>
      </w:r>
      <w:r>
        <w:t xml:space="preserve"> </w:t>
      </w:r>
      <w:r>
        <w:t xml:space="preserve">(el primero que cierra más de 18 meses después de hoy); desde las ventas de 12 meses a junio-2026,</w:t>
      </w:r>
      <w:r>
        <w:t xml:space="preserve"> </w:t>
      </w:r>
      <w:r>
        <w:rPr>
          <w:bCs/>
          <w:b/>
        </w:rPr>
        <w:t xml:space="preserve">2,5 años</w:t>
      </w:r>
      <w:r>
        <w:t xml:space="preserve">.</w:t>
      </w:r>
      <w:r>
        <w:t xml:space="preserve"> </w:t>
      </w:r>
      <w:r>
        <w:rPr>
          <w:bCs/>
          <w:b/>
        </w:rPr>
        <w:t xml:space="preserve">Métrica: EV/EBITDA de los 12 meses siguientes.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 de hoy (cierre)</w:t>
      </w:r>
      <w:r>
        <w:t xml:space="preserve">: 1.004,04 × 268 + 2.849 − 13.120 =</w:t>
      </w:r>
      <w:r>
        <w:t xml:space="preserve"> </w:t>
      </w:r>
      <w:r>
        <w:rPr>
          <w:bCs/>
          <w:b/>
        </w:rPr>
        <w:t xml:space="preserve">258.812 M USD</w:t>
      </w:r>
      <w:r>
        <w:t xml:space="preserve"> </w:t>
      </w:r>
      <w:r>
        <w:t xml:space="preserve">(al precio actual de 934,82: 240.262 M).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 NTM</w:t>
      </w:r>
      <w:r>
        <w:t xml:space="preserve">: 41.368 × 1,18 = 48.814 M (EV/ventas 5,3x).</w:t>
      </w:r>
      <w:r>
        <w:t xml:space="preserve"> </w:t>
      </w:r>
      <w:r>
        <w:rPr>
          <w:bCs/>
          <w:b/>
        </w:rPr>
        <w:t xml:space="preserve">EBITDA NTM: ~8.600 M</w:t>
      </w:r>
      <w:r>
        <w:t xml:space="preserve"> </w:t>
      </w:r>
      <w:r>
        <w:t xml:space="preserve">(2S26 de consenso, 4.200 M, más ~46 % de los 9.582 M de 2027 [8][9]).</w:t>
      </w:r>
      <w:r>
        <w:t xml:space="preserve"> </w:t>
      </w:r>
      <w:r>
        <w:rPr>
          <w:bCs/>
          <w:b/>
        </w:rPr>
        <w:t xml:space="preserve">EV/EBITDA NTM: 30,1x</w:t>
      </w:r>
      <w:r>
        <w:t xml:space="preserve"> </w:t>
      </w:r>
      <w:r>
        <w:t xml:space="preserve">(27,9x al precio actual).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Mediana desde la salida a bolsa (~2,5 años): ~28x</w:t>
      </w:r>
      <w:r>
        <w:t xml:space="preserve">;</w:t>
      </w:r>
      <w:r>
        <w:t xml:space="preserve"> </w:t>
      </w:r>
      <w:r>
        <w:rPr>
          <w:bCs/>
          <w:b/>
        </w:rPr>
        <w:t xml:space="preserve">mínimo: ~13x</w:t>
      </w:r>
      <w:r>
        <w:t xml:space="preserve"> </w:t>
      </w:r>
      <w:r>
        <w:t xml:space="preserve">(abr-2024). Son estimaciones propias, reconstruidas con precios y guías de cada momento [9].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Comparables: ~17x</w:t>
      </w:r>
      <w:r>
        <w:t xml:space="preserve"> </w:t>
      </w:r>
      <w:r>
        <w:t xml:space="preserve">(Siemens Energy ~14x, Mitsubishi Heavy ~17x, Hitachi ~15x, Vestas ~10x, Schneider ~18,5x, ABB ~24x, Eaton ~25x; varios aproximados de memoria) [9].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Desaceleración</w:t>
      </w:r>
      <w:r>
        <w:t xml:space="preserve">: crecimiento NTM del 18 % (guía del 2S26 y consenso de 2027) frente al ~10 % de 2028 (de 46.000 M en 2026 a 56.000 M en 2028) → factor</w:t>
      </w:r>
      <w:r>
        <w:t xml:space="preserve"> </w:t>
      </w:r>
      <w:r>
        <w:rPr>
          <w:bCs/>
          <w:b/>
        </w:rPr>
        <w:t xml:space="preserve">0,75</w:t>
      </w:r>
      <w:r>
        <w:t xml:space="preserve">: el múltiplo base baja de 30,1x a 22,4x.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2028 (regla)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 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−52,6 %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875,3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−12,6 %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853,1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−14,8 %</w:t>
            </w:r>
          </w:p>
        </w:tc>
      </w:tr>
    </w:tbl>
    <w:p>
      <w:pPr>
        <w:pStyle w:val="BodyText"/>
      </w:pPr>
      <w:r>
        <w:t xml:space="preserve">Acciones dentro de 12 meses: ~262 M (−2,2 %); la caja neta se mantiene. Incluye un dividendo del 0,2 %.</w:t>
      </w:r>
      <w:r>
        <w:t xml:space="preserve"> </w:t>
      </w:r>
      <w:r>
        <w:rPr>
          <w:bCs/>
          <w:b/>
        </w:rPr>
        <w:t xml:space="preserve">Asimetría: 0,3</w:t>
      </w:r>
      <w:r>
        <w:t xml:space="preserve"> </w:t>
      </w:r>
      <w:r>
        <w:t xml:space="preserve">(se pierde más en el bajista de lo que se gana en el alcista).</w:t>
      </w:r>
      <w:r>
        <w:t xml:space="preserve"> </w:t>
      </w:r>
      <w:r>
        <w:rPr>
          <w:bCs/>
          <w:b/>
        </w:rPr>
        <w:t xml:space="preserve">Precio máximo de compra: 814 USD</w:t>
      </w:r>
      <w:r>
        <w:t xml:space="preserve"> </w:t>
      </w:r>
      <w:r>
        <w:t xml:space="preserve">(el que da base 0 %; el límite de EV/beneficio bruto de 35x quedaría en ~1.330 USD).</w:t>
      </w:r>
    </w:p>
    <w:p>
      <w:pPr>
        <w:pStyle w:val="BodyText"/>
      </w:pPr>
      <w:r>
        <w:rPr>
          <w:bCs/>
          <w:b/>
        </w:rPr>
        <w:t xml:space="preserve">Candidata v9</w:t>
      </w:r>
      <w:r>
        <w:t xml:space="preserve">: idéntica (la guía del 2S26, +22,1 %, más el exceso de +4,5 pp, queda muy por encima de la partida mecánica, 14,1 %).</w:t>
      </w:r>
      <w:r>
        <w:t xml:space="preserve"> </w:t>
      </w:r>
      <w:r>
        <w:rPr>
          <w:bCs/>
          <w:b/>
        </w:rPr>
        <w:t xml:space="preserve">v8</w:t>
      </w:r>
      <w:r>
        <w:t xml:space="preserve"> </w:t>
      </w:r>
      <w:r>
        <w:t xml:space="preserve">también da lo mismo.</w:t>
      </w:r>
    </w:p>
    <w:p>
      <w:pPr>
        <w:pStyle w:val="BodyText"/>
      </w:pPr>
      <w:r>
        <w:rPr>
          <w:bCs/>
          <w:b/>
        </w:rPr>
        <w:t xml:space="preserve">Al precio actual (934,82 USD, 16:38 UTC)</w:t>
      </w:r>
      <w:r>
        <w:t xml:space="preserve">, recalculando también el múltiplo de hoy (27,9x): ponderada −13,8 %, base −12,6 %, bajista −52,4 %, alcista +22,5 %, compra hasta</w:t>
      </w:r>
      <w:r>
        <w:t xml:space="preserve"> </w:t>
      </w:r>
      <w:r>
        <w:rPr>
          <w:bCs/>
          <w:b/>
        </w:rPr>
        <w:t xml:space="preserve">767 USD</w:t>
      </w:r>
      <w:r>
        <w:t xml:space="preserve">. La señal no cambia. El precio máximo baja con el precio porque la regla parte siempre del múltiplo de hoy (ver mejoras al final).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nuestra proyección y la de la empresa</w:t>
      </w:r>
      <w:r>
        <w:t xml:space="preserve">: ventas 2028 de 50.000 / 56.000 / 60.700 M (bajista / base / alcista = consenso), en línea con la regla (55.458 en el base).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El margen, que es lo que la regla no ve</w:t>
      </w:r>
      <w:r>
        <w:t xml:space="preserve">: con el margen EBITDA del 20 % que promete la empresa para 2028 (en vez del ~17,6 % implícito hoy), el base subiría a ~987 USD (−1,7 %) y la ponderada a ~−4 %. Con el consenso de 2028 (13.151 M de EBITDA, 21,7 %), el base estaría en ~+6 %.</w:t>
      </w:r>
      <w:r>
        <w:t xml:space="preserve"> </w:t>
      </w:r>
      <w:r>
        <w:rPr>
          <w:bCs/>
          <w:b/>
        </w:rPr>
        <w:t xml:space="preserve">Ni así sale una compra clara</w:t>
      </w:r>
      <w:r>
        <w:t xml:space="preserve">: el precio ya descuenta que la empresa cumpla su plan a 2028.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el consenso</w:t>
      </w:r>
      <w:r>
        <w:t xml:space="preserve">: objetivo medio de 1.224,9 USD (37 analistas) [8], un 44 % por encima de nuestro objetivo. La diferencia: el consenso mantiene múltiplos de ~30x sobre un EBITDA que se dobla, y la regla rebaja el múltiplo por la desaceleración y congela el margen.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</w:t>
      </w:r>
      <w:r>
        <w:t xml:space="preserve">: con un WACC del 9 %, un margen FCF normalizado del 13 % (sin anticipos) y un crecimiento terminal del 3 %, el EV de hoy descuenta un crecimiento de</w:t>
      </w:r>
      <w:r>
        <w:t xml:space="preserve"> </w:t>
      </w:r>
      <w:r>
        <w:rPr>
          <w:bCs/>
          <w:b/>
        </w:rPr>
        <w:t xml:space="preserve">~16 % anual durante 10 años</w:t>
      </w:r>
      <w:r>
        <w:t xml:space="preserve"> </w:t>
      </w:r>
      <w:r>
        <w:t xml:space="preserve">(~15 % al precio actual). Es más del doble del crecimiento orgánico de los últimos 12 meses y más que el ~10 % anual que la empresa prevé hasta 2028:</w:t>
      </w:r>
      <w:r>
        <w:t xml:space="preserve"> </w:t>
      </w:r>
      <w:r>
        <w:rPr>
          <w:bCs/>
          <w:b/>
        </w:rPr>
        <w:t xml:space="preserve">exigente</w:t>
      </w:r>
      <w:r>
        <w:t xml:space="preserve">.</w:t>
      </w:r>
    </w:p>
    <w:bookmarkEnd w:id="30"/>
    <w:bookmarkStart w:id="31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Analistas</w:t>
      </w:r>
      <w:r>
        <w:t xml:space="preserve">: siguen mayoritariamente compradores (37 analistas, objetivo medio 1.224 USD; 2 compra fuerte, 26 compra, 5 mantener y 2 vender según MarketBeat), pero el flujo de los últimos tres meses es negativo: Morgan Stanley a Infraponderar, BNP a Neutral, GLJ inicia con Vender (470 USD: «fabricante cíclico de turbinas de gas»), JPMorgan y Susquehanna recortan [5][6][7].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Prensa financiera (Motley Fool, TIKR, 24/7 Wall St., Barron’s)</w:t>
      </w:r>
      <w:r>
        <w:t xml:space="preserve">: dominan dos relatos: el de la «escasez de energía para la IA» (cartera vendida hasta 2029-2031, más pedidos de centros de datos que nunca) y el de la</w:t>
      </w:r>
      <w:r>
        <w:t xml:space="preserve"> </w:t>
      </w:r>
      <w:r>
        <w:rPr>
          <w:bCs/>
          <w:b/>
        </w:rPr>
        <w:t xml:space="preserve">burbuja</w:t>
      </w:r>
      <w:r>
        <w:t xml:space="preserve"> </w:t>
      </w:r>
      <w:r>
        <w:t xml:space="preserve">(comparación con el ciclo de turbinas de 2000-2002 y con los ferrocarriles). La acción figura entre las más vendidas en corto por fondos de cobertura (Hazeltree, vía TIKR) [10].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Reddit, StockTwits, X, Seeking Alpha, Rankia, Investing ES</w:t>
      </w:r>
      <w:r>
        <w:t xml:space="preserve">: las búsquedas no devolvieron hilos recientes legibles.</w:t>
      </w:r>
      <w:r>
        <w:t xml:space="preserve"> </w:t>
      </w:r>
      <w:r>
        <w:rPr>
          <w:bCs/>
          <w:b/>
        </w:rPr>
        <w:t xml:space="preserve">Laguna</w:t>
      </w:r>
      <w:r>
        <w:t xml:space="preserve">: no se puede decir qué se dice ahí. En castellano solo aparecen traducciones de TIKR y Benzinga.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negocio mejora (pedidos +88 %, margen +2,8 pp, guía subida dos veces), pero la acción ya no sube con las buenas noticias (−8,7 % el día de resultados del 2T) y cae con cada duda sobre el gasto en IA. Es el patrón de un valor en el que la percepción, no el negocio, marca el precio: el riesgo de reversión del sentimiento es alto.</w:t>
      </w:r>
    </w:p>
    <w:bookmarkEnd w:id="31"/>
    <w:bookmarkStart w:id="32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Pico de ciclo de turbinas de gas</w:t>
      </w:r>
      <w:r>
        <w:t xml:space="preserve"> </w:t>
      </w:r>
      <w:r>
        <w:t xml:space="preserve">(riesgo principal): si los pedidos vuelven a 80-90 GW al año en el mundo y las reservas de capacidad no se convierten en pedidos, el crecimiento, los anticipos y el múltiplo caen a la vez (el bajista, −53 %, supone 13,5x EBITDA y la mitad del crecimiento).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Dependencia del relato de la IA</w:t>
      </w:r>
      <w:r>
        <w:t xml:space="preserve">: la acción cae con cada noticia negativa del sector (7-jul, hoy); un recorte del gasto de los hiperescaladores pesaría más en el precio que en las ventas, con la cartera ya firmada.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Eólica</w:t>
      </w:r>
      <w:r>
        <w:t xml:space="preserve">: pérdidas de 657 M en el semestre frente a una guía anual de ~400 M; fracturas de palas, litigios y la política federal contra la eólica marina.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Ejecución de una cartera de 176.000 M</w:t>
      </w:r>
      <w:r>
        <w:t xml:space="preserve">: proyectos a precio fijo, inflación de costes, aranceles, cuellos de botella en proveedores (piezas fundidas, transformadores) y en la ampliación a 24-30 GW.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Calidad del beneficio</w:t>
      </w:r>
      <w:r>
        <w:t xml:space="preserve">: el beneficio neto del 1S26 (5.398 M) incluye 3.992 M de plusvalía contable por Prolec; el FCF depende de anticipos. El mercado ya castigó el BPA del 2T.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Relevo del director financiero</w:t>
      </w:r>
      <w:r>
        <w:t xml:space="preserve"> </w:t>
      </w:r>
      <w:r>
        <w:t xml:space="preserve">en plena expansión (enero de 2027).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 </w:t>
      </w:r>
      <w:r>
        <w:t xml:space="preserve">(para quien la tenga):</w:t>
      </w:r>
      <w:r>
        <w:t xml:space="preserve"> </w:t>
      </w:r>
      <w:r>
        <w:t xml:space="preserve">- Reservas de capacidad que no se convierten en pedidos o se cancelan (la cifra de GW contratados baja de un trimestre a otro).</w:t>
      </w:r>
      <w:r>
        <w:t xml:space="preserve"> </w:t>
      </w:r>
      <w:r>
        <w:t xml:space="preserve">- Book-to-bill de Power o Electrification por debajo de 1 en dos trimestres seguidos.</w:t>
      </w:r>
      <w:r>
        <w:t xml:space="preserve"> </w:t>
      </w:r>
      <w:r>
        <w:t xml:space="preserve">- Recorte de la guía 2026 o de la perspectiva a 2028 (56.000 M, 20 % de margen).</w:t>
      </w:r>
      <w:r>
        <w:t xml:space="preserve"> </w:t>
      </w:r>
      <w:r>
        <w:t xml:space="preserve">- Nueva provisión relevante en eólica marina.</w:t>
      </w:r>
    </w:p>
    <w:p>
      <w:pPr>
        <w:pStyle w:val="BodyText"/>
      </w:pPr>
      <w:r>
        <w:t xml:space="preserve">Hoy no hay tesis rota: la señal es Vender por valoración, no por el negocio.</w:t>
      </w:r>
    </w:p>
    <w:bookmarkEnd w:id="32"/>
    <w:bookmarkStart w:id="33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(meta ≥ 125 GW contratados a fin de año)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1-nov-2026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Claire McDonough entra como asesora; directora financiera el 1-ene-2027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~Dic-2026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para inversores con guía 2027 (como en dic-2024 y dic-2025)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 y del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 de turbinas de 20 a 24 GW al año; conversión de reservas en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Perspectiva: 56.000 M de ventas, margen EBITDA del 20 %, FCF acumulado ≥ 24.000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33"/>
    <w:bookmarkStart w:id="34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Señal: no entra.</w:t>
      </w:r>
      <w:r>
        <w:t xml:space="preserve"> </w:t>
      </w:r>
      <w:r>
        <w:t xml:space="preserve">Vender (no comprar) con v7 y con v9, al cierre (ponderada −14,8 %) y al precio actual de 934,82 USD a las 16:38 UTC (−13,8 %).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Frente al bolsillo growth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informes-growth/cartera-growth.md</w:t>
      </w:r>
      <w:r>
        <w:t xml:space="preserve">: Nu, argenx, Shopify, Axon y Snowflake, ~20 %, lleno; liquidez libre casi nula): solo cabría sustituyendo a otra, y</w:t>
      </w:r>
      <w:r>
        <w:t xml:space="preserve"> </w:t>
      </w:r>
      <w:r>
        <w:rPr>
          <w:bCs/>
          <w:b/>
        </w:rPr>
        <w:t xml:space="preserve">no sustituye a ninguna</w:t>
      </w:r>
      <w:r>
        <w:t xml:space="preserve">: Shopify (+17,7 %) y Snowflake (+16,1 %), las dos más flojas, le sacan más de 30 puntos de rentabilidad ponderada.</w:t>
      </w:r>
      <w:r>
        <w:t xml:space="preserve"> </w:t>
      </w:r>
      <w:r>
        <w:rPr>
          <w:bCs/>
          <w:b/>
        </w:rPr>
        <w:t xml:space="preserve">Tampoco entra en la lista de suplentes</w:t>
      </w:r>
      <w:r>
        <w:t xml:space="preserve"> </w:t>
      </w:r>
      <w:r>
        <w:t xml:space="preserve">(Samsara, Datadog, MongoDB, Zscaler, Dexcom, Toast, Wise): todas dan Comprar y GE Vernova da Vender.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Frente a la cartera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MEMORIA.md</w:t>
      </w:r>
      <w:r>
        <w:t xml:space="preserve">, cartera del 14-oct): no hay industriales de energía. La exposición al gasto en IA ya entra por Alphabet, y GE Vernova sumaría el mismo riesgo de ciclo por otra vía. No pasaría los tres requisitos value (la rentabilidad a 12 meses sale negativa).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Diversificación</w:t>
      </w:r>
      <w:r>
        <w:t xml:space="preserve">: sería la única industrial del bolsillo growth, pero el riesgo dominante (gasto en centros de datos) es el mismo que mueve a Snowflake y a buena parte del software.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Cuándo reconsiderarla</w:t>
      </w:r>
      <w:r>
        <w:t xml:space="preserve">: por debajo de</w:t>
      </w:r>
      <w:r>
        <w:t xml:space="preserve"> </w:t>
      </w:r>
      <w:r>
        <w:rPr>
          <w:bCs/>
          <w:b/>
        </w:rPr>
        <w:t xml:space="preserve">~770-810 USD</w:t>
      </w:r>
      <w:r>
        <w:t xml:space="preserve"> </w:t>
      </w:r>
      <w:r>
        <w:t xml:space="preserve">(el precio máximo de la regla, según se calcule al cierre o al precio de hoy; ~20 % por debajo del cierre), o si la guía 2027 de diciembre sube el margen y las ventas lo bastante como para que, con la mejora de margen propuesta abajo, la base pase de 0 % y la ponderada del 5 %. Si llegara, sería convicción baja (3,5 %, y a costa de la growth más débil en ese momento, nunca con la liquidez de las órdenes value.</w:t>
      </w:r>
    </w:p>
    <w:bookmarkEnd w:id="34"/>
    <w:bookmarkStart w:id="35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+13,0 % (1), CAGR a 2 años 10,7 % (1), aceleración +11,1 pp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11,8 % (2), tecnología 4, posición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 señales (media de 200, múltiplo, catalizador),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20,2 % (1), regla del 40 = 43,1 (3),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recompra: dilución −2,2 %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5, dirección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Vender (no comprar)</w:t>
            </w:r>
            <w:r>
              <w:t xml:space="preserve"> </w:t>
            </w:r>
            <w:r>
              <w:t xml:space="preserve">(ponderada ≤ −10 %)</w:t>
            </w:r>
          </w:p>
        </w:tc>
      </w:tr>
    </w:tbl>
    <w:p>
      <w:pPr>
        <w:pStyle w:val="BodyText"/>
      </w:pPr>
      <w:r>
        <w:rPr>
          <w:bCs/>
          <w:b/>
        </w:rPr>
        <w:t xml:space="preserve">Lo que la regla mide mal aquí</w:t>
      </w:r>
      <w:r>
        <w:t xml:space="preserve"> </w:t>
      </w:r>
      <w:r>
        <w:t xml:space="preserve">(propuestas, sin tocar el código; pendientes del backtest):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Margen EBITDA congelado</w:t>
      </w:r>
      <w:r>
        <w:t xml:space="preserve"> </w:t>
      </w:r>
      <w:r>
        <w:t xml:space="preserve">(ya propuesto con Siemens Energy y Celestica): aquí vale ~10 puntos de ponderada (de −14,8 % a ~−4 % con el 20 % de la empresa). Un tercer caso del mismo sector con el mismo sesgo: conviene priorizar el campo</w:t>
      </w:r>
      <w:r>
        <w:t xml:space="preserve"> </w:t>
      </w:r>
      <w:r>
        <w:rPr>
          <w:rStyle w:val="VerbatimChar"/>
        </w:rPr>
        <w:t xml:space="preserve">margen_ebitda_obj_pct</w:t>
      </w:r>
      <w:r>
        <w:t xml:space="preserve"> </w:t>
      </w:r>
      <w:r>
        <w:t xml:space="preserve">(el menor entre el objetivo de la empresa y el consenso) en el próximo backtest. No cambiaría la señal de hoy.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multiplo_actual</w:t>
      </w:r>
      <w:r>
        <w:rPr>
          <w:bCs/>
          <w:b/>
        </w:rPr>
        <w:t xml:space="preserve"> </w:t>
      </w:r>
      <w:r>
        <w:rPr>
          <w:bCs/>
          <w:b/>
        </w:rPr>
        <w:t xml:space="preserve">a mano rompe la regla de revisar el precio actual</w:t>
      </w:r>
      <w:r>
        <w:t xml:space="preserve">: con EV/EBITDA, si solo se cambia</w:t>
      </w:r>
      <w:r>
        <w:t xml:space="preserve"> </w:t>
      </w:r>
      <w:r>
        <w:rPr>
          <w:rStyle w:val="VerbatimChar"/>
        </w:rPr>
        <w:t xml:space="preserve">precio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, el múltiplo de hoy se queda fijo y el resultado sale mal (aquí, el múltiplo pasa de 30,1x a 27,9x al precio actual). Propuesta: un campo</w:t>
      </w:r>
      <w:r>
        <w:t xml:space="preserve"> </w:t>
      </w:r>
      <w:r>
        <w:rPr>
          <w:rStyle w:val="VerbatimChar"/>
        </w:rPr>
        <w:t xml:space="preserve">ebitda_ntm_m</w:t>
      </w:r>
      <w:r>
        <w:t xml:space="preserve"> </w:t>
      </w:r>
      <w:r>
        <w:t xml:space="preserve">y que el código calcule el múltiplo con el precio del día.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Guía con compras dentro (v9)</w:t>
      </w:r>
      <w:r>
        <w:t xml:space="preserve">: la guía del 2S26 (+22,1 %) lleva ~9 puntos de Prolec GE; la regla de v9 la toma tal cual. Propuesta: cuando haya una compra relevante en los últimos 12 meses, usar la guía orgánica (o la de la perspectiva a varios años, aquí ~10 %) para</w:t>
      </w:r>
      <w:r>
        <w:t xml:space="preserve"> </w:t>
      </w:r>
      <w:r>
        <w:rPr>
          <w:rStyle w:val="VerbatimChar"/>
        </w:rPr>
        <w:t xml:space="preserve">guia_12m_pct</w:t>
      </w:r>
      <w:r>
        <w:t xml:space="preserve">. Aquí no cambia nada (tampoco recortaría por debajo de 14,1 %), pero en otra empresa podría inflar la proyección.</w:t>
      </w:r>
    </w:p>
    <w:bookmarkEnd w:id="35"/>
    <w:bookmarkStart w:id="36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GE Vernova, nota de resultados del 2T 2026 (8-K, ex. 99.1, 22-jul-2026, SEC EDGAR): pedidos 24.200 M (+88 % orgánico), ventas 11.104 M (+22 %, +12 % orgánico), EBITDA ajustado 1.250 M (11,3 %), FCF 5.107 M, caja 13.100 M, cartera 176.000 M, guía 2026 de 45.500-46.500 M, margen del 12-14 %, FCF de 11.500-12.500 M; segmentos Power, Electrification y Wind.</w:t>
      </w:r>
      <w:r>
        <w:t xml:space="preserve"> </w:t>
      </w:r>
      <w:r>
        <w:t xml:space="preserve">[2] SEC EDGAR, XBRL companyfacts (CIK 1996810), 10-K 2025 y 10-Q del 1T y 2T 2026: ventas y coste de ventas trimestrales 2023-2026, acciones diluidas medias (276 M en el 2T25, 270 M en el 2T26), acciones en circulación (266,3 M a 30-jun-2026), deuda de 2.849 M, caja con restringida de 13.120 M, pagos en acciones de 257 M en 2025, recompras; formularios 4 desde oct-2025.</w:t>
      </w:r>
      <w:r>
        <w:t xml:space="preserve"> </w:t>
      </w:r>
      <w:r>
        <w:t xml:space="preserve">[3] GE Vernova, notas de resultados del 4T 2025 (28-ene-2026: ventas 2025 de 38.068 M, +9 %; FCF de 3.710 M; perspectiva a 2028 de 56.000 M de ventas, margen EBITDA ajustado del 20 % y FCF acumulado ≥ 24.000 M, con Prolec GE) y del 1T 2026 (22-abr-2026: compra de Prolec GE por ~5.300 M el 2-feb; bonos de 2.600 M; guía de 44.500-45.500 M); nota del 3T 2025 (22-oct-2025).</w:t>
      </w:r>
      <w:r>
        <w:t xml:space="preserve"> </w:t>
      </w:r>
      <w:r>
        <w:t xml:space="preserve">[4] Cotización: Yahoo Finance chart API (cierres diarios a 2 años; 1.004,04 USD el 13-oct-2026; 934,82 USD intradía el 14-oct a las 16:38 UTC) y Nasdaq.com (histórico: cierre de 1.004,04 USD el 13-oct); SPY para el índice; stockanalysis.com (933,50 USD a media sesión del 14-oct).</w:t>
      </w:r>
      <w:r>
        <w:t xml:space="preserve"> </w:t>
      </w:r>
      <w:r>
        <w:t xml:space="preserve">[5] MarketBeat (14-oct-2026): Susquehanna recorta de 1.300 a 1.270 USD; apertura a 1.002,72; BPA del 2T de 2,47 frente a 3,17 de consenso.</w:t>
      </w:r>
      <w:r>
        <w:t xml:space="preserve"> </w:t>
      </w:r>
      <w:r>
        <w:t xml:space="preserve">[6] stockanalysis.com / TheFly: JPMorgan de 1.330 a 1.150 USD (Sobreponderar, ~9-oct-2026); consenso Comprar de 37 analistas, objetivo medio de 1.224 USD; GLJ Research, Vender con 470 USD.</w:t>
      </w:r>
      <w:r>
        <w:t xml:space="preserve"> </w:t>
      </w:r>
      <w:r>
        <w:t xml:space="preserve">[7] MarketBeat / Defense World: Morgan Stanley rebaja a Infraponderar (3-ago-2026); BNP Paribas Exane, Neutral con 1.090 USD; Guggenheim, Comprar con 1.450 USD (13-oct).</w:t>
      </w:r>
      <w:r>
        <w:t xml:space="preserve"> </w:t>
      </w:r>
      <w:r>
        <w:t xml:space="preserve">[8] MarketScreener (consenso, 14-oct-2026): ventas de 46.328 / 52.924 / 60.733 M en 2026-2028; EBITDA de 6.346 / 9.582 / 13.151 M; FCF de 12.071 / 7.839 / 9.501 M; objetivo medio de 1.224,89 USD (37 analistas).</w:t>
      </w:r>
      <w:r>
        <w:t xml:space="preserve"> </w:t>
      </w:r>
      <w:r>
        <w:t xml:space="preserve">[9] Estimaciones propias: EBITDA NTM ~8.600 M y EV/EBITDA NTM de 30,1x al cierre; mediana desde la salida a bolsa ~28x y mínimo ~13x (aproximadas); comparables aproximados de memoria salvo Siemens Energy (informe propio) y Schneider/ABB (multiples.vc, vía el informe de Siemens Energy).</w:t>
      </w:r>
      <w:r>
        <w:t xml:space="preserve"> </w:t>
      </w:r>
      <w:r>
        <w:t xml:space="preserve">[10] Investing.com (14-oct-2026: caída en sesión de aversión al riesgo, recorte de objetivo y dudas sobre la calidad del beneficio antes del 28-oct); 24/7 Wall St. (31-ago-2026: caída tras el relevo del director financiero); TIKR (−6,5 % el 7-jul por la rebaja de Siemens Energy; entre los más vendidos en corto según Hazeltree); Motley Fool (jul y sep-2026: riesgo de burbuja). Movimientos de Vertiv, Constellation, Eaton y Siemens Energy del 14-oct: Yahoo Finance.</w:t>
      </w:r>
      <w:r>
        <w:t xml:space="preserve"> </w:t>
      </w:r>
      <w:r>
        <w:t xml:space="preserve">[11] SEC, formularios 4 de directivos y consejeros (dic-2025 a jun-2026) y 144 (1-jun-2026).</w:t>
      </w:r>
      <w:r>
        <w:t xml:space="preserve"> </w:t>
      </w:r>
      <w:r>
        <w:t xml:space="preserve">[12] GE Vernova, 8-K del 27-ago-2026 (ítem 5.02): Kenneth Parks se jubila; Claire McDonough (directora financiera de Rivian) le sustituye el 1-ene-2027; gevernova.com: webcast de resultados del 3T el 28-oct-2026.</w:t>
      </w:r>
      <w:r>
        <w:t xml:space="preserve"> </w:t>
      </w:r>
      <w:r>
        <w:t xml:space="preserve">[13] Eólica marina: Boston Globe / NHPR (16-17-sep-2026: acuerdo con Vineyard Wind que cierra el litigio); Boston Globe (28-ene-2026: pérdidas de ~600 M en eólica en 2025 y orden federal de paralización del 22-dic-2025); fracturas en Dogger Bank (prensa, 2025).</w:t>
      </w:r>
      <w:r>
        <w:t xml:space="preserve"> </w:t>
      </w:r>
      <w:r>
        <w:t xml:space="preserve">[14] Mercado alcanzable en 2028 (~350.000 M USD): estimación propia; la empresa no da una cifra única.</w:t>
      </w:r>
      <w:r>
        <w:t xml:space="preserve"> </w:t>
      </w:r>
      <w:r>
        <w:t xml:space="preserve">[15] De memoria: primera guía de ventas 2025 de 36.000-37.000 M USD (dic-2024), usada para el exceso sobre la guía.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2026-10-15T20:45:18Z</dcterms:created>
  <dcterms:modified xsi:type="dcterms:W3CDTF">2026-10-15T20:45:18Z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