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d0e72a2b28792342769e0f1858781ccf826b37"/>
    <w:p>
      <w:pPr>
        <w:pStyle w:val="Heading1"/>
      </w:pPr>
      <w:r>
        <w:t xml:space="preserve">Spotify Technology (SPOT): análisis growth, 14-oct-2026</w:t>
      </w:r>
    </w:p>
    <w:p>
      <w:pPr>
        <w:pStyle w:val="FirstParagraph"/>
      </w:pPr>
      <w:r>
        <w:rPr>
          <w:bCs/>
          <w:b/>
        </w:rPr>
        <w:t xml:space="preserve">Señal (método vigente v11): Mantener</w:t>
      </w:r>
      <w:r>
        <w:t xml:space="preserve"> </w:t>
      </w:r>
      <w:r>
        <w:t xml:space="preserve">· Puntuación 54,5/100 · Señales de cambio de tendencia 3/8 · EV/EBITDA 27,0 veces</w:t>
      </w:r>
      <w:r>
        <w:t xml:space="preserve"> </w:t>
      </w:r>
      <w:r>
        <w:t xml:space="preserve">Precio 527,45 USD (fecha del informe) · Objetivo 12 m 524,4 USD · Ponderada −0,6 % · Base −5,0 % · Bajista −43,6 % · Alcista +51,2 % · Compra hasta 499,5 USD</w:t>
      </w:r>
      <w:r>
        <w:t xml:space="preserve"> </w:t>
      </w:r>
      <w:r>
        <w:t xml:space="preserve">Peso orientativo: 0 % de la cartera · Por qué: no compra: puntuación &lt; 60, ponderada &lt; 5 %, base &lt; 0 %</w:t>
      </w:r>
      <w:r>
        <w:t xml:space="preserve"> </w:t>
      </w:r>
      <w:r>
        <w:t xml:space="preserve">Cabecera rehecha con la v11 el 15-oct (auditoría de homogeneidad). Antes decía (método v7): Mantener. El texto de abajo puede citar cifras de esa versión anterior; mandan las de esta cabecera.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Spotify es el líder mundial del streaming de audio: 777 M de usuarios activos al mes y 300 M de suscriptores de pago, con cerca del 32 % de las suscripciones de música del mundo [1][18].</w:t>
      </w:r>
    </w:p>
    <w:p>
      <w:pPr>
        <w:numPr>
          <w:ilvl w:val="0"/>
          <w:numId w:val="1001"/>
        </w:numPr>
        <w:pStyle w:val="Compact"/>
      </w:pPr>
      <w:r>
        <w:t xml:space="preserve">La historia ya no es de hipercrecimiento sino de márgenes. Las ventas crecen un 9 % en euros y un 14-15 % a tipo constante. El margen bruto pasó del 26 % al 33,4 % y el operativo al 13,7 %, con un FCF de 3.300 M EUR en 12 meses [1][3].</w:t>
      </w:r>
    </w:p>
    <w:p>
      <w:pPr>
        <w:numPr>
          <w:ilvl w:val="0"/>
          <w:numId w:val="1001"/>
        </w:numPr>
        <w:pStyle w:val="Compact"/>
      </w:pPr>
      <w:r>
        <w:t xml:space="preserve">La dirección apunta a 2030 con un margen bruto del 35-40 % y un margen operativo de más del 20 % [12]. Si lo cumple, el EBITDA casi se duplica en cuatro años.</w:t>
      </w:r>
    </w:p>
    <w:p>
      <w:pPr>
        <w:numPr>
          <w:ilvl w:val="0"/>
          <w:numId w:val="1001"/>
        </w:numPr>
        <w:pStyle w:val="Compact"/>
      </w:pPr>
      <w:r>
        <w:t xml:space="preserve">Por eso se valora por EV/EBITDA y no por EV/ventas. Con la regla, la base da +12,4 % y la ponderada +14,5 %, por debajo del listón growth del 20 %. La puntuación de 54,5 queda lejos de 70 porque el crecimiento ya no es growth y la penetración es alta.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Mantener.</w:t>
      </w:r>
      <w:r>
        <w:t xml:space="preserve"> </w:t>
      </w:r>
      <w:r>
        <w:t xml:space="preserve">Es buena empresa a un precio razonable, pero no es una oportunidad growth. El caso encaja mejor en el análisis value que en este bolsillo.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Premium (91 % de las ventas)</w:t>
      </w:r>
      <w:r>
        <w:t xml:space="preserve">: suscripción de música, con planes individual, dúo, familiar, estudiante y básico. Incluye audiolibros (15 h al mes en varios mercados más un complemento de pago) y, desde 2025-2026, funciones de calidad sin pérdida y de IA. En el 2T26 facturó 4.331 M EUR, un +15 % (+16 % a tipo constante)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 anuncios (9 %)</w:t>
      </w:r>
      <w:r>
        <w:t xml:space="preserve">: publicidad en música, pódcast (también en vídeo) y la plataforma programática. En el 2T26 facturó 446 M EUR, un +1 % (+3 % a tipo constante). Es el punto débil desde hace un año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Qué tiene de nuevo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personalización con datos de 777 M de usuarios (DJ con IA, listas a la carta);</w:t>
      </w:r>
    </w:p>
    <w:p>
      <w:pPr>
        <w:numPr>
          <w:ilvl w:val="1"/>
          <w:numId w:val="1003"/>
        </w:numPr>
        <w:pStyle w:val="Compact"/>
      </w:pPr>
      <w:r>
        <w:t xml:space="preserve">acuerdo con Universal Music para funciones de IA con licencia (remezclas y personalización de canciones), anunciado en el día del inversor del 21-may-2026 [12][17];</w:t>
      </w:r>
    </w:p>
    <w:p>
      <w:pPr>
        <w:numPr>
          <w:ilvl w:val="1"/>
          <w:numId w:val="1003"/>
        </w:numPr>
        <w:pStyle w:val="Compact"/>
      </w:pPr>
      <w:r>
        <w:t xml:space="preserve">expansión de los audiolibros de 22 a más de 180 mercados antes de fin de 2026 [16];</w:t>
      </w:r>
    </w:p>
    <w:p>
      <w:pPr>
        <w:numPr>
          <w:ilvl w:val="1"/>
          <w:numId w:val="1003"/>
        </w:numPr>
        <w:pStyle w:val="Compact"/>
      </w:pPr>
      <w:r>
        <w:t xml:space="preserve">el pódcast en vídeo.</w:t>
      </w:r>
    </w:p>
    <w:p>
      <w:pPr>
        <w:numPr>
          <w:ilvl w:val="0"/>
          <w:numId w:val="1002"/>
        </w:numPr>
        <w:pStyle w:val="Compact"/>
      </w:pPr>
      <w:r>
        <w:t xml:space="preserve">El catálogo es el mismo que tienen Apple, YouTube y Amazon. Lo diferencial es la escala, los datos y el producto, no el contenido. Por eso la tecnología puntúa 4 y no 5.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(M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Interanual (EUR)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operativo (M 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≈+15 %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≈+12 %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≈+13 %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≈+17 %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</w:t>
            </w:r>
          </w:p>
        </w:tc>
      </w:tr>
    </w:tbl>
    <w:p>
      <w:pPr>
        <w:pStyle w:val="BodyText"/>
      </w:pPr>
      <w:r>
        <w:t xml:space="preserve">Fuentes: [1][3]. Las cifras en tipo constante son las que comunica la empresa, redondeadas.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(M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+9,7 % (≈+13 % a tipo constante)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2026e (propia)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≈19.557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≈+13,8 %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meses a 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+9,0 %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Ventas de 12 meses</w:t>
      </w:r>
      <w:r>
        <w:t xml:space="preserve">: +9,0 % en EUR [3].</w:t>
      </w:r>
      <w:r>
        <w:t xml:space="preserve"> </w:t>
      </w:r>
      <w:r>
        <w:rPr>
          <w:bCs/>
          <w:b/>
        </w:rPr>
        <w:t xml:space="preserve">CAGR propio a 2 años</w:t>
      </w:r>
      <w:r>
        <w:t xml:space="preserve">: +11,9 %, de 14.473 a 18.110 M EUR.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Aceleración</w:t>
      </w:r>
      <w:r>
        <w:t xml:space="preserve">: +5,9 pp. El 2T26 creció un 13,9 %, frente a una media del 8,0 % en los cuatro trimestres anteriores. Ojo: casi todo es efecto divisa. A tipo constante, la aceleración es de ≈+1,5 pp (15 % frente a ≈13,5 %). El motor usa la cifra en EUR. Con la de tipo constante, el bloque A sumaría prácticamente lo mismo (más puntos en ventas y menos en aceleración).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Usuarios</w:t>
      </w:r>
      <w:r>
        <w:t xml:space="preserve">: 777 M de MAU (+12 %), 1 M por debajo de la guía. 300 M de suscriptores (+9 %), 1 M por encima de la guía. La guía del 3T26 (788 M de MAU) decepcionó por la optimización en India e Indonesia [1].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Retención (NRR)</w:t>
      </w:r>
      <w:r>
        <w:t xml:space="preserve">: no aplica a un negocio de consumo y Spotify no la publica (</w:t>
      </w:r>
      <w:r>
        <w:rPr>
          <w:rStyle w:val="VerbatimChar"/>
        </w:rPr>
        <w:t xml:space="preserve">null</w:t>
      </w:r>
      <w:r>
        <w:t xml:space="preserve">). La rotación de Premium está en mínimos históricos según la empresa, sin cifra publicada.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Guía 3T26</w:t>
      </w:r>
      <w:r>
        <w:t xml:space="preserve">: 5.000 M EUR de ingresos, margen bruto del 32,9 % y 670 M EUR de beneficio operativo, por debajo de los ≈678 M del consenso. Habrá unos 200 M EUR más de gasto anual en marketing e IA, que se moderará en el 4T [1].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Mercado alcanzable 2028 ≈ 90.000 M USD (estimación propia)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suscripción de música al consumidor ≈ 70.000 M USD. Spotify factura ≈18.500 M USD en Premium con ≈32 % de los suscriptores mundiales [18]; eso da ≈55.000 M en 2025, y se proyecta un crecimiento del ≈8-10 % anual (Goldman cuenta 827 M de suscriptores de pago en 2025 y casi el doble en 2035) [18];</w:t>
      </w:r>
    </w:p>
    <w:p>
      <w:pPr>
        <w:numPr>
          <w:ilvl w:val="1"/>
          <w:numId w:val="1006"/>
        </w:numPr>
        <w:pStyle w:val="Compact"/>
      </w:pPr>
      <w:r>
        <w:t xml:space="preserve">publicidad de audio y pódcast, y audiolibros: ≈20.000 M USD.</w:t>
      </w:r>
    </w:p>
    <w:p>
      <w:pPr>
        <w:numPr>
          <w:ilvl w:val="1"/>
          <w:numId w:val="1006"/>
        </w:numPr>
        <w:pStyle w:val="Compact"/>
      </w:pPr>
      <w:r>
        <w:t xml:space="preserve">La «estrella polar» de la empresa (100.000 M USD de ingresos y 1.000 M de suscriptores) es una ambición, no un mercado alcanzable [12].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Penetración</w:t>
      </w:r>
      <w:r>
        <w:t xml:space="preserve">: 22,7 % (20.408 M USD de ventas de 12 meses sobre 90.000 M), así que puntúa 1 de 5. Spotify ya es el actor más grande de un mercado maduro en los países ricos. El crecimiento de usuarios viene de mercados emergentes, con menos ingreso por usuario.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Rivales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YouTube Music/Premium (≈125 M o más) y Apple Music (≈108 M), según estimaciones [18];</w:t>
      </w:r>
    </w:p>
    <w:p>
      <w:pPr>
        <w:numPr>
          <w:ilvl w:val="1"/>
          <w:numId w:val="1007"/>
        </w:numPr>
        <w:pStyle w:val="Compact"/>
      </w:pPr>
      <w:r>
        <w:t xml:space="preserve">Amazon Music;</w:t>
      </w:r>
    </w:p>
    <w:p>
      <w:pPr>
        <w:numPr>
          <w:ilvl w:val="1"/>
          <w:numId w:val="1007"/>
        </w:numPr>
        <w:pStyle w:val="Compact"/>
      </w:pPr>
      <w:r>
        <w:t xml:space="preserve">Tencent Music en China, donde Spotify no está.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Por qué gana</w:t>
      </w:r>
      <w:r>
        <w:t xml:space="preserve">: está en todos los dispositivos, tiene el mejor producto de descubrimiento, un plan gratuito que alimenta la conversión y no depende de un ecosistema de hardware.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Riesgo competitivo nuevo</w:t>
      </w:r>
      <w:r>
        <w:t xml:space="preserve">: la música generada con IA (Suno, Udio) y las plataformas de IA de las discográficas. El mercado lo castigó en el 1T y el 2T de 2026 [13]. Posición: 4 de 5. Es líder claro, pero su cuota está estable, no crece.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Zacks bajó el BPA 2026 de 15,73 a 14,45 USD tras el 1T y el 2T. En octubre, Evercore sube el objetivo a 700 USD, pero UBS lo baja a 675 y KeyBanc a 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527,45 frente a ≈513 USD, con un cruce al alza reciente (472,89 el 2-oct). La media de 200 sigue plana o a la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≈+2 % desde el 24-abr (518 USD) y −9 % en el año, con el S&amp;P 500 en máximos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EV/ventas de 12 meses sube de ≈3,7x en el mínimo de 52 semanas a ≈4,9x hoy (+31 %)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[2][3][9]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margen operativo mejora 4,0 pp en el trimestre y 3,5 pp en 12 meses, por debajo de los 5 pp. Ya era rentable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Sigue mixto: miedo a la IA y guías flojas, con un rebote corto en octubre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[12][13][14]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fundadores venden (Lorentzon ≈81,5 M USD en julio; Ek en febrero y abril)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Objetivos 2030 y acuerdo de IA con Universal (21-may); audiolibros en más de 180 mercados (7-oct)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[12][16][17]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La acción cae un 33 % en un año y un 9 % en 2026. Bloque C: 3 señales × 2,5 = 7,5 puntos.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Margen bruto</w:t>
      </w:r>
      <w:r>
        <w:t xml:space="preserve">: 32,8 % en 12 meses y 33,4 % en el 2T26, un récord. Es bajo para growth porque ≈2/3 de las ventas van a regalías. Puntúa 2 de 5. El objetivo para 2030 es del 35-40 % [12].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Regla del 40</w:t>
      </w:r>
      <w:r>
        <w:t xml:space="preserve">: 9,0 % de crecimiento + 18,2 % de margen FCF =</w:t>
      </w:r>
      <w:r>
        <w:t xml:space="preserve"> </w:t>
      </w:r>
      <w:r>
        <w:rPr>
          <w:bCs/>
          <w:b/>
        </w:rPr>
        <w:t xml:space="preserve">27,2</w:t>
      </w:r>
      <w:r>
        <w:t xml:space="preserve">, que puntúa 1 de 5. A tipo constante serían ≈32.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FCF</w:t>
      </w:r>
      <w:r>
        <w:t xml:space="preserve">: 3.300 M EUR en 12 meses (2.900 M EUR en 2025) y creciente, así que la rentabilidad puntúa 5 [1][3]. Beneficio neto del 2T26: 545 M EUR, con un BPA diluido de 2,61 EUR [1].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el beneficio bruto crece por encima de las ventas (en 2025, +20 % frente a +13 % a tipo constante) y el beneficio operativo de 2025 subió más de un 50 % [3]. El freno de 2026 es el gasto extra en marketing e IA (≈200 M EUR) y las cargas sociales ligadas a la cotización, que hacen volátil el beneficio operativo [1].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Caja</w:t>
      </w:r>
      <w:r>
        <w:t xml:space="preserve">: 9.400 M EUR (≈10.593 M USD) en caja, equivalentes, caja restringida e inversiones a corto, a 30-jun-2026 [1].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Deuda</w:t>
      </w:r>
      <w:r>
        <w:t xml:space="preserve">: sin deuda financiera. Los 1.458 M EUR de bonos canjeables se liquidaron en efectivo en marzo de 2026 [1][3]. Hay pasivos por arrendamiento que no se han podido cifrar sin el 6-K y no se restan, lo que sobrevalora el precio en pocos dólares.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Pista</w:t>
      </w:r>
      <w:r>
        <w:t xml:space="preserve">: FCF positivo.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Dilución</w:t>
      </w:r>
      <w:r>
        <w:t xml:space="preserve">: +0,2 % en un año (205,4 → 205,8 M de acciones medias). Las recompras (662 M USD en lo que va de año hasta el 3-ago) compensan los pagos en acciones [1].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Pagos en acciones</w:t>
      </w:r>
      <w:r>
        <w:t xml:space="preserve">: ≈247 M EUR en 2025, un 1,4 % de las ventas [19], muy lejos del umbral rojo del 15 %. Las</w:t>
      </w:r>
      <w:r>
        <w:t xml:space="preserve"> </w:t>
      </w:r>
      <w:r>
        <w:rPr>
          <w:bCs/>
          <w:b/>
        </w:rPr>
        <w:t xml:space="preserve">cargas sociales</w:t>
      </w:r>
      <w:r>
        <w:t xml:space="preserve"> </w:t>
      </w:r>
      <w:r>
        <w:t xml:space="preserve">sobre esos pagos dependen de la cotización y mueven el beneficio operativo hasta ±100 M EUR por trimestre.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Historial (4/5)</w:t>
      </w:r>
      <w:r>
        <w:t xml:space="preserve">: en los últimos 8 trimestres, el beneficio operativo cumplió o superó la guía 6 veces. Falló en el 1T25 y el 2T25 por las cargas sociales. Los suscriptores casi siempre cumplen o superan la guía; los usuarios y la publicidad, a menudo no [1][3].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Dirección (3/5)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desde el 1-ene-2026 la dirigen dos consejeros delegados, Gustav Söderström y Alex Norström, y Daniel Ek pasó a presidente ejecutivo;</w:t>
      </w:r>
    </w:p>
    <w:p>
      <w:pPr>
        <w:numPr>
          <w:ilvl w:val="1"/>
          <w:numId w:val="1011"/>
        </w:numPr>
        <w:pStyle w:val="Compact"/>
      </w:pPr>
      <w:r>
        <w:t xml:space="preserve">los fundadores conservan ≈16 % del capital y el control del voto;</w:t>
      </w:r>
    </w:p>
    <w:p>
      <w:pPr>
        <w:numPr>
          <w:ilvl w:val="1"/>
          <w:numId w:val="1011"/>
        </w:numPr>
        <w:pStyle w:val="Compact"/>
      </w:pPr>
      <w:r>
        <w:t xml:space="preserve">venden con regularidad: Ek suma más de 800 M USD desde 2023 y Lorentzon vendió ≈81,5 M en julio de 2026 [15];</w:t>
      </w:r>
    </w:p>
    <w:p>
      <w:pPr>
        <w:numPr>
          <w:ilvl w:val="1"/>
          <w:numId w:val="1011"/>
        </w:numPr>
        <w:pStyle w:val="Compact"/>
      </w:pPr>
      <w:r>
        <w:t xml:space="preserve">la asignación de capital es sensata: recompras, bonos liquidados sin dilución y nada de compras caras.</w:t>
      </w:r>
    </w:p>
    <w:p>
      <w:pPr>
        <w:numPr>
          <w:ilvl w:val="1"/>
          <w:numId w:val="1011"/>
        </w:numPr>
        <w:pStyle w:val="Compact"/>
      </w:pPr>
      <w:r>
        <w:t xml:space="preserve">Resta puntos el patrón de ventas de los fundadores.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Por qué EV/EBITDA y no EV/ventas.</w:t>
      </w:r>
      <w:r>
        <w:t xml:space="preserve"> </w:t>
      </w:r>
      <w:r>
        <w:t xml:space="preserve">- Spotify gana dinero de forma estable desde 2024 (beneficio neto, operativo y FCF positivos).</w:t>
      </w:r>
      <w:r>
        <w:t xml:space="preserve"> </w:t>
      </w:r>
      <w:r>
        <w:t xml:space="preserve">- Su tesis es de</w:t>
      </w:r>
      <w:r>
        <w:t xml:space="preserve"> </w:t>
      </w:r>
      <w:r>
        <w:rPr>
          <w:bCs/>
          <w:b/>
        </w:rPr>
        <w:t xml:space="preserve">expansión de margen</w:t>
      </w:r>
      <w:r>
        <w:t xml:space="preserve">: el operativo pasa del 13-15 % a más del 20 % [12]. El EV/ventas no ve esa mejora y castigaría a la empresa por lo que precisamente la hace más valiosa. El método permite el cambio en este caso (§2.3).</w:t>
      </w:r>
      <w:r>
        <w:t xml:space="preserve"> </w:t>
      </w:r>
      <w:r>
        <w:t xml:space="preserve">- La pega: el histórico de EV/EBITDA a 3 años incluye un periodo con EBITDA negativo o casi nulo. Por eso la mediana (≈41x) y el mínimo (≈25x) se calculan solo con los meses de EBITDA positivo (2024: 52,6x; 2025: 41,1x; 2026: 25-37x) [5]. Ninguno de los dos acaba atando el cálculo: la base sale del múltiplo actual, el bajista de base × 0,6 y el alcista del techo base × 1,4.</w:t>
      </w:r>
      <w:r>
        <w:t xml:space="preserve"> </w:t>
      </w:r>
      <w:r>
        <w:t xml:space="preserve">- En</w:t>
      </w:r>
      <w:r>
        <w:t xml:space="preserve"> </w:t>
      </w:r>
      <w:r>
        <w:rPr>
          <w:rStyle w:val="VerbatimChar"/>
        </w:rPr>
        <w:t xml:space="preserve">datos.json</w:t>
      </w:r>
      <w:r>
        <w:t xml:space="preserve">, el campo</w:t>
      </w:r>
      <w:r>
        <w:t xml:space="preserve"> </w:t>
      </w:r>
      <w:r>
        <w:rPr>
          <w:rStyle w:val="VerbatimChar"/>
        </w:rPr>
        <w:t xml:space="preserve">ventas_objetivo_m</w:t>
      </w:r>
      <w:r>
        <w:t xml:space="preserve"> </w:t>
      </w:r>
      <w:r>
        <w:t xml:space="preserve">contiene el</w:t>
      </w:r>
      <w:r>
        <w:t xml:space="preserve"> </w:t>
      </w:r>
      <w:r>
        <w:rPr>
          <w:bCs/>
          <w:b/>
        </w:rPr>
        <w:t xml:space="preserve">EBITDA 2028</w:t>
      </w:r>
      <w:r>
        <w:t xml:space="preserve"> </w:t>
      </w:r>
      <w:r>
        <w:t xml:space="preserve">de cada escenario, porque el motor multiplica múltiplo × esa cifra.</w:t>
      </w:r>
    </w:p>
    <w:p>
      <w:pPr>
        <w:pStyle w:val="BodyText"/>
      </w:pPr>
      <w:r>
        <w:rPr>
          <w:bCs/>
          <w:b/>
        </w:rPr>
        <w:t xml:space="preserve">Supuestos (proyección propia; el consenso solo sirve de contraste)</w:t>
      </w:r>
      <w:r>
        <w:t xml:space="preserve">:</w:t>
      </w:r>
      <w:r>
        <w:t xml:space="preserve"> </w:t>
      </w:r>
      <w:r>
        <w:t xml:space="preserve">- EBITDA = beneficio operativo + amortizaciones (≈0,9 % de las ventas).</w:t>
      </w:r>
      <w:r>
        <w:t xml:space="preserve"> </w:t>
      </w:r>
      <w:r>
        <w:t xml:space="preserve">- Múltiplo actual = EV de 99.570 M USD (capitalización de 110.163 M − caja de 10.593 M) ÷ EBITDA de los próximos 12 meses de ≈3.682 M USD (3.267 M EUR) =</w:t>
      </w:r>
      <w:r>
        <w:t xml:space="preserve"> </w:t>
      </w:r>
      <w:r>
        <w:rPr>
          <w:bCs/>
          <w:b/>
        </w:rPr>
        <w:t xml:space="preserve">27,0x</w:t>
      </w:r>
      <w:r>
        <w:t xml:space="preserve">. Encaja con los 26,7x adelantados de marzo y los 27,3x de junio [5].</w:t>
      </w:r>
      <w:r>
        <w:t xml:space="preserve"> </w:t>
      </w:r>
      <w:r>
        <w:t xml:space="preserve">- Crecimiento de ventas en los próximos 12 meses: 14,7 %. En 2028, escenario base: 12 %. Factor de desaceleración: 0,816.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2028 (M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23.022 (+9 %/+8 %)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24.751 (+13 %/+12 %)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25.639 (+15 %/+14 %)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+75,4 %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603,9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535,9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+14,5 %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Asimetría</w:t>
      </w:r>
      <w:r>
        <w:t xml:space="preserve">: 1,8 (alcista ÷ bajista).</w:t>
      </w:r>
      <w:r>
        <w:t xml:space="preserve"> </w:t>
      </w:r>
      <w:r>
        <w:rPr>
          <w:bCs/>
          <w:b/>
        </w:rPr>
        <w:t xml:space="preserve">Precio máximo de compra</w:t>
      </w:r>
      <w:r>
        <w:t xml:space="preserve">: 503,3 USD (≈446,6 EUR).</w:t>
      </w:r>
    </w:p>
    <w:p>
      <w:pPr>
        <w:numPr>
          <w:ilvl w:val="0"/>
          <w:numId w:val="1012"/>
        </w:numPr>
        <w:pStyle w:val="Compact"/>
      </w:pPr>
      <w:r>
        <w:t xml:space="preserve">Acciones dentro de 12 meses: 209,28 M (+0,2 %). El motor no suma el FCF del año (≈4.000 M USD) a la caja, porque se va casi entero a recompras, así que es conservador.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Contraste con EV/ventas</w:t>
      </w:r>
      <w:r>
        <w:t xml:space="preserve">: con la misma regla (4,25x de los próximos 12 meses × 0,816 sobre 27.900 M USD de ventas 2028) la base daría ≈513 USD, un −3 %. La diferencia es justamente la expansión de margen.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 592,75 USD (Defense World, 7-oct) o 611,68 USD (MarketBeat), con 34 de 41 analistas en comprar [7][8]. Está en línea con nuestra base. No se encontró el consenso de ventas de 2028 (</w:t>
      </w:r>
      <w:r>
        <w:rPr>
          <w:rStyle w:val="VerbatimChar"/>
        </w:rPr>
        <w:t xml:space="preserve">null</w:t>
      </w:r>
      <w:r>
        <w:t xml:space="preserve">). Para 2026, Zacks espera 22.510 M USD, cerca de nuestros ≈22.040 M USD.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DCF inverso</w:t>
      </w:r>
      <w:r>
        <w:t xml:space="preserve">: con un coste de capital del 9,5 % y un crecimiento final del 3 %, el precio descuenta que el FCF (≈3.720 M USD) crezca</w:t>
      </w:r>
      <w:r>
        <w:t xml:space="preserve"> </w:t>
      </w:r>
      <w:r>
        <w:rPr>
          <w:bCs/>
          <w:b/>
        </w:rPr>
        <w:t xml:space="preserve">≈10 % al año durante 10 años</w:t>
      </w:r>
      <w:r>
        <w:t xml:space="preserve">. Es razonable si las ventas crecen a doble dígito bajo y el margen sube. No es barato, pero tampoco exige un milagro.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Prensa y analistas</w:t>
      </w:r>
      <w:r>
        <w:t xml:space="preserve">: el tono es mixto. Hay compra mayoritaria (34 de 41), pero con recortes de objetivo tras el 1T (cuatro firmas) y revisiones de BPA a la baja [6][13]. En octubre:</w:t>
      </w:r>
    </w:p>
    <w:p>
      <w:pPr>
        <w:numPr>
          <w:ilvl w:val="1"/>
          <w:numId w:val="1014"/>
        </w:numPr>
        <w:pStyle w:val="Compact"/>
      </w:pPr>
      <w:r>
        <w:t xml:space="preserve">BofA reafirma comprar con un objetivo de 685 USD;</w:t>
      </w:r>
    </w:p>
    <w:p>
      <w:pPr>
        <w:numPr>
          <w:ilvl w:val="1"/>
          <w:numId w:val="1014"/>
        </w:numPr>
        <w:pStyle w:val="Compact"/>
      </w:pPr>
      <w:r>
        <w:t xml:space="preserve">Evercore sube a 700 USD por las funciones de IA;</w:t>
      </w:r>
    </w:p>
    <w:p>
      <w:pPr>
        <w:numPr>
          <w:ilvl w:val="1"/>
          <w:numId w:val="1014"/>
        </w:numPr>
        <w:pStyle w:val="Compact"/>
      </w:pPr>
      <w:r>
        <w:t xml:space="preserve">UBS y KeyBanc recortan un poco [8][10].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Reddit (r/stocks, r/investing, r/spotify)</w:t>
      </w:r>
      <w:r>
        <w:t xml:space="preserve">: no se pudo leer directamente (el acceso está bloqueado desde esta sesión). Lo que recogen los agregadores es el debate de «comprar la caída» frente a «PER de ≈30x con usuarios frenando». En r/spotify, las quejas de usuarios por subidas de precio y por la música hecha con IA se repiten [13][14].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StockTwits / X</w:t>
      </w:r>
      <w:r>
        <w:t xml:space="preserve">: no se obtuvo la lectura alcista o bajista del día. Las piezas de mayo a julio hablan de consolidación cerca de soportes y de ventas de fondos [14].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Seeking Alpha</w:t>
      </w:r>
      <w:r>
        <w:t xml:space="preserve">: el análisis más citado tras el día del inversor (+13,1 %) va en la línea de «el margen manda». No se encontraron artículos fechados en octubre [12].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 castellano (Rankia, Investing ES)</w:t>
      </w:r>
      <w:r>
        <w:t xml:space="preserve">: no aparecen hilos recientes. La prensa en castellano (Ámbito, Forbes México, TIKR ES) se centra en la caída del 12 % del 28-abr por la guía y en el BPA, que se triplica [13].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miedo a la IA no aparece en las cifras. Los suscriptores crecen un 9 %, el margen bruto marca récords y la rotación está en mínimos. El sentimiento es peor que el negocio, pero no ha girado: sin euforia y sin giro claro a positivo.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Música generada con IA</w:t>
      </w:r>
      <w:r>
        <w:t xml:space="preserve">: inunda el catálogo y abarata el valor del contenido, y las discográficas negocian con las tecnológicas de IA. Es el riesgo que más mueve el precio.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Regalías</w:t>
      </w:r>
      <w:r>
        <w:t xml:space="preserve">: las discográficas pueden exigir más en las renovaciones, lo que frenaría el margen bruto (objetivo del 35-40 %).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Gigantes</w:t>
      </w:r>
      <w:r>
        <w:t xml:space="preserve">: Apple, Google y Amazon pueden empaquetar la música con otros servicios y regalarla.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Usuarios y publicidad</w:t>
      </w:r>
      <w:r>
        <w:t xml:space="preserve">: los usuarios por debajo de la guía y la publicidad estancada (+1 %).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Divisa</w:t>
      </w:r>
      <w:r>
        <w:t xml:space="preserve">: reporta en EUR y cotiza en USD. Un dólar más débil sube el precio en USD, pero al inversor europeo no le cambia nada.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Cargas sociales y gasto en IA</w:t>
      </w:r>
      <w:r>
        <w:t xml:space="preserve">: hacen volátil el beneficio operativo trimestral.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Gobierno</w:t>
      </w:r>
      <w:r>
        <w:t xml:space="preserve">: los fundadores tienen el control del voto y venden con regularidad.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dos trimestres seguidos con los ingresos a tipo constante por debajo del 10 %;</w:t>
      </w:r>
      <w:r>
        <w:t xml:space="preserve"> </w:t>
      </w:r>
      <w:r>
        <w:t xml:space="preserve">- suscriptores netos negativos en un trimestre;</w:t>
      </w:r>
      <w:r>
        <w:t xml:space="preserve"> </w:t>
      </w:r>
      <w:r>
        <w:t xml:space="preserve">- margen bruto por debajo del 31 % dos trimestres seguidos;</w:t>
      </w:r>
      <w:r>
        <w:t xml:space="preserve"> </w:t>
      </w:r>
      <w:r>
        <w:t xml:space="preserve">- recorte de los objetivos 2030;</w:t>
      </w:r>
      <w:r>
        <w:t xml:space="preserve"> </w:t>
      </w:r>
      <w:r>
        <w:t xml:space="preserve">- pérdida de una licencia de una discográfica grande.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22-oct-2026</w:t>
      </w:r>
      <w:r>
        <w:t xml:space="preserve">: resultados del 3T26, antes de la apertura. La guía es de 5.000 M EUR de ventas, 670 M EUR de beneficio operativo, 788 M de MAU y 305 M de suscriptores [1][10]. Lo clave será la guía del 4T y si el gasto en IA se modera.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4T26</w:t>
      </w:r>
      <w:r>
        <w:t xml:space="preserve">: audiolibros en más de 180 mercados [16]. Lanzamiento de las funciones de IA con licencia de Universal (remezclas), sin fecha cerrada [17].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Febrero de 2027</w:t>
      </w:r>
      <w:r>
        <w:t xml:space="preserve">: resultados del 4T26 y posibles subidas de precio en EE. UU. y Europa.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Recompras</w:t>
      </w:r>
      <w:r>
        <w:t xml:space="preserve">: continuas.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 cartera value propuesta</w:t>
      </w:r>
      <w:r>
        <w:t xml:space="preserve"> </w:t>
      </w:r>
      <w:r>
        <w:t xml:space="preserve">tiene IGLN, Edenred, Daiichi Sankyo, Uber, Viscofan, Alphabet, Netflix, SAP, Intuit, Nemetschek y LVMH, más liquidez. El bolsillo growth puede llegar al 20 %.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Spotify no merece hueco en el bolsillo growth hoy.</w:t>
      </w:r>
    </w:p>
    <w:p>
      <w:pPr>
        <w:numPr>
          <w:ilvl w:val="1"/>
          <w:numId w:val="1018"/>
        </w:numPr>
        <w:pStyle w:val="Compact"/>
      </w:pPr>
      <w:r>
        <w:t xml:space="preserve">La señal es Mantener: puntuación de 54,5 (mínimo 70) y ponderada de +14,5 % (mínimo 20 %).</w:t>
      </w:r>
    </w:p>
    <w:p>
      <w:pPr>
        <w:numPr>
          <w:ilvl w:val="1"/>
          <w:numId w:val="1018"/>
        </w:numPr>
        <w:pStyle w:val="Compact"/>
      </w:pPr>
      <w:r>
        <w:t xml:space="preserve">A la puntuación le faltan 15,5 puntos, y no se arregla con el precio. El crecimiento (9 % en EUR) y la penetración (≈23 %) ya no son de empresa growth.</w:t>
      </w:r>
    </w:p>
    <w:p>
      <w:pPr>
        <w:numPr>
          <w:ilvl w:val="1"/>
          <w:numId w:val="1018"/>
        </w:numPr>
        <w:pStyle w:val="Compact"/>
      </w:pPr>
      <w:r>
        <w:t xml:space="preserve">Ni siquiera por debajo de 503 USD pasaría a Comprar. Solo cambiaría con una aceleración real a tipo constante (más del 18-20 %), revisiones al alza y un giro del sentimiento, y aun así le costaría llegar a 70.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Solape con Netflix</w:t>
      </w:r>
      <w:r>
        <w:t xml:space="preserve">: los dos son suscripción de entretenimiento al consumidor y compiten por el tiempo y el gasto del mismo cliente. Les afectan los mismos riesgos (IA generativa en contenido, saturación de suscripciones, subidas de precio) y los dos se valoran por la mejora del margen. Netflix ya pesa ≈4,9 % (1.448 EUR). Sumar Spotify concentraría el riesgo de «streaming de consumo» sin añadir un motor nuevo.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 algún día diera Comprar con convicción baja</w:t>
      </w:r>
      <w:r>
        <w:t xml:space="preserve">, el método le asignaría un 3,5 %, justo por encima del mínimo. Se pagaría con liquidez y entraría en dos tramos.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Recomendación</w:t>
      </w:r>
      <w:r>
        <w:t xml:space="preserve">: no entra. Si interesa, estudiarla en la vertical value, donde su FCF, su balance sin deuda y su margen al alza encajan mejor, y siempre frente a Netflix.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de 12 meses +9,0 % (0); CAGR a 2 años +11,9 % (1); aceleración +5,9 pp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22,7 % (1); tecnología 4;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 señales (media de 200, múltiplo, catalizador);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32,8 % (2); regla del 40 = 27,2 (1);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(5); dilución +0,2 %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4; dirección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Mantener: no compra por puntuación &lt; 70 y ponderada &lt; 20 %</w:t>
            </w:r>
          </w:p>
        </w:tc>
      </w:tr>
    </w:tbl>
    <w:p>
      <w:pPr>
        <w:pStyle w:val="BodyText"/>
      </w:pPr>
      <w:r>
        <w:rPr>
          <w:bCs/>
          <w:b/>
        </w:rPr>
        <w:t xml:space="preserve">Dudas sobre los datos</w:t>
      </w:r>
      <w:r>
        <w:t xml:space="preserve">:</w:t>
      </w:r>
      <w:r>
        <w:t xml:space="preserve"> </w:t>
      </w:r>
      <w:r>
        <w:t xml:space="preserve">- No se pudieron abrir el 6-K ni el 20-F (acceso a sec.gov bloqueado), así que las cifras salen de resúmenes de prensa del 6-K.</w:t>
      </w:r>
      <w:r>
        <w:t xml:space="preserve"> </w:t>
      </w:r>
      <w:r>
        <w:t xml:space="preserve">- Los ingresos del 3T25 y anteriores, el desglose del margen bruto del 4T25 y del 1T26, las amortizaciones (≈0,9 % de las ventas) y la mediana y el mínimo del EV/EBITDA son aproximados.</w:t>
      </w:r>
      <w:r>
        <w:t xml:space="preserve"> </w:t>
      </w:r>
      <w:r>
        <w:t xml:space="preserve">- Faltan los pasivos por arrendamiento, el consenso de ventas de 2028 y el tipo EUR/USD exacto del 13-oct.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numPr>
          <w:ilvl w:val="0"/>
          <w:numId w:val="1019"/>
        </w:numPr>
        <w:pStyle w:val="Compact"/>
      </w:pPr>
      <w:r>
        <w:t xml:space="preserve">Spotify, carta al accionista y 6-K del 2T26 (4-ago-2026): ingresos 4.777 M EUR, margen bruto 33,4 %, beneficio operativo 655 M EUR, FCF 797 M EUR, caja e inversiones 9.400 M EUR, bonos canjeables 0, 208,86 M de acciones diluidas, guía del 3T26.</w:t>
      </w:r>
    </w:p>
    <w:p>
      <w:pPr>
        <w:numPr>
          <w:ilvl w:val="0"/>
          <w:numId w:val="1019"/>
        </w:numPr>
        <w:pStyle w:val="Compact"/>
      </w:pPr>
      <w:r>
        <w:t xml:space="preserve">Yahoo Finance y Morningstar, cotización de SPOT: cierre del 13-oct-2026, 527,45 USD; MarketBeat, 529,52 USD el 9-oct.</w:t>
      </w:r>
    </w:p>
    <w:p>
      <w:pPr>
        <w:numPr>
          <w:ilvl w:val="0"/>
          <w:numId w:val="1019"/>
        </w:numPr>
        <w:pStyle w:val="Compact"/>
      </w:pPr>
      <w:r>
        <w:t xml:space="preserve">Spotify, resultados del 1T26 (28-abr-2026), del 4T25 (10-feb-2026) y trimestres anteriores (6-K): ingresos, beneficio operativo y FCF por trimestre.</w:t>
      </w:r>
    </w:p>
    <w:p>
      <w:pPr>
        <w:numPr>
          <w:ilvl w:val="0"/>
          <w:numId w:val="1019"/>
        </w:numPr>
        <w:pStyle w:val="Compact"/>
      </w:pPr>
      <w:r>
        <w:t xml:space="preserve">BCE, tipo de referencia EUR/USD 1,1269 (6-oct-2026).</w:t>
      </w:r>
    </w:p>
    <w:p>
      <w:pPr>
        <w:numPr>
          <w:ilvl w:val="0"/>
          <w:numId w:val="1019"/>
        </w:numPr>
        <w:pStyle w:val="Compact"/>
      </w:pPr>
      <w:r>
        <w:t xml:space="preserve">TickerLeague, Seeking Alpha y MarketScreener: EV/EBITDA histórico de SPOT.</w:t>
      </w:r>
    </w:p>
    <w:p>
      <w:pPr>
        <w:numPr>
          <w:ilvl w:val="0"/>
          <w:numId w:val="1019"/>
        </w:numPr>
        <w:pStyle w:val="Compact"/>
      </w:pPr>
      <w:r>
        <w:t xml:space="preserve">Zacks/Nasdaq: estimaciones de consenso tras el 1T26 y el 2T26.</w:t>
      </w:r>
    </w:p>
    <w:p>
      <w:pPr>
        <w:numPr>
          <w:ilvl w:val="0"/>
          <w:numId w:val="1019"/>
        </w:numPr>
        <w:pStyle w:val="Compact"/>
      </w:pPr>
      <w:r>
        <w:t xml:space="preserve">MarketBeat: notas de Erste y KeyCorp (27 y 29-jul-2026); consenso de precio objetivo de 611,68 USD.</w:t>
      </w:r>
    </w:p>
    <w:p>
      <w:pPr>
        <w:numPr>
          <w:ilvl w:val="0"/>
          <w:numId w:val="1019"/>
        </w:numPr>
        <w:pStyle w:val="Compact"/>
      </w:pPr>
      <w:r>
        <w:t xml:space="preserve">TheFly/TipRanks, Fox Business y Defense World (7-oct-2026): Evercore, UBS, KeyBanc; consenso de 592,75 USD.</w:t>
      </w:r>
    </w:p>
    <w:p>
      <w:pPr>
        <w:numPr>
          <w:ilvl w:val="0"/>
          <w:numId w:val="1019"/>
        </w:numPr>
        <w:pStyle w:val="Compact"/>
      </w:pPr>
      <w:r>
        <w:t xml:space="preserve">Equibles (medias de 50 y 200 sesiones) y ChartRow (cierre del 2-oct).</w:t>
      </w:r>
    </w:p>
    <w:p>
      <w:pPr>
        <w:numPr>
          <w:ilvl w:val="0"/>
          <w:numId w:val="1019"/>
        </w:numPr>
        <w:pStyle w:val="Compact"/>
      </w:pPr>
      <w:r>
        <w:t xml:space="preserve">TIKR (9-oct-2026): evolución desde el 30-sep y en el año; fecha del 3T26.</w:t>
      </w:r>
    </w:p>
    <w:p>
      <w:pPr>
        <w:numPr>
          <w:ilvl w:val="0"/>
          <w:numId w:val="1019"/>
        </w:numPr>
        <w:pStyle w:val="Compact"/>
      </w:pPr>
      <w:r>
        <w:t xml:space="preserve">Yahoo Finance/Insider Monkey (cierre del 24-abr-2026); DailyForex y Predscope (S&amp;P 500).</w:t>
      </w:r>
    </w:p>
    <w:p>
      <w:pPr>
        <w:numPr>
          <w:ilvl w:val="0"/>
          <w:numId w:val="1019"/>
        </w:numPr>
        <w:pStyle w:val="Compact"/>
      </w:pPr>
      <w:r>
        <w:t xml:space="preserve">Fortune (26-may-2026), Jefferies vía Yahoo, Seeking Alpha y MBI Deep Dives: día del inversor y objetivos 2030.</w:t>
      </w:r>
    </w:p>
    <w:p>
      <w:pPr>
        <w:numPr>
          <w:ilvl w:val="0"/>
          <w:numId w:val="1019"/>
        </w:numPr>
        <w:pStyle w:val="Compact"/>
      </w:pPr>
      <w:r>
        <w:t xml:space="preserve">Coronation, Barchart, Motley Fool, Hypebot y Ámbito: caídas por la guía y por el miedo a la IA.</w:t>
      </w:r>
    </w:p>
    <w:p>
      <w:pPr>
        <w:numPr>
          <w:ilvl w:val="0"/>
          <w:numId w:val="1019"/>
        </w:numPr>
        <w:pStyle w:val="Compact"/>
      </w:pPr>
      <w:r>
        <w:t xml:space="preserve">KuCoin, Kraken, Naga y Stocktwits: reacción a la guía del 3T26 y foros.</w:t>
      </w:r>
    </w:p>
    <w:p>
      <w:pPr>
        <w:numPr>
          <w:ilvl w:val="0"/>
          <w:numId w:val="1019"/>
        </w:numPr>
        <w:pStyle w:val="Compact"/>
      </w:pPr>
      <w:r>
        <w:t xml:space="preserve">Realtid (10-jul-2026) y Music Business Worldwide: ventas de acciones de los fundadores.</w:t>
      </w:r>
    </w:p>
    <w:p>
      <w:pPr>
        <w:numPr>
          <w:ilvl w:val="0"/>
          <w:numId w:val="1019"/>
        </w:numPr>
        <w:pStyle w:val="Compact"/>
      </w:pPr>
      <w:r>
        <w:t xml:space="preserve">Music Business Worldwide, PPC Land y Webull (7-oct-2026): expansión de los audiolibros.</w:t>
      </w:r>
    </w:p>
    <w:p>
      <w:pPr>
        <w:numPr>
          <w:ilvl w:val="0"/>
          <w:numId w:val="1019"/>
        </w:numPr>
        <w:pStyle w:val="Compact"/>
      </w:pPr>
      <w:r>
        <w:t xml:space="preserve">Invezz (21-may-2026): acuerdo de IA con Universal Music.</w:t>
      </w:r>
    </w:p>
    <w:p>
      <w:pPr>
        <w:numPr>
          <w:ilvl w:val="0"/>
          <w:numId w:val="1019"/>
        </w:numPr>
        <w:pStyle w:val="Compact"/>
      </w:pPr>
      <w:r>
        <w:t xml:space="preserve">Goldman Sachs, Music in the Air (vía el 8-K de WMG y MBW); MIDiA (vía secundaria): cuota de suscripciones.</w:t>
      </w:r>
    </w:p>
    <w:p>
      <w:pPr>
        <w:numPr>
          <w:ilvl w:val="0"/>
          <w:numId w:val="1019"/>
        </w:numPr>
        <w:pStyle w:val="Compact"/>
      </w:pPr>
      <w:r>
        <w:t xml:space="preserve">TickerLeague y AlphaQuery: EBITDA y pagos en acciones de 2025; Alphaspread: múltiplos de comparables.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2026-10-15T20:45:36Z</dcterms:created>
  <dcterms:modified xsi:type="dcterms:W3CDTF">2026-10-15T20:45:36Z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