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toast-tost-análisis-growth-14-oct-2026"/>
    <w:p>
      <w:pPr>
        <w:pStyle w:val="Heading1"/>
      </w:pPr>
      <w:r>
        <w:t xml:space="preserve">Toast (TOST): análisis growth, 14-oct-2026</w:t>
      </w:r>
    </w:p>
    <w:p>
      <w:pPr>
        <w:pStyle w:val="FirstParagraph"/>
      </w:pPr>
      <w:r>
        <w:rPr>
          <w:bCs/>
          <w:b/>
        </w:rPr>
        <w:t xml:space="preserve">Señal (método vigente v11): Comprar (convicción baja)</w:t>
      </w:r>
      <w:r>
        <w:t xml:space="preserve"> </w:t>
      </w:r>
      <w:r>
        <w:t xml:space="preserve">· Puntuación 62,8/100 · Señales de cambio de tendencia 3/8 · EV/ventas NTM 2,1 veces</w:t>
      </w:r>
      <w:r>
        <w:t xml:space="preserve"> </w:t>
      </w:r>
      <w:r>
        <w:t xml:space="preserve">Precio 30,89 USD (fecha del informe) · Objetivo 12 m 33,8 USD · Ponderada +9,3 % · Base +11,1 % · Bajista −37,6 % · Alcista +52,6 % · Compra hasta 32,1 USD</w:t>
      </w:r>
      <w:r>
        <w:t xml:space="preserve"> </w:t>
      </w:r>
      <w:r>
        <w:t xml:space="preserve">Peso orientativo: 3.5 % de la cartera · Por qué: cumple todos los requisitos de compra</w:t>
      </w:r>
      <w:r>
        <w:t xml:space="preserve"> </w:t>
      </w:r>
      <w:r>
        <w:t xml:space="preserve">Cabecera rehecha con la v11 el 15-oct (auditoría de homogeneidad). Antes decía (método v7): Comprar (convicción baja). El texto de abajo puede citar cifras de esa versión anterior; mandan las de esta cabecera.</w:t>
      </w:r>
    </w:p>
    <w:p>
      <w:pPr>
        <w:pStyle w:val="BlockText"/>
      </w:pPr>
      <w:r>
        <w:rPr>
          <w:bCs/>
          <w:b/>
        </w:rPr>
        <w:t xml:space="preserve">Partiendo de min(mecánico, guía + batida)</w:t>
      </w:r>
      <w:r>
        <w:t xml:space="preserve">, calculado a mano: la guía en ventas equivalentes más la batida media dan ~20,5 %, menos que el 23,8 % mecánico. Con eso, ponderada</w:t>
      </w:r>
      <w:r>
        <w:t xml:space="preserve"> </w:t>
      </w:r>
      <w:r>
        <w:rPr>
          <w:bCs/>
          <w:b/>
        </w:rPr>
        <w:t xml:space="preserve">+8,6 %</w:t>
      </w:r>
      <w:r>
        <w:t xml:space="preserve">, base +10,8 %, bajista −39,2 % y compra hasta</w:t>
      </w:r>
      <w:r>
        <w:t xml:space="preserve"> </w:t>
      </w:r>
      <w:r>
        <w:rPr>
          <w:bCs/>
          <w:b/>
        </w:rPr>
        <w:t xml:space="preserve">31,9 USD</w:t>
      </w:r>
      <w:r>
        <w:t xml:space="preserve">.</w:t>
      </w:r>
      <w:r>
        <w:t xml:space="preserve"> </w:t>
      </w:r>
      <w:r>
        <w:rPr>
          <w:bCs/>
          <w:b/>
        </w:rPr>
        <w:t xml:space="preserve">Sigue en Comprar (baja)</w:t>
      </w:r>
      <w:r>
        <w:t xml:space="preserve"> </w:t>
      </w:r>
      <w:r>
        <w:t xml:space="preserve">(sección 9).</w:t>
      </w:r>
    </w:p>
    <w:p>
      <w:pPr>
        <w:pStyle w:val="BlockText"/>
      </w:pPr>
      <w:r>
        <w:rPr>
          <w:bCs/>
          <w:b/>
        </w:rPr>
        <w:t xml:space="preserve">Precio actual</w:t>
      </w:r>
      <w:r>
        <w:t xml:space="preserve"> </w:t>
      </w:r>
      <w:r>
        <w:t xml:space="preserve">(regla del usuario): hoy, 14-oct, la sesión está abierta a</w:t>
      </w:r>
      <w:r>
        <w:t xml:space="preserve"> </w:t>
      </w:r>
      <w:r>
        <w:rPr>
          <w:bCs/>
          <w:b/>
        </w:rPr>
        <w:t xml:space="preserve">29,17-29,19 USD</w:t>
      </w:r>
      <w:r>
        <w:t xml:space="preserve"> </w:t>
      </w:r>
      <w:r>
        <w:t xml:space="preserve">(−5,5 %; Yahoo y StockAnalysis). A ese precio la ponderada es +16,3 % (+10,9 % con la guía) y sigue en Comprar (baja), con compra hasta 32,3 USD (30,8 con la guía).</w:t>
      </w:r>
    </w:p>
    <w:bookmarkStart w:id="20" w:name="la-tesis-en-cinco-líneas"/>
    <w:p>
      <w:pPr>
        <w:pStyle w:val="Heading2"/>
      </w:pPr>
      <w:r>
        <w:t xml:space="preserve">1. La tesis en cinco líneas</w:t>
      </w:r>
    </w:p>
    <w:p>
      <w:pPr>
        <w:numPr>
          <w:ilvl w:val="0"/>
          <w:numId w:val="1001"/>
        </w:numPr>
        <w:pStyle w:val="Compact"/>
      </w:pPr>
      <w:r>
        <w:t xml:space="preserve">Toast es el sistema operativo de los restaurantes de EE. UU.: TPV (punto de venta) en la nube, hardware, nóminas, marketing y, sobre todo, cobro de los pagos. Tiene</w:t>
      </w:r>
      <w:r>
        <w:t xml:space="preserve"> </w:t>
      </w:r>
      <w:r>
        <w:rPr>
          <w:bCs/>
          <w:b/>
        </w:rPr>
        <w:t xml:space="preserve">~180.000 locales (+22 %)</w:t>
      </w:r>
      <w:r>
        <w:t xml:space="preserve"> </w:t>
      </w:r>
      <w:r>
        <w:t xml:space="preserve">y</w:t>
      </w:r>
      <w:r>
        <w:t xml:space="preserve"> </w:t>
      </w:r>
      <w:r>
        <w:rPr>
          <w:bCs/>
          <w:b/>
        </w:rPr>
        <w:t xml:space="preserve">6.804 M USD de ventas en 12 meses (+23 %)</w:t>
      </w:r>
      <w:r>
        <w:t xml:space="preserve">. Su beneficio bruto recurrente crece un</w:t>
      </w:r>
      <w:r>
        <w:t xml:space="preserve"> </w:t>
      </w:r>
      <w:r>
        <w:rPr>
          <w:bCs/>
          <w:b/>
        </w:rPr>
        <w:t xml:space="preserve">+28 %</w:t>
      </w:r>
      <w:r>
        <w:t xml:space="preserve"> </w:t>
      </w:r>
      <w:r>
        <w:t xml:space="preserve">y es rentable: FCF de 576 M y beneficio neto GAAP de 154 M en el 2T.</w:t>
      </w:r>
    </w:p>
    <w:p>
      <w:pPr>
        <w:numPr>
          <w:ilvl w:val="0"/>
          <w:numId w:val="1001"/>
        </w:numPr>
        <w:pStyle w:val="Compact"/>
      </w:pPr>
      <w:r>
        <w:t xml:space="preserve">Está</w:t>
      </w:r>
      <w:r>
        <w:t xml:space="preserve"> </w:t>
      </w:r>
      <w:r>
        <w:rPr>
          <w:bCs/>
          <w:b/>
        </w:rPr>
        <w:t xml:space="preserve">barata para lo que crece</w:t>
      </w:r>
      <w:r>
        <w:t xml:space="preserve">:</w:t>
      </w:r>
      <w:r>
        <w:t xml:space="preserve"> </w:t>
      </w:r>
      <w:r>
        <w:rPr>
          <w:bCs/>
          <w:b/>
        </w:rPr>
        <w:t xml:space="preserve">7,8x el beneficio bruto NTM</w:t>
      </w:r>
      <w:r>
        <w:t xml:space="preserve">, 2,1x ventas, ~19x EBITDA ajustado NTM y PER adelantado de ~19. El DCF inverso solo pide un</w:t>
      </w:r>
      <w:r>
        <w:t xml:space="preserve"> </w:t>
      </w:r>
      <w:r>
        <w:rPr>
          <w:bCs/>
          <w:b/>
        </w:rPr>
        <w:t xml:space="preserve">~6 % anual durante 10 años</w:t>
      </w:r>
      <w:r>
        <w:t xml:space="preserve">. Recompra acciones: 486 M USD en el semestre, ~3 % del capital.</w:t>
      </w:r>
    </w:p>
    <w:p>
      <w:pPr>
        <w:numPr>
          <w:ilvl w:val="0"/>
          <w:numId w:val="1001"/>
        </w:numPr>
        <w:pStyle w:val="Compact"/>
      </w:pPr>
      <w:r>
        <w:t xml:space="preserve">La percepción no ha girado. En 2026 cayó al mínimo de 22,3 USD en mayo por el «miedo a la IA en el software» y por un 1T flojo en beneficio. Rebotó a 37 con el 2T y ha vuelto a 30 tras dos rebajas de recomendación.</w:t>
      </w:r>
      <w:r>
        <w:t xml:space="preserve"> </w:t>
      </w:r>
      <w:r>
        <w:rPr>
          <w:bCs/>
          <w:b/>
        </w:rPr>
        <w:t xml:space="preserve">Solo 3 de 8 señales</w:t>
      </w:r>
      <w:r>
        <w:t xml:space="preserve">.</w:t>
      </w:r>
    </w:p>
    <w:p>
      <w:pPr>
        <w:numPr>
          <w:ilvl w:val="0"/>
          <w:numId w:val="1001"/>
        </w:numPr>
        <w:pStyle w:val="Compact"/>
      </w:pPr>
      <w:r>
        <w:t xml:space="preserve">La regla da Comprar porque el múltiplo es bajo y la ejecución impecable: ha batido la guía ocho trimestres seguidos, un 4-8 % cada vez. Pero la puntuación es justa (62,8): el margen bruto en bruto es bajo, la regla del 40 sobre ventas es floja (31,5) y la tendencia está apagada.</w:t>
      </w:r>
    </w:p>
    <w:p>
      <w:pPr>
        <w:numPr>
          <w:ilvl w:val="0"/>
          <w:numId w:val="1001"/>
        </w:numPr>
        <w:pStyle w:val="Compact"/>
      </w:pPr>
      <w:r>
        <w:t xml:space="preserve">Conclusión:</w:t>
      </w:r>
      <w:r>
        <w:t xml:space="preserve"> </w:t>
      </w:r>
      <w:r>
        <w:rPr>
          <w:bCs/>
          <w:b/>
        </w:rPr>
        <w:t xml:space="preserve">Comprar (baja) por la regla, pero no entra en un bolsillo lleno</w:t>
      </w:r>
      <w:r>
        <w:t xml:space="preserve">. Es más débil que Shopify y Snowflake (convicción media) y depende del ciclo de los restaurantes, justo lo que el usuario no quiso en Duolingo. Queda</w:t>
      </w:r>
      <w:r>
        <w:t xml:space="preserve"> </w:t>
      </w:r>
      <w:r>
        <w:rPr>
          <w:bCs/>
          <w:b/>
        </w:rPr>
        <w:t xml:space="preserve">suplente nº 4</w:t>
      </w:r>
      <w:r>
        <w:t xml:space="preserve">, detrás de Dexcom, Datadog y Samsara.</w:t>
      </w:r>
    </w:p>
    <w:bookmarkEnd w:id="20"/>
    <w:bookmarkStart w:id="21" w:name="negocio-y-tecnología"/>
    <w:p>
      <w:pPr>
        <w:pStyle w:val="Heading2"/>
      </w:pPr>
      <w:r>
        <w:t xml:space="preserve">2. Negocio y tecnología</w:t>
      </w:r>
    </w:p>
    <w:p>
      <w:pPr>
        <w:pStyle w:val="FirstParagraph"/>
      </w:pPr>
      <w:r>
        <w:t xml:space="preserve">Toast vende a restaurantes (y desde 2024 a tiendas de alimentación) una plataforma «todo en uno» [1][3]:</w:t>
      </w:r>
      <w:r>
        <w:t xml:space="preserve"> </w:t>
      </w:r>
      <w:r>
        <w:t xml:space="preserve">-</w:t>
      </w:r>
      <w:r>
        <w:t xml:space="preserve"> </w:t>
      </w:r>
      <w:r>
        <w:rPr>
          <w:bCs/>
          <w:b/>
        </w:rPr>
        <w:t xml:space="preserve">Suscripciones</w:t>
      </w:r>
      <w:r>
        <w:t xml:space="preserve"> </w:t>
      </w:r>
      <w:r>
        <w:t xml:space="preserve">(290 M USD en el 2T26, +28 %): TPV en la nube, pantallas de cocina, pedidos online y por app propia, nóminas y equipo, marketing, inventario, y</w:t>
      </w:r>
      <w:r>
        <w:t xml:space="preserve"> </w:t>
      </w:r>
      <w:r>
        <w:rPr>
          <w:bCs/>
          <w:b/>
        </w:rPr>
        <w:t xml:space="preserve">Toast IQ</w:t>
      </w:r>
      <w:r>
        <w:t xml:space="preserve"> </w:t>
      </w:r>
      <w:r>
        <w:t xml:space="preserve">(asistente de IA conversacional).</w:t>
      </w:r>
      <w:r>
        <w:t xml:space="preserve"> </w:t>
      </w:r>
      <w:r>
        <w:rPr>
          <w:iCs/>
          <w:i/>
        </w:rPr>
        <w:t xml:space="preserve">Toast IQ Grow</w:t>
      </w:r>
      <w:r>
        <w:t xml:space="preserve"> </w:t>
      </w:r>
      <w:r>
        <w:t xml:space="preserve">es, según el CEO, «la oferta nueva que más rápido ha crecido».</w:t>
      </w:r>
      <w:r>
        <w:t xml:space="preserve"> </w:t>
      </w:r>
      <w:r>
        <w:t xml:space="preserve">-</w:t>
      </w:r>
      <w:r>
        <w:t xml:space="preserve"> </w:t>
      </w:r>
      <w:r>
        <w:rPr>
          <w:bCs/>
          <w:b/>
        </w:rPr>
        <w:t xml:space="preserve">Soluciones financieras</w:t>
      </w:r>
      <w:r>
        <w:t xml:space="preserve"> </w:t>
      </w:r>
      <w:r>
        <w:t xml:space="preserve">(1.570 M, +23 %): sobre todo procesamiento de pagos sobre un GPV de 60.700 M USD por trimestre, y también préstamos a restaurantes (Toast Capital; desde 2026 con 46 M en balance).</w:t>
      </w:r>
      <w:r>
        <w:t xml:space="preserve"> </w:t>
      </w:r>
      <w:r>
        <w:t xml:space="preserve">-</w:t>
      </w:r>
      <w:r>
        <w:t xml:space="preserve"> </w:t>
      </w:r>
      <w:r>
        <w:rPr>
          <w:bCs/>
          <w:b/>
        </w:rPr>
        <w:t xml:space="preserve">Hardware y servicios</w:t>
      </w:r>
      <w:r>
        <w:t xml:space="preserve"> </w:t>
      </w:r>
      <w:r>
        <w:t xml:space="preserve">(48 M, con pérdida bruta de 68 M): terminales y datáfonos que se venden con pérdida para captar al cliente.</w:t>
      </w:r>
    </w:p>
    <w:p>
      <w:pPr>
        <w:pStyle w:val="BodyText"/>
      </w:pPr>
      <w:r>
        <w:rPr>
          <w:bCs/>
          <w:b/>
        </w:rPr>
        <w:t xml:space="preserve">Por qué el margen bruto es bajo</w:t>
      </w:r>
      <w:r>
        <w:t xml:space="preserve">: de cada cobro con tarjeta, Toast registra como ventas la comisión entera (~2,6 % del GPV) y como coste lo que paga a los bancos emisores y a las redes. Le queda ~0,5 % del GPV: 302 M de beneficio bruto de pagos sobre 1.570 M de ventas financieras en el 2T. El negocio real es el</w:t>
      </w:r>
      <w:r>
        <w:t xml:space="preserve"> </w:t>
      </w:r>
      <w:r>
        <w:rPr>
          <w:bCs/>
          <w:b/>
        </w:rPr>
        <w:t xml:space="preserve">beneficio bruto recurrente</w:t>
      </w:r>
      <w:r>
        <w:t xml:space="preserve"> </w:t>
      </w:r>
      <w:r>
        <w:t xml:space="preserve">(suscripciones + soluciones financieras): 595 M no GAAP en el 2T (+28 %), el ~40 % de él de suscripciones.</w:t>
      </w:r>
    </w:p>
    <w:p>
      <w:pPr>
        <w:numPr>
          <w:ilvl w:val="0"/>
          <w:numId w:val="1002"/>
        </w:numPr>
        <w:pStyle w:val="Compact"/>
      </w:pPr>
      <w:r>
        <w:rPr>
          <w:bCs/>
          <w:b/>
        </w:rPr>
        <w:t xml:space="preserve">Tecnología 3/5</w:t>
      </w:r>
      <w:r>
        <w:t xml:space="preserve">: un producto muy bueno y hecho a medida del restaurante (hardware robusto, sin conexión, integraciones). Pero tiene alternativas creíbles: Square, Clover (Fiserv), SpotOn, Lightspeed, Oracle Micros, NCR Voyix/Aloha y PAR [14]. El foso viene de la venta local y de lo que cuesta cambiar (hardware, formación del personal, datos), más que de una tecnología que nadie pueda replicar.</w:t>
      </w:r>
    </w:p>
    <w:p>
      <w:pPr>
        <w:numPr>
          <w:ilvl w:val="0"/>
          <w:numId w:val="1002"/>
        </w:numPr>
        <w:pStyle w:val="Compact"/>
      </w:pPr>
      <w:r>
        <w:rPr>
          <w:bCs/>
          <w:b/>
        </w:rPr>
        <w:t xml:space="preserve">Posición 5/5</w:t>
      </w:r>
      <w:r>
        <w:t xml:space="preserve">: líder del TPV en la nube para restaurantes de EE. UU. y gana cuota. Suma ~30.000 locales netos al año (+9.500 en el 2T, récord) y entra en las cadenas: Applebee’s, el mayor contrato de su historia, TGI Fridays en Reino Unido y BWH Hotels (Best Western) [1][2].</w:t>
      </w:r>
    </w:p>
    <w:bookmarkEnd w:id="21"/>
    <w:bookmarkStart w:id="22" w:name="crecimiento"/>
    <w:p>
      <w:pPr>
        <w:pStyle w:val="Heading2"/>
      </w:pPr>
      <w:r>
        <w:t xml:space="preserve">3. Crecimiento</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Trimestre</w:t>
            </w:r>
          </w:p>
        </w:tc>
        <w:tc>
          <w:tcPr/>
          <w:p>
            <w:pPr>
              <w:pStyle w:val="Compact"/>
              <w:jc w:val="left"/>
            </w:pPr>
            <w:r>
              <w:t xml:space="preserve">Ventas (M USD)</w:t>
            </w:r>
          </w:p>
        </w:tc>
        <w:tc>
          <w:tcPr/>
          <w:p>
            <w:pPr>
              <w:pStyle w:val="Compact"/>
              <w:jc w:val="left"/>
            </w:pPr>
            <w:r>
              <w:t xml:space="preserve">Crec.</w:t>
            </w:r>
          </w:p>
        </w:tc>
        <w:tc>
          <w:tcPr/>
          <w:p>
            <w:pPr>
              <w:pStyle w:val="Compact"/>
              <w:jc w:val="left"/>
            </w:pPr>
            <w:r>
              <w:t xml:space="preserve">Beneficio bruto GAAP</w:t>
            </w:r>
          </w:p>
        </w:tc>
        <w:tc>
          <w:tcPr/>
          <w:p>
            <w:pPr>
              <w:pStyle w:val="Compact"/>
              <w:jc w:val="left"/>
            </w:pPr>
            <w:r>
              <w:t xml:space="preserve">BB recurrente no GAAP (crec.)</w:t>
            </w:r>
          </w:p>
        </w:tc>
        <w:tc>
          <w:tcPr/>
          <w:p>
            <w:pPr>
              <w:pStyle w:val="Compact"/>
              <w:jc w:val="left"/>
            </w:pPr>
            <w:r>
              <w:t xml:space="preserve">Guía BB rec. (punto medio)</w:t>
            </w:r>
          </w:p>
        </w:tc>
        <w:tc>
          <w:tcPr/>
          <w:p>
            <w:pPr>
              <w:pStyle w:val="Compact"/>
              <w:jc w:val="left"/>
            </w:pPr>
            <w:r>
              <w:t xml:space="preserve">Batida</w:t>
            </w:r>
          </w:p>
        </w:tc>
      </w:tr>
      <w:tr>
        <w:tc>
          <w:tcPr/>
          <w:p>
            <w:pPr>
              <w:pStyle w:val="Compact"/>
              <w:jc w:val="left"/>
            </w:pPr>
            <w:r>
              <w:t xml:space="preserve">2T25</w:t>
            </w:r>
          </w:p>
        </w:tc>
        <w:tc>
          <w:tcPr/>
          <w:p>
            <w:pPr>
              <w:pStyle w:val="Compact"/>
              <w:jc w:val="left"/>
            </w:pPr>
            <w:r>
              <w:t xml:space="preserve">1.550</w:t>
            </w:r>
          </w:p>
        </w:tc>
        <w:tc>
          <w:tcPr/>
          <w:p>
            <w:pPr>
              <w:pStyle w:val="Compact"/>
              <w:jc w:val="left"/>
            </w:pPr>
            <w:r>
              <w:t xml:space="preserve">24,8 %</w:t>
            </w:r>
          </w:p>
        </w:tc>
        <w:tc>
          <w:tcPr/>
          <w:p>
            <w:pPr>
              <w:pStyle w:val="Compact"/>
              <w:jc w:val="left"/>
            </w:pPr>
            <w:r>
              <w:t xml:space="preserve">392</w:t>
            </w:r>
          </w:p>
        </w:tc>
        <w:tc>
          <w:tcPr/>
          <w:p>
            <w:pPr>
              <w:pStyle w:val="Compact"/>
              <w:jc w:val="left"/>
            </w:pPr>
            <w:r>
              <w:t xml:space="preserve">464 (+35 %)</w:t>
            </w:r>
          </w:p>
        </w:tc>
        <w:tc>
          <w:tcPr/>
          <w:p>
            <w:pPr>
              <w:pStyle w:val="Compact"/>
              <w:jc w:val="left"/>
            </w:pPr>
            <w:r>
              <w:t xml:space="preserve">440</w:t>
            </w:r>
          </w:p>
        </w:tc>
        <w:tc>
          <w:tcPr/>
          <w:p>
            <w:pPr>
              <w:pStyle w:val="Compact"/>
              <w:jc w:val="left"/>
            </w:pPr>
            <w:r>
              <w:t xml:space="preserve">+5,5 %</w:t>
            </w:r>
          </w:p>
        </w:tc>
      </w:tr>
      <w:tr>
        <w:tc>
          <w:tcPr/>
          <w:p>
            <w:pPr>
              <w:pStyle w:val="Compact"/>
              <w:jc w:val="left"/>
            </w:pPr>
            <w:r>
              <w:t xml:space="preserve">3T25</w:t>
            </w:r>
          </w:p>
        </w:tc>
        <w:tc>
          <w:tcPr/>
          <w:p>
            <w:pPr>
              <w:pStyle w:val="Compact"/>
              <w:jc w:val="left"/>
            </w:pPr>
            <w:r>
              <w:t xml:space="preserve">1.633</w:t>
            </w:r>
          </w:p>
        </w:tc>
        <w:tc>
          <w:tcPr/>
          <w:p>
            <w:pPr>
              <w:pStyle w:val="Compact"/>
              <w:jc w:val="left"/>
            </w:pPr>
            <w:r>
              <w:t xml:space="preserve">25,1 %</w:t>
            </w:r>
          </w:p>
        </w:tc>
        <w:tc>
          <w:tcPr/>
          <w:p>
            <w:pPr>
              <w:pStyle w:val="Compact"/>
              <w:jc w:val="left"/>
            </w:pPr>
            <w:r>
              <w:t xml:space="preserve">432</w:t>
            </w:r>
          </w:p>
        </w:tc>
        <w:tc>
          <w:tcPr/>
          <w:p>
            <w:pPr>
              <w:pStyle w:val="Compact"/>
              <w:jc w:val="left"/>
            </w:pPr>
            <w:r>
              <w:t xml:space="preserve">506 (+34 %)</w:t>
            </w:r>
          </w:p>
        </w:tc>
        <w:tc>
          <w:tcPr/>
          <w:p>
            <w:pPr>
              <w:pStyle w:val="Compact"/>
              <w:jc w:val="left"/>
            </w:pPr>
            <w:r>
              <w:t xml:space="preserve">470</w:t>
            </w:r>
          </w:p>
        </w:tc>
        <w:tc>
          <w:tcPr/>
          <w:p>
            <w:pPr>
              <w:pStyle w:val="Compact"/>
              <w:jc w:val="left"/>
            </w:pPr>
            <w:r>
              <w:t xml:space="preserve">+7,7 %</w:t>
            </w:r>
          </w:p>
        </w:tc>
      </w:tr>
      <w:tr>
        <w:tc>
          <w:tcPr/>
          <w:p>
            <w:pPr>
              <w:pStyle w:val="Compact"/>
              <w:jc w:val="left"/>
            </w:pPr>
            <w:r>
              <w:t xml:space="preserve">4T25</w:t>
            </w:r>
          </w:p>
        </w:tc>
        <w:tc>
          <w:tcPr/>
          <w:p>
            <w:pPr>
              <w:pStyle w:val="Compact"/>
              <w:jc w:val="left"/>
            </w:pPr>
            <w:r>
              <w:t xml:space="preserve">1.633</w:t>
            </w:r>
          </w:p>
        </w:tc>
        <w:tc>
          <w:tcPr/>
          <w:p>
            <w:pPr>
              <w:pStyle w:val="Compact"/>
              <w:jc w:val="left"/>
            </w:pPr>
            <w:r>
              <w:t xml:space="preserve">22,0 %</w:t>
            </w:r>
          </w:p>
        </w:tc>
        <w:tc>
          <w:tcPr/>
          <w:p>
            <w:pPr>
              <w:pStyle w:val="Compact"/>
              <w:jc w:val="left"/>
            </w:pPr>
            <w:r>
              <w:t xml:space="preserve">423</w:t>
            </w:r>
          </w:p>
        </w:tc>
        <w:tc>
          <w:tcPr/>
          <w:p>
            <w:pPr>
              <w:pStyle w:val="Compact"/>
              <w:jc w:val="left"/>
            </w:pPr>
            <w:r>
              <w:t xml:space="preserve">502 (+28 %)</w:t>
            </w:r>
          </w:p>
        </w:tc>
        <w:tc>
          <w:tcPr/>
          <w:p>
            <w:pPr>
              <w:pStyle w:val="Compact"/>
              <w:jc w:val="left"/>
            </w:pPr>
            <w:r>
              <w:t xml:space="preserve">485</w:t>
            </w:r>
          </w:p>
        </w:tc>
        <w:tc>
          <w:tcPr/>
          <w:p>
            <w:pPr>
              <w:pStyle w:val="Compact"/>
              <w:jc w:val="left"/>
            </w:pPr>
            <w:r>
              <w:t xml:space="preserve">+3,5 %</w:t>
            </w:r>
          </w:p>
        </w:tc>
      </w:tr>
      <w:tr>
        <w:tc>
          <w:tcPr/>
          <w:p>
            <w:pPr>
              <w:pStyle w:val="Compact"/>
              <w:jc w:val="left"/>
            </w:pPr>
            <w:r>
              <w:t xml:space="preserve">1T26</w:t>
            </w:r>
          </w:p>
        </w:tc>
        <w:tc>
          <w:tcPr/>
          <w:p>
            <w:pPr>
              <w:pStyle w:val="Compact"/>
              <w:jc w:val="left"/>
            </w:pPr>
            <w:r>
              <w:t xml:space="preserve">1.630</w:t>
            </w:r>
          </w:p>
        </w:tc>
        <w:tc>
          <w:tcPr/>
          <w:p>
            <w:pPr>
              <w:pStyle w:val="Compact"/>
              <w:jc w:val="left"/>
            </w:pPr>
            <w:r>
              <w:t xml:space="preserve">21,9 %</w:t>
            </w:r>
          </w:p>
        </w:tc>
        <w:tc>
          <w:tcPr/>
          <w:p>
            <w:pPr>
              <w:pStyle w:val="Compact"/>
              <w:jc w:val="left"/>
            </w:pPr>
            <w:r>
              <w:t xml:space="preserve">447</w:t>
            </w:r>
          </w:p>
        </w:tc>
        <w:tc>
          <w:tcPr/>
          <w:p>
            <w:pPr>
              <w:pStyle w:val="Compact"/>
              <w:jc w:val="left"/>
            </w:pPr>
            <w:r>
              <w:t xml:space="preserve">529 (+27 %)</w:t>
            </w:r>
          </w:p>
        </w:tc>
        <w:tc>
          <w:tcPr/>
          <w:p>
            <w:pPr>
              <w:pStyle w:val="Compact"/>
              <w:jc w:val="left"/>
            </w:pPr>
            <w:r>
              <w:t xml:space="preserve">510</w:t>
            </w:r>
          </w:p>
        </w:tc>
        <w:tc>
          <w:tcPr/>
          <w:p>
            <w:pPr>
              <w:pStyle w:val="Compact"/>
              <w:jc w:val="left"/>
            </w:pPr>
            <w:r>
              <w:t xml:space="preserve">+3,7 %</w:t>
            </w:r>
          </w:p>
        </w:tc>
      </w:tr>
      <w:tr>
        <w:tc>
          <w:tcPr/>
          <w:p>
            <w:pPr>
              <w:pStyle w:val="Compact"/>
              <w:jc w:val="left"/>
            </w:pPr>
            <w:r>
              <w:t xml:space="preserve">2T26</w:t>
            </w:r>
          </w:p>
        </w:tc>
        <w:tc>
          <w:tcPr/>
          <w:p>
            <w:pPr>
              <w:pStyle w:val="Compact"/>
              <w:jc w:val="left"/>
            </w:pPr>
            <w:r>
              <w:t xml:space="preserve">1.908</w:t>
            </w:r>
          </w:p>
        </w:tc>
        <w:tc>
          <w:tcPr/>
          <w:p>
            <w:pPr>
              <w:pStyle w:val="Compact"/>
              <w:jc w:val="left"/>
            </w:pPr>
            <w:r>
              <w:t xml:space="preserve">23,1 %</w:t>
            </w:r>
          </w:p>
        </w:tc>
        <w:tc>
          <w:tcPr/>
          <w:p>
            <w:pPr>
              <w:pStyle w:val="Compact"/>
              <w:jc w:val="left"/>
            </w:pPr>
            <w:r>
              <w:t xml:space="preserve">516</w:t>
            </w:r>
          </w:p>
        </w:tc>
        <w:tc>
          <w:tcPr/>
          <w:p>
            <w:pPr>
              <w:pStyle w:val="Compact"/>
              <w:jc w:val="left"/>
            </w:pPr>
            <w:r>
              <w:t xml:space="preserve">595 (+28 %)</w:t>
            </w:r>
          </w:p>
        </w:tc>
        <w:tc>
          <w:tcPr/>
          <w:p>
            <w:pPr>
              <w:pStyle w:val="Compact"/>
              <w:jc w:val="left"/>
            </w:pPr>
            <w:r>
              <w:t xml:space="preserve">570</w:t>
            </w:r>
          </w:p>
        </w:tc>
        <w:tc>
          <w:tcPr/>
          <w:p>
            <w:pPr>
              <w:pStyle w:val="Compact"/>
              <w:jc w:val="left"/>
            </w:pPr>
            <w:r>
              <w:t xml:space="preserve">+4,4 %</w:t>
            </w:r>
          </w:p>
        </w:tc>
      </w:tr>
      <w:tr>
        <w:tc>
          <w:tcPr/>
          <w:p>
            <w:pPr>
              <w:pStyle w:val="Compact"/>
              <w:jc w:val="left"/>
            </w:pPr>
            <w:r>
              <w:t xml:space="preserve">Guía 3T26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615-625 (+22-24 %)</w:t>
            </w:r>
          </w:p>
        </w:tc>
        <w:tc>
          <w:tcPr/>
          <w:p>
            <w:pPr>
              <w:pStyle w:val="Compact"/>
              <w:jc w:val="left"/>
            </w:pPr>
            <w:r>
              <w:t xml:space="preserve">620</w:t>
            </w:r>
          </w:p>
        </w:tc>
        <w:tc>
          <w:tcPr/>
          <w:p>
            <w:pPr>
              <w:pStyle w:val="Compact"/>
            </w:pPr>
          </w:p>
        </w:tc>
      </w:tr>
    </w:tbl>
    <w:p>
      <w:pPr>
        <w:pStyle w:val="BodyText"/>
      </w:pPr>
      <w:r>
        <w:t xml:space="preserve">Fuentes: [1][2][3]; el 4T de cada año se obtiene restando los nueve meses al año (XBRL).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Ejercicio</w:t>
            </w:r>
          </w:p>
        </w:tc>
        <w:tc>
          <w:tcPr/>
          <w:p>
            <w:pPr>
              <w:pStyle w:val="Compact"/>
              <w:jc w:val="left"/>
            </w:pPr>
            <w:r>
              <w:t xml:space="preserve">Ventas (M USD)</w:t>
            </w:r>
          </w:p>
        </w:tc>
        <w:tc>
          <w:tcPr/>
          <w:p>
            <w:pPr>
              <w:pStyle w:val="Compact"/>
              <w:jc w:val="left"/>
            </w:pPr>
            <w:r>
              <w:t xml:space="preserve">Crec.</w:t>
            </w:r>
          </w:p>
        </w:tc>
        <w:tc>
          <w:tcPr/>
          <w:p>
            <w:pPr>
              <w:pStyle w:val="Compact"/>
              <w:jc w:val="left"/>
            </w:pPr>
            <w:r>
              <w:t xml:space="preserve">FCF (M USD)</w:t>
            </w:r>
          </w:p>
        </w:tc>
      </w:tr>
      <w:tr>
        <w:tc>
          <w:tcPr/>
          <w:p>
            <w:pPr>
              <w:pStyle w:val="Compact"/>
              <w:jc w:val="left"/>
            </w:pPr>
            <w:r>
              <w:t xml:space="preserve">2023</w:t>
            </w:r>
          </w:p>
        </w:tc>
        <w:tc>
          <w:tcPr/>
          <w:p>
            <w:pPr>
              <w:pStyle w:val="Compact"/>
              <w:jc w:val="left"/>
            </w:pPr>
            <w:r>
              <w:t xml:space="preserve">3.865</w:t>
            </w:r>
          </w:p>
        </w:tc>
        <w:tc>
          <w:tcPr/>
          <w:p>
            <w:pPr>
              <w:pStyle w:val="Compact"/>
              <w:jc w:val="left"/>
            </w:pPr>
            <w:r>
              <w:t xml:space="preserve">—</w:t>
            </w:r>
          </w:p>
        </w:tc>
        <w:tc>
          <w:tcPr/>
          <w:p>
            <w:pPr>
              <w:pStyle w:val="Compact"/>
              <w:jc w:val="left"/>
            </w:pPr>
            <w:r>
              <w:t xml:space="preserve">93</w:t>
            </w:r>
          </w:p>
        </w:tc>
      </w:tr>
      <w:tr>
        <w:tc>
          <w:tcPr/>
          <w:p>
            <w:pPr>
              <w:pStyle w:val="Compact"/>
              <w:jc w:val="left"/>
            </w:pPr>
            <w:r>
              <w:t xml:space="preserve">2024</w:t>
            </w:r>
          </w:p>
        </w:tc>
        <w:tc>
          <w:tcPr/>
          <w:p>
            <w:pPr>
              <w:pStyle w:val="Compact"/>
              <w:jc w:val="left"/>
            </w:pPr>
            <w:r>
              <w:t xml:space="preserve">4.960</w:t>
            </w:r>
          </w:p>
        </w:tc>
        <w:tc>
          <w:tcPr/>
          <w:p>
            <w:pPr>
              <w:pStyle w:val="Compact"/>
              <w:jc w:val="left"/>
            </w:pPr>
            <w:r>
              <w:t xml:space="preserve">28,3 %</w:t>
            </w:r>
          </w:p>
        </w:tc>
        <w:tc>
          <w:tcPr/>
          <w:p>
            <w:pPr>
              <w:pStyle w:val="Compact"/>
              <w:jc w:val="left"/>
            </w:pPr>
            <w:r>
              <w:t xml:space="preserve">306</w:t>
            </w:r>
          </w:p>
        </w:tc>
      </w:tr>
      <w:tr>
        <w:tc>
          <w:tcPr/>
          <w:p>
            <w:pPr>
              <w:pStyle w:val="Compact"/>
              <w:jc w:val="left"/>
            </w:pPr>
            <w:r>
              <w:t xml:space="preserve">2025</w:t>
            </w:r>
          </w:p>
        </w:tc>
        <w:tc>
          <w:tcPr/>
          <w:p>
            <w:pPr>
              <w:pStyle w:val="Compact"/>
              <w:jc w:val="left"/>
            </w:pPr>
            <w:r>
              <w:t xml:space="preserve">6.153</w:t>
            </w:r>
          </w:p>
        </w:tc>
        <w:tc>
          <w:tcPr/>
          <w:p>
            <w:pPr>
              <w:pStyle w:val="Compact"/>
              <w:jc w:val="left"/>
            </w:pPr>
            <w:r>
              <w:t xml:space="preserve">24,1 %</w:t>
            </w:r>
          </w:p>
        </w:tc>
        <w:tc>
          <w:tcPr/>
          <w:p>
            <w:pPr>
              <w:pStyle w:val="Compact"/>
              <w:jc w:val="left"/>
            </w:pPr>
            <w:r>
              <w:t xml:space="preserve">608</w:t>
            </w:r>
          </w:p>
        </w:tc>
      </w:tr>
      <w:tr>
        <w:tc>
          <w:tcPr/>
          <w:p>
            <w:pPr>
              <w:pStyle w:val="Compact"/>
              <w:jc w:val="left"/>
            </w:pPr>
            <w:r>
              <w:t xml:space="preserve">2026 (estimación propia: 1S real + 2S al +20 %)</w:t>
            </w:r>
          </w:p>
        </w:tc>
        <w:tc>
          <w:tcPr/>
          <w:p>
            <w:pPr>
              <w:pStyle w:val="Compact"/>
              <w:jc w:val="left"/>
            </w:pPr>
            <w:r>
              <w:t xml:space="preserve">~7.460</w:t>
            </w:r>
          </w:p>
        </w:tc>
        <w:tc>
          <w:tcPr/>
          <w:p>
            <w:pPr>
              <w:pStyle w:val="Compact"/>
              <w:jc w:val="left"/>
            </w:pPr>
            <w:r>
              <w:t xml:space="preserve">~21 %</w:t>
            </w:r>
          </w:p>
        </w:tc>
        <w:tc>
          <w:tcPr/>
          <w:p>
            <w:pPr>
              <w:pStyle w:val="Compact"/>
              <w:jc w:val="left"/>
            </w:pPr>
            <w:r>
              <w:t xml:space="preserve">—</w:t>
            </w:r>
          </w:p>
        </w:tc>
      </w:tr>
    </w:tbl>
    <w:p>
      <w:pPr>
        <w:numPr>
          <w:ilvl w:val="0"/>
          <w:numId w:val="1003"/>
        </w:numPr>
        <w:pStyle w:val="Compact"/>
      </w:pPr>
      <w:r>
        <w:rPr>
          <w:bCs/>
          <w:b/>
        </w:rPr>
        <w:t xml:space="preserve">Ventas de 12 meses</w:t>
      </w:r>
      <w:r>
        <w:t xml:space="preserve"> </w:t>
      </w:r>
      <w:r>
        <w:t xml:space="preserve">(3T25-2T26):</w:t>
      </w:r>
      <w:r>
        <w:t xml:space="preserve"> </w:t>
      </w:r>
      <w:r>
        <w:rPr>
          <w:bCs/>
          <w:b/>
        </w:rPr>
        <w:t xml:space="preserve">6.804 M USD, +23,0 %</w:t>
      </w:r>
      <w:r>
        <w:t xml:space="preserve">.</w:t>
      </w:r>
      <w:r>
        <w:t xml:space="preserve"> </w:t>
      </w:r>
      <w:r>
        <w:rPr>
          <w:bCs/>
          <w:b/>
        </w:rPr>
        <w:t xml:space="preserve">CAGR propio a 2 años: 24,6 %</w:t>
      </w:r>
      <w:r>
        <w:t xml:space="preserve"> </w:t>
      </w:r>
      <w:r>
        <w:t xml:space="preserve">(4.385 M en los 12 meses a jun-2024).</w:t>
      </w:r>
      <w:r>
        <w:t xml:space="preserve"> </w:t>
      </w:r>
      <w:r>
        <w:rPr>
          <w:bCs/>
          <w:b/>
        </w:rPr>
        <w:t xml:space="preserve">Aceleración: −0,4 pp</w:t>
      </w:r>
      <w:r>
        <w:t xml:space="preserve"> </w:t>
      </w:r>
      <w:r>
        <w:t xml:space="preserve">(+23,1 % frente a una media de +23,5 % en los cuatro anteriores).</w:t>
      </w:r>
    </w:p>
    <w:p>
      <w:pPr>
        <w:numPr>
          <w:ilvl w:val="0"/>
          <w:numId w:val="1003"/>
        </w:numPr>
        <w:pStyle w:val="Compact"/>
      </w:pPr>
      <w:r>
        <w:rPr>
          <w:bCs/>
          <w:b/>
        </w:rPr>
        <w:t xml:space="preserve">Beneficio bruto GAAP de 12 meses: 1.818 M (+30,5 %)</w:t>
      </w:r>
      <w:r>
        <w:t xml:space="preserve">. Crece 7 puntos más que las ventas porque suben las suscripciones (+28 %) y los préstamos, y el hardware pesa menos.</w:t>
      </w:r>
    </w:p>
    <w:p>
      <w:pPr>
        <w:numPr>
          <w:ilvl w:val="0"/>
          <w:numId w:val="1003"/>
        </w:numPr>
        <w:pStyle w:val="Compact"/>
      </w:pPr>
      <w:r>
        <w:rPr>
          <w:bCs/>
          <w:b/>
        </w:rPr>
        <w:t xml:space="preserve">Motor</w:t>
      </w:r>
      <w:r>
        <w:t xml:space="preserve">: los locales crecen un 22 % y el GPV otro 22 %, así que el</w:t>
      </w:r>
      <w:r>
        <w:t xml:space="preserve"> </w:t>
      </w:r>
      <w:r>
        <w:rPr>
          <w:bCs/>
          <w:b/>
        </w:rPr>
        <w:t xml:space="preserve">GPV por local está plano</w:t>
      </w:r>
      <w:r>
        <w:t xml:space="preserve">. El crecimiento viene de abrir locales y de vender más módulos, no de que cada restaurante facture más. Es la parte que protege del ciclo (sección 4).</w:t>
      </w:r>
    </w:p>
    <w:p>
      <w:pPr>
        <w:numPr>
          <w:ilvl w:val="0"/>
          <w:numId w:val="1003"/>
        </w:numPr>
        <w:pStyle w:val="Compact"/>
      </w:pPr>
      <w:r>
        <w:rPr>
          <w:bCs/>
          <w:b/>
        </w:rPr>
        <w:t xml:space="preserve">ARR</w:t>
      </w:r>
      <w:r>
        <w:t xml:space="preserve">: 2.409 M (+25 %); el de suscripciones, +27 %.</w:t>
      </w:r>
      <w:r>
        <w:t xml:space="preserve"> </w:t>
      </w:r>
      <w:r>
        <w:rPr>
          <w:bCs/>
          <w:b/>
        </w:rPr>
        <w:t xml:space="preserve">Retención neta</w:t>
      </w:r>
      <w:r>
        <w:t xml:space="preserve">: no la publica (</w:t>
      </w:r>
      <w:r>
        <w:rPr>
          <w:rStyle w:val="VerbatimChar"/>
        </w:rPr>
        <w:t xml:space="preserve">nrr_pct</w:t>
      </w:r>
      <w:r>
        <w:t xml:space="preserve"> </w:t>
      </w:r>
      <w:r>
        <w:t xml:space="preserve">= null).</w:t>
      </w:r>
    </w:p>
    <w:p>
      <w:pPr>
        <w:numPr>
          <w:ilvl w:val="0"/>
          <w:numId w:val="1003"/>
        </w:numPr>
        <w:pStyle w:val="Compact"/>
      </w:pPr>
      <w:r>
        <w:rPr>
          <w:bCs/>
          <w:b/>
        </w:rPr>
        <w:t xml:space="preserve">Guía</w:t>
      </w:r>
      <w:r>
        <w:t xml:space="preserve">: Toast no guía ventas, solo beneficio bruto recurrente y EBITDA ajustado. Para 2026, +23-25 % (subida dos veces desde +20-22 %) y EBITDA ajustado de 805-825 M. La guía implica un 2S de +20,6 % (1.216 M frente a 1.008 M) y un 4T de solo +19 %. Es el patrón de siempre:</w:t>
      </w:r>
      <w:r>
        <w:t xml:space="preserve"> </w:t>
      </w:r>
      <w:r>
        <w:rPr>
          <w:bCs/>
          <w:b/>
        </w:rPr>
        <w:t xml:space="preserve">en 2025 empezó guiando +23-25 % y acabó en +33 %</w:t>
      </w:r>
      <w:r>
        <w:t xml:space="preserve">.</w:t>
      </w:r>
    </w:p>
    <w:p>
      <w:pPr>
        <w:numPr>
          <w:ilvl w:val="0"/>
          <w:numId w:val="1003"/>
        </w:numPr>
        <w:pStyle w:val="Compact"/>
      </w:pPr>
      <w:r>
        <w:rPr>
          <w:bCs/>
          <w:b/>
        </w:rPr>
        <w:t xml:space="preserve">Guía de 12 meses y batida (campos nuevos)</w:t>
      </w:r>
      <w:r>
        <w:t xml:space="preserve">:</w:t>
      </w:r>
      <w:r>
        <w:t xml:space="preserve"> </w:t>
      </w:r>
      <w:r>
        <w:rPr>
          <w:rStyle w:val="VerbatimChar"/>
        </w:rPr>
        <w:t xml:space="preserve">guia_12m_pct</w:t>
      </w:r>
      <w:r>
        <w:t xml:space="preserve"> </w:t>
      </w:r>
      <w:r>
        <w:t xml:space="preserve">= 20,6 % (beneficio bruto recurrente, 2S26) y</w:t>
      </w:r>
      <w:r>
        <w:t xml:space="preserve"> </w:t>
      </w:r>
      <w:r>
        <w:rPr>
          <w:rStyle w:val="VerbatimChar"/>
        </w:rPr>
        <w:t xml:space="preserve">exceso_guia_pp</w:t>
      </w:r>
      <w:r>
        <w:t xml:space="preserve"> </w:t>
      </w:r>
      <w:r>
        <w:t xml:space="preserve">=</w:t>
      </w:r>
      <w:r>
        <w:t xml:space="preserve"> </w:t>
      </w:r>
      <w:r>
        <w:rPr>
          <w:bCs/>
          <w:b/>
        </w:rPr>
        <w:t xml:space="preserve">5,9 pp</w:t>
      </w:r>
      <w:r>
        <w:t xml:space="preserve"> </w:t>
      </w:r>
      <w:r>
        <w:t xml:space="preserve">(batida media en 3T25-2T26: 9,4 / 4,6 / 4,5 / 5,2 pp). Ese beneficio bruto crece de media 6,4 pp más que las ventas, así que en ventas la guía más la batida equivale a</w:t>
      </w:r>
      <w:r>
        <w:t xml:space="preserve"> </w:t>
      </w:r>
      <w:r>
        <w:rPr>
          <w:bCs/>
          <w:b/>
        </w:rPr>
        <w:t xml:space="preserve">~20,5 %</w:t>
      </w:r>
      <w:r>
        <w:t xml:space="preserve">.</w:t>
      </w:r>
    </w:p>
    <w:bookmarkEnd w:id="22"/>
    <w:bookmarkStart w:id="23" w:name="mercado-y-competencia"/>
    <w:p>
      <w:pPr>
        <w:pStyle w:val="Heading2"/>
      </w:pPr>
      <w:r>
        <w:t xml:space="preserve">4. Mercado y competencia</w:t>
      </w:r>
    </w:p>
    <w:p>
      <w:pPr>
        <w:numPr>
          <w:ilvl w:val="0"/>
          <w:numId w:val="1004"/>
        </w:numPr>
        <w:pStyle w:val="Compact"/>
      </w:pPr>
      <w:r>
        <w:rPr>
          <w:bCs/>
          <w:b/>
        </w:rPr>
        <w:t xml:space="preserve">Mercado alcanzable: ~55.000 M USD</w:t>
      </w:r>
      <w:r>
        <w:t xml:space="preserve">, el gasto en tecnología de los restaurantes de EE. UU. en 2024 según la propia Toast (S-1 de 2021 y 10-K de 2022) [13]. Se usa porque es comparable con sus ventas en bruto (incluye pagos). No cuenta comercio minorista ni internacional, que la empresa presenta como expansión, ni la inflación desde 2024: es prudente.</w:t>
      </w:r>
    </w:p>
    <w:p>
      <w:pPr>
        <w:numPr>
          <w:ilvl w:val="0"/>
          <w:numId w:val="1004"/>
        </w:numPr>
        <w:pStyle w:val="Compact"/>
      </w:pPr>
      <w:r>
        <w:rPr>
          <w:bCs/>
          <w:b/>
        </w:rPr>
        <w:t xml:space="preserve">Penetración</w:t>
      </w:r>
      <w:r>
        <w:t xml:space="preserve">: 6.804 / 55.000 =</w:t>
      </w:r>
      <w:r>
        <w:t xml:space="preserve"> </w:t>
      </w:r>
      <w:r>
        <w:rPr>
          <w:bCs/>
          <w:b/>
        </w:rPr>
        <w:t xml:space="preserve">12,4 %</w:t>
      </w:r>
      <w:r>
        <w:t xml:space="preserve">. En locales, ~180.000 de ~860.000 restaurantes de EE. UU., ~21 % (algunos son internacionales o tiendas). Es un mercado maduro en tecnología: Toast crece quitando clientes a sistemas antiguos y a rivales, no por un mercado nuevo.</w:t>
      </w:r>
    </w:p>
    <w:p>
      <w:pPr>
        <w:numPr>
          <w:ilvl w:val="0"/>
          <w:numId w:val="1004"/>
        </w:numPr>
        <w:pStyle w:val="Compact"/>
      </w:pPr>
      <w:r>
        <w:rPr>
          <w:bCs/>
          <w:b/>
        </w:rPr>
        <w:t xml:space="preserve">Rivales</w:t>
      </w:r>
      <w:r>
        <w:t xml:space="preserve"> </w:t>
      </w:r>
      <w:r>
        <w:t xml:space="preserve">[14]: Square (Block) en el restaurante pequeño; Clover (Fiserv), que sufre en 2026 (la acción de Fiserv cae de ~124 a ~46 USD en un año [8]); SpotOn, Lightspeed y Shift4 (SkyTab) en el segmento medio; Oracle Micros, NCR Voyix y PAR en las grandes cadenas.</w:t>
      </w:r>
    </w:p>
    <w:p>
      <w:pPr>
        <w:numPr>
          <w:ilvl w:val="0"/>
          <w:numId w:val="1004"/>
        </w:numPr>
        <w:pStyle w:val="Compact"/>
      </w:pPr>
      <w:r>
        <w:rPr>
          <w:bCs/>
          <w:b/>
        </w:rPr>
        <w:t xml:space="preserve">Por qué gana</w:t>
      </w:r>
      <w:r>
        <w:t xml:space="preserve">: es el único con producto vertical completo (de la sala a la cocina, nóminas y capital) y una venta local muy eficaz. Además, el pago integrado le permite regalar o financiar el hardware y cobrar por el volumen. Entrar en las cadenas (Applebee’s, TGI Fridays) le abre el segmento donde Micros y NCR son débiles.</w:t>
      </w:r>
    </w:p>
    <w:p>
      <w:pPr>
        <w:numPr>
          <w:ilvl w:val="0"/>
          <w:numId w:val="1004"/>
        </w:numPr>
        <w:pStyle w:val="Compact"/>
      </w:pPr>
      <w:r>
        <w:rPr>
          <w:bCs/>
          <w:b/>
        </w:rPr>
        <w:t xml:space="preserve">Ciclicidad (restauración)</w:t>
      </w:r>
      <w:r>
        <w:t xml:space="preserve">: es el riesgo de fondo. El 82 % de las ventas y ~60 % del beneficio bruto (pagos) dependen del gasto en restaurantes, que cae en las recesiones y con la inflación de los menús. Dos atenuantes: (1) el crecimiento viene de locales nuevos (+22 %), no del gasto por local (plano), así que una recesión frenaría el +23 % hacia +15 %, pero no lo pondría en negativo; (2) el ~40 % del beneficio bruto recurrente es suscripción fija. Agravante: los restaurantes pequeños cierran mucho en las crisis (sube la rotación) y los préstamos de Toast Capital, ya en balance, asumen riesgo de crédito.</w:t>
      </w:r>
    </w:p>
    <w:p>
      <w:pPr>
        <w:numPr>
          <w:ilvl w:val="0"/>
          <w:numId w:val="1004"/>
        </w:numPr>
        <w:pStyle w:val="Compact"/>
      </w:pPr>
      <w:r>
        <w:rPr>
          <w:bCs/>
          <w:b/>
        </w:rPr>
        <w:t xml:space="preserve">Riesgo IA</w:t>
      </w:r>
      <w:r>
        <w:t xml:space="preserve">: (a)</w:t>
      </w:r>
      <w:r>
        <w:t xml:space="preserve"> </w:t>
      </w:r>
      <w:r>
        <w:rPr>
          <w:iCs/>
          <w:i/>
        </w:rPr>
        <w:t xml:space="preserve">a favor</w:t>
      </w:r>
      <w:r>
        <w:t xml:space="preserve">: Toast IQ y los agentes de pedidos (teléfono, menú, marketing) se venden sobre la base instalada y los datos de 180.000 locales; (b)</w:t>
      </w:r>
      <w:r>
        <w:t xml:space="preserve"> </w:t>
      </w:r>
      <w:r>
        <w:rPr>
          <w:iCs/>
          <w:i/>
        </w:rPr>
        <w:t xml:space="preserve">en contra</w:t>
      </w:r>
      <w:r>
        <w:t xml:space="preserve">: la IA abarata hacer software, y las cadenas con equipo técnico podrían construirse su capa. Además, los pedidos por asistentes de IA (ChatGPT, agregadores) podrían quedarse con la relación con el cliente. Pesa menos que en el software horizontal: el valor está en el TPV físico, el hardware y el pago en el local, que un modelo de lenguaje no sustituye. El mercado la castigó como «software» igualmente: −43 % entre ene y may-2026 con el FCF en récord [10].</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Señal</w:t>
            </w:r>
          </w:p>
        </w:tc>
        <w:tc>
          <w:tcPr/>
          <w:p>
            <w:pPr>
              <w:pStyle w:val="Compact"/>
              <w:jc w:val="left"/>
            </w:pPr>
            <w:r>
              <w:t xml:space="preserve">Sí/No</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w:t>
            </w:r>
          </w:p>
        </w:tc>
        <w:tc>
          <w:tcPr/>
          <w:p>
            <w:pPr>
              <w:pStyle w:val="Compact"/>
              <w:jc w:val="left"/>
            </w:pPr>
            <w:r>
              <w:t xml:space="preserve">Revisiones al alza</w:t>
            </w:r>
          </w:p>
        </w:tc>
        <w:tc>
          <w:tcPr/>
          <w:p>
            <w:pPr>
              <w:pStyle w:val="Compact"/>
              <w:jc w:val="left"/>
            </w:pPr>
            <w:r>
              <w:t xml:space="preserve">Sí</w:t>
            </w:r>
          </w:p>
        </w:tc>
        <w:tc>
          <w:tcPr/>
          <w:p>
            <w:pPr>
              <w:pStyle w:val="Compact"/>
              <w:jc w:val="left"/>
            </w:pPr>
            <w:r>
              <w:t xml:space="preserve">Guía anual de beneficio bruto recurrente de +21-23 % a +23-25 % y EBITDA ajustado de 790-810 a 805-825 M (ya había subido en mayo). Tras el 2T suben el precio objetivo Bernstein, UBS, Citi, Truist, Oppenheimer y RBC (44). En contra: BNP baja a Neutral (2-sep) y Wall Street Zen a Mantener (4-oct). Basada en la guía y en precios objetivo.</w:t>
            </w:r>
          </w:p>
        </w:tc>
        <w:tc>
          <w:tcPr/>
          <w:p>
            <w:pPr>
              <w:pStyle w:val="Compact"/>
              <w:jc w:val="left"/>
            </w:pPr>
            <w:r>
              <w:t xml:space="preserve">[1][2][9]</w:t>
            </w:r>
          </w:p>
        </w:tc>
      </w:tr>
      <w:tr>
        <w:tc>
          <w:tcPr/>
          <w:p>
            <w:pPr>
              <w:pStyle w:val="Compact"/>
              <w:jc w:val="left"/>
            </w:pPr>
            <w:r>
              <w:t xml:space="preserve">2</w:t>
            </w:r>
          </w:p>
        </w:tc>
        <w:tc>
          <w:tcPr/>
          <w:p>
            <w:pPr>
              <w:pStyle w:val="Compact"/>
              <w:jc w:val="left"/>
            </w:pPr>
            <w:r>
              <w:t xml:space="preserve">Precio sobre la media de 200 sesiones</w:t>
            </w:r>
          </w:p>
        </w:tc>
        <w:tc>
          <w:tcPr/>
          <w:p>
            <w:pPr>
              <w:pStyle w:val="Compact"/>
              <w:jc w:val="left"/>
            </w:pPr>
            <w:r>
              <w:t xml:space="preserve">No</w:t>
            </w:r>
          </w:p>
        </w:tc>
        <w:tc>
          <w:tcPr/>
          <w:p>
            <w:pPr>
              <w:pStyle w:val="Compact"/>
              <w:jc w:val="left"/>
            </w:pPr>
            <w:r>
              <w:t xml:space="preserve">30,89 sobre 29,58 (+4 %), pero la media sigue bajando: 36,2 (abr) → 30,7 (jul) → 29,6 (oct). Hoy cotiza a ~29,2, casi en la media. Media señal.</w:t>
            </w:r>
          </w:p>
        </w:tc>
        <w:tc>
          <w:tcPr/>
          <w:p>
            <w:pPr>
              <w:pStyle w:val="Compact"/>
              <w:jc w:val="left"/>
            </w:pPr>
            <w:r>
              <w:t xml:space="preserve">[6]</w:t>
            </w:r>
          </w:p>
        </w:tc>
      </w:tr>
      <w:tr>
        <w:tc>
          <w:tcPr/>
          <w:p>
            <w:pPr>
              <w:pStyle w:val="Compact"/>
              <w:jc w:val="left"/>
            </w:pPr>
            <w:r>
              <w:t xml:space="preserve">3</w:t>
            </w:r>
          </w:p>
        </w:tc>
        <w:tc>
          <w:tcPr/>
          <w:p>
            <w:pPr>
              <w:pStyle w:val="Compact"/>
              <w:jc w:val="left"/>
            </w:pPr>
            <w:r>
              <w:t xml:space="preserve">Fuerza relativa a 6 meses</w:t>
            </w:r>
          </w:p>
        </w:tc>
        <w:tc>
          <w:tcPr/>
          <w:p>
            <w:pPr>
              <w:pStyle w:val="Compact"/>
              <w:jc w:val="left"/>
            </w:pPr>
            <w:r>
              <w:t xml:space="preserve">No</w:t>
            </w:r>
          </w:p>
        </w:tc>
        <w:tc>
          <w:tcPr/>
          <w:p>
            <w:pPr>
              <w:pStyle w:val="Compact"/>
              <w:jc w:val="left"/>
            </w:pPr>
            <w:r>
              <w:t xml:space="preserve">+13,8 % frente a +20,4 % del Nasdaq-100 y +13,3 % del S&amp;P 500. A 12 meses, −13,8 % frente a +23,5 %.</w:t>
            </w:r>
          </w:p>
        </w:tc>
        <w:tc>
          <w:tcPr/>
          <w:p>
            <w:pPr>
              <w:pStyle w:val="Compact"/>
              <w:jc w:val="left"/>
            </w:pPr>
            <w:r>
              <w:t xml:space="preserve">[6]</w:t>
            </w:r>
          </w:p>
        </w:tc>
      </w:tr>
      <w:tr>
        <w:tc>
          <w:tcPr/>
          <w:p>
            <w:pPr>
              <w:pStyle w:val="Compact"/>
              <w:jc w:val="left"/>
            </w:pPr>
            <w:r>
              <w:t xml:space="preserve">4</w:t>
            </w:r>
          </w:p>
        </w:tc>
        <w:tc>
          <w:tcPr/>
          <w:p>
            <w:pPr>
              <w:pStyle w:val="Compact"/>
              <w:jc w:val="left"/>
            </w:pPr>
            <w:r>
              <w:t xml:space="preserve">Mejora del múltiplo</w:t>
            </w:r>
          </w:p>
        </w:tc>
        <w:tc>
          <w:tcPr/>
          <w:p>
            <w:pPr>
              <w:pStyle w:val="Compact"/>
              <w:jc w:val="left"/>
            </w:pPr>
            <w:r>
              <w:t xml:space="preserve">Sí</w:t>
            </w:r>
          </w:p>
        </w:tc>
        <w:tc>
          <w:tcPr/>
          <w:p>
            <w:pPr>
              <w:pStyle w:val="Compact"/>
              <w:jc w:val="left"/>
            </w:pPr>
            <w:r>
              <w:t xml:space="preserve">EV/ventas NTM de ~1,5x (22,33 USD, 13-may) a 2,1x (+38 %), aún por debajo de su mediana de 3 años (~2,6x).</w:t>
            </w:r>
          </w:p>
        </w:tc>
        <w:tc>
          <w:tcPr/>
          <w:p>
            <w:pPr>
              <w:pStyle w:val="Compact"/>
              <w:jc w:val="left"/>
            </w:pPr>
            <w:r>
              <w:t xml:space="preserve">[6][12]</w:t>
            </w:r>
          </w:p>
        </w:tc>
      </w:tr>
      <w:tr>
        <w:tc>
          <w:tcPr/>
          <w:p>
            <w:pPr>
              <w:pStyle w:val="Compact"/>
              <w:jc w:val="left"/>
            </w:pPr>
            <w:r>
              <w:t xml:space="preserve">5</w:t>
            </w:r>
          </w:p>
        </w:tc>
        <w:tc>
          <w:tcPr/>
          <w:p>
            <w:pPr>
              <w:pStyle w:val="Compact"/>
              <w:jc w:val="left"/>
            </w:pPr>
            <w:r>
              <w:t xml:space="preserve">Inflexión operativa</w:t>
            </w:r>
          </w:p>
        </w:tc>
        <w:tc>
          <w:tcPr/>
          <w:p>
            <w:pPr>
              <w:pStyle w:val="Compact"/>
              <w:jc w:val="left"/>
            </w:pPr>
            <w:r>
              <w:t xml:space="preserve">No</w:t>
            </w:r>
          </w:p>
        </w:tc>
        <w:tc>
          <w:tcPr/>
          <w:p>
            <w:pPr>
              <w:pStyle w:val="Compact"/>
              <w:jc w:val="left"/>
            </w:pPr>
            <w:r>
              <w:t xml:space="preserve">Ya era rentable. Margen operativo GAAP sobre ventas del 5,2 % al 8,0 % en el 2T (+2,8 pp); en 12 meses, del 3,4 % al 6,3 %. Sobre el beneficio bruto sí pasaría de +5 pp (del 20 % al 29 %).</w:t>
            </w:r>
          </w:p>
        </w:tc>
        <w:tc>
          <w:tcPr/>
          <w:p>
            <w:pPr>
              <w:pStyle w:val="Compact"/>
              <w:jc w:val="left"/>
            </w:pPr>
            <w:r>
              <w:t xml:space="preserve">[1][3]</w:t>
            </w:r>
          </w:p>
        </w:tc>
      </w:tr>
      <w:tr>
        <w:tc>
          <w:tcPr/>
          <w:p>
            <w:pPr>
              <w:pStyle w:val="Compact"/>
              <w:jc w:val="left"/>
            </w:pPr>
            <w:r>
              <w:t xml:space="preserve">6</w:t>
            </w:r>
          </w:p>
        </w:tc>
        <w:tc>
          <w:tcPr/>
          <w:p>
            <w:pPr>
              <w:pStyle w:val="Compact"/>
              <w:jc w:val="left"/>
            </w:pPr>
            <w:r>
              <w:t xml:space="preserve">Sentimiento mejorando</w:t>
            </w:r>
          </w:p>
        </w:tc>
        <w:tc>
          <w:tcPr/>
          <w:p>
            <w:pPr>
              <w:pStyle w:val="Compact"/>
              <w:jc w:val="left"/>
            </w:pPr>
            <w:r>
              <w:t xml:space="preserve">No</w:t>
            </w:r>
          </w:p>
        </w:tc>
        <w:tc>
          <w:tcPr/>
          <w:p>
            <w:pPr>
              <w:pStyle w:val="Compact"/>
              <w:jc w:val="left"/>
            </w:pPr>
            <w:r>
              <w:t xml:space="preserve">Tras el rebote de agosto (máximo de 36,97 el 26-ago) vuelven las rebajas y la acción cae a 30. StockTwits: frustración («atascada en 30»), 6 alcistas y 1 bajista de 27 mensajes.</w:t>
            </w:r>
          </w:p>
        </w:tc>
        <w:tc>
          <w:tcPr/>
          <w:p>
            <w:pPr>
              <w:pStyle w:val="Compact"/>
              <w:jc w:val="left"/>
            </w:pPr>
            <w:r>
              <w:t xml:space="preserve">[9][11]</w:t>
            </w:r>
          </w:p>
        </w:tc>
      </w:tr>
      <w:tr>
        <w:tc>
          <w:tcPr/>
          <w:p>
            <w:pPr>
              <w:pStyle w:val="Compact"/>
              <w:jc w:val="left"/>
            </w:pPr>
            <w:r>
              <w:t xml:space="preserve">7</w:t>
            </w:r>
          </w:p>
        </w:tc>
        <w:tc>
          <w:tcPr/>
          <w:p>
            <w:pPr>
              <w:pStyle w:val="Compact"/>
              <w:jc w:val="left"/>
            </w:pPr>
            <w:r>
              <w:t xml:space="preserve">Compras de directivos o institucionales</w:t>
            </w:r>
          </w:p>
        </w:tc>
        <w:tc>
          <w:tcPr/>
          <w:p>
            <w:pPr>
              <w:pStyle w:val="Compact"/>
              <w:jc w:val="left"/>
            </w:pPr>
            <w:r>
              <w:t xml:space="preserve">No</w:t>
            </w:r>
          </w:p>
        </w:tc>
        <w:tc>
          <w:tcPr/>
          <w:p>
            <w:pPr>
              <w:pStyle w:val="Compact"/>
              <w:jc w:val="left"/>
            </w:pPr>
            <w:r>
              <w:t xml:space="preserve">Solo ventas: el CEO vende 124.458 acciones a 35,29 USD el 5-ago, más la directora financiera, el director comercial (plan 10b5-1) y retenciones de impuestos. BlackRock sube al 10 %, pero es pasivo.</w:t>
            </w:r>
          </w:p>
        </w:tc>
        <w:tc>
          <w:tcPr/>
          <w:p>
            <w:pPr>
              <w:pStyle w:val="Compact"/>
              <w:jc w:val="left"/>
            </w:pPr>
            <w:r>
              <w:t xml:space="preserve">[4][5]</w:t>
            </w:r>
          </w:p>
        </w:tc>
      </w:tr>
      <w:tr>
        <w:tc>
          <w:tcPr/>
          <w:p>
            <w:pPr>
              <w:pStyle w:val="Compact"/>
              <w:jc w:val="left"/>
            </w:pPr>
            <w:r>
              <w:t xml:space="preserve">8</w:t>
            </w:r>
          </w:p>
        </w:tc>
        <w:tc>
          <w:tcPr/>
          <w:p>
            <w:pPr>
              <w:pStyle w:val="Compact"/>
              <w:jc w:val="left"/>
            </w:pPr>
            <w:r>
              <w:t xml:space="preserve">Catalizador nuevo</w:t>
            </w:r>
          </w:p>
        </w:tc>
        <w:tc>
          <w:tcPr/>
          <w:p>
            <w:pPr>
              <w:pStyle w:val="Compact"/>
              <w:jc w:val="left"/>
            </w:pPr>
            <w:r>
              <w:t xml:space="preserve">Sí</w:t>
            </w:r>
          </w:p>
        </w:tc>
        <w:tc>
          <w:tcPr/>
          <w:p>
            <w:pPr>
              <w:pStyle w:val="Compact"/>
              <w:jc w:val="left"/>
            </w:pPr>
            <w:r>
              <w:t xml:space="preserve">Resultados del 3T a principios de noviembre; Toast IQ Grow; despliegue en Applebee’s, TGI Fridays (Reino Unido) y BWH Hotels; tiendas, internacional y préstamos en balance.</w:t>
            </w:r>
          </w:p>
        </w:tc>
        <w:tc>
          <w:tcPr/>
          <w:p>
            <w:pPr>
              <w:pStyle w:val="Compact"/>
              <w:jc w:val="left"/>
            </w:pPr>
            <w:r>
              <w:t xml:space="preserve">[1][2]</w:t>
            </w:r>
          </w:p>
        </w:tc>
      </w:tr>
    </w:tbl>
    <w:p>
      <w:pPr>
        <w:pStyle w:val="BodyText"/>
      </w:pPr>
      <w:r>
        <w:rPr>
          <w:bCs/>
          <w:b/>
        </w:rPr>
        <w:t xml:space="preserve">Euforia: no.</w:t>
      </w:r>
      <w:r>
        <w:t xml:space="preserve"> </w:t>
      </w:r>
      <w:r>
        <w:t xml:space="preserve">Baja un −13,8 % en 12 meses y cotiza a 7,8x el beneficio bruto. Es lo contrario de la euforia: el mercado la trata como una procesadora de pagos madura que crece al 23 %.</w:t>
      </w:r>
    </w:p>
    <w:bookmarkEnd w:id="24"/>
    <w:bookmarkStart w:id="25" w:name="X6a3ced9ea5ed5bb9ac58f5e7c1bb09ad4718b77"/>
    <w:p>
      <w:pPr>
        <w:pStyle w:val="Heading2"/>
      </w:pPr>
      <w:r>
        <w:t xml:space="preserve">6. Economía unitaria y camino a la rentabilidad</w:t>
      </w:r>
    </w:p>
    <w:p>
      <w:pPr>
        <w:numPr>
          <w:ilvl w:val="0"/>
          <w:numId w:val="1005"/>
        </w:numPr>
        <w:pStyle w:val="Compact"/>
      </w:pPr>
      <w:r>
        <w:rPr>
          <w:bCs/>
          <w:b/>
        </w:rPr>
        <w:t xml:space="preserve">Margen bruto GAAP: 26,7 %</w:t>
      </w:r>
      <w:r>
        <w:t xml:space="preserve"> </w:t>
      </w:r>
      <w:r>
        <w:t xml:space="preserve">en 12 meses (1.818 / 6.804) y 27,0 % en el 2T (25,3 % un año antes). Es la cifra con la que el método mide el EV/beneficio bruto. Sale bajo por contabilizar los pagos en bruto: el margen de las suscripciones es del 78 % y el de los pagos, ~19 % sobre ventas pero ~0,5 % del GPV.</w:t>
      </w:r>
    </w:p>
    <w:p>
      <w:pPr>
        <w:numPr>
          <w:ilvl w:val="0"/>
          <w:numId w:val="1005"/>
        </w:numPr>
        <w:pStyle w:val="Compact"/>
      </w:pPr>
      <w:r>
        <w:rPr>
          <w:bCs/>
          <w:b/>
        </w:rPr>
        <w:t xml:space="preserve">FCF de 12 meses: 576 M USD</w:t>
      </w:r>
      <w:r>
        <w:t xml:space="preserve"> </w:t>
      </w:r>
      <w:r>
        <w:t xml:space="preserve">(153 + 178 + 115 + 130), el</w:t>
      </w:r>
      <w:r>
        <w:t xml:space="preserve"> </w:t>
      </w:r>
      <w:r>
        <w:rPr>
          <w:bCs/>
          <w:b/>
        </w:rPr>
        <w:t xml:space="preserve">8,5 % de las ventas</w:t>
      </w:r>
      <w:r>
        <w:t xml:space="preserve"> </w:t>
      </w:r>
      <w:r>
        <w:t xml:space="preserve">y el</w:t>
      </w:r>
      <w:r>
        <w:t xml:space="preserve"> </w:t>
      </w:r>
      <w:r>
        <w:rPr>
          <w:bCs/>
          <w:b/>
        </w:rPr>
        <w:t xml:space="preserve">32 % del beneficio bruto</w:t>
      </w:r>
      <w:r>
        <w:t xml:space="preserve">. En 2025 fueron 608 M (2024: 306 M). El 1S26 (245 M) queda por debajo del 1S25 (277 M) porque compró hardware por adelantado (inventario de 114 a 217 M), en parte por los aranceles. Se califica</w:t>
      </w:r>
      <w:r>
        <w:t xml:space="preserve"> </w:t>
      </w:r>
      <w:r>
        <w:rPr>
          <w:bCs/>
          <w:b/>
        </w:rPr>
        <w:t xml:space="preserve">FCF creciente</w:t>
      </w:r>
      <w:r>
        <w:t xml:space="preserve"> </w:t>
      </w:r>
      <w:r>
        <w:t xml:space="preserve">(12 meses: 576 frente a 508 M) con ese matiz.</w:t>
      </w:r>
    </w:p>
    <w:p>
      <w:pPr>
        <w:numPr>
          <w:ilvl w:val="0"/>
          <w:numId w:val="1005"/>
        </w:numPr>
        <w:pStyle w:val="Compact"/>
      </w:pPr>
      <w:r>
        <w:rPr>
          <w:bCs/>
          <w:b/>
        </w:rPr>
        <w:t xml:space="preserve">Regla del 40 sobre ventas: 23,0 + 8,5 = 31,5</w:t>
      </w:r>
      <w:r>
        <w:t xml:space="preserve"> </w:t>
      </w:r>
      <w:r>
        <w:t xml:space="preserve">(2 de 5 puntos). Sobre beneficio bruto, la forma natural de medir una plataforma de pagos, sería 30,5 + 31,7 ≈ 62:</w:t>
      </w:r>
      <w:r>
        <w:t xml:space="preserve"> </w:t>
      </w:r>
      <w:r>
        <w:rPr>
          <w:bCs/>
          <w:b/>
        </w:rPr>
        <w:t xml:space="preserve">la contabilidad en bruto la castiga en la puntuación</w:t>
      </w:r>
      <w:r>
        <w:t xml:space="preserve"> </w:t>
      </w:r>
      <w:r>
        <w:t xml:space="preserve">(mejora de método, sección 14).</w:t>
      </w:r>
    </w:p>
    <w:p>
      <w:pPr>
        <w:numPr>
          <w:ilvl w:val="0"/>
          <w:numId w:val="1005"/>
        </w:numPr>
        <w:pStyle w:val="Compact"/>
      </w:pPr>
      <w:r>
        <w:rPr>
          <w:bCs/>
          <w:b/>
        </w:rPr>
        <w:t xml:space="preserve">Apalancamiento operativo</w:t>
      </w:r>
      <w:r>
        <w:t xml:space="preserve">: claro. Beneficio operativo GAAP de 152 M en el 2T (80 M un año antes) y EBITDA ajustado de 221 M (161 M). Los gastos crecen un 17 % y el beneficio bruto un 32 %.</w:t>
      </w:r>
    </w:p>
    <w:bookmarkEnd w:id="25"/>
    <w:bookmarkStart w:id="26" w:name="caja-deuda-y-dilución"/>
    <w:p>
      <w:pPr>
        <w:pStyle w:val="Heading2"/>
      </w:pPr>
      <w:r>
        <w:t xml:space="preserve">7. Caja, deuda y dilución</w:t>
      </w:r>
    </w:p>
    <w:p>
      <w:pPr>
        <w:numPr>
          <w:ilvl w:val="0"/>
          <w:numId w:val="1006"/>
        </w:numPr>
        <w:pStyle w:val="Compact"/>
      </w:pPr>
      <w:r>
        <w:rPr>
          <w:bCs/>
          <w:b/>
        </w:rPr>
        <w:t xml:space="preserve">Caja y valores: 1.713 M USD</w:t>
      </w:r>
      <w:r>
        <w:t xml:space="preserve"> </w:t>
      </w:r>
      <w:r>
        <w:t xml:space="preserve">a 30-jun (1.015 de caja y 698 de valores). No incluye los 216 M que guarda por cuenta de clientes ni 73 M restringidos [1][4]. Al cierre de 2025 tenía 1.991 M: baja por la recompra.</w:t>
      </w:r>
    </w:p>
    <w:p>
      <w:pPr>
        <w:numPr>
          <w:ilvl w:val="0"/>
          <w:numId w:val="1006"/>
        </w:numPr>
        <w:pStyle w:val="Compact"/>
      </w:pPr>
      <w:r>
        <w:rPr>
          <w:bCs/>
          <w:b/>
        </w:rPr>
        <w:t xml:space="preserve">Deuda: 0.</w:t>
      </w:r>
      <w:r>
        <w:t xml:space="preserve"> </w:t>
      </w:r>
      <w:r>
        <w:t xml:space="preserve">Línea de crédito de 347 M sin disponer. Préstamos a restaurantes en balance: 46 M (nuevo en 2026, pequeño).</w:t>
      </w:r>
    </w:p>
    <w:p>
      <w:pPr>
        <w:numPr>
          <w:ilvl w:val="0"/>
          <w:numId w:val="1006"/>
        </w:numPr>
        <w:pStyle w:val="Compact"/>
      </w:pPr>
      <w:r>
        <w:rPr>
          <w:bCs/>
          <w:b/>
        </w:rPr>
        <w:t xml:space="preserve">Pista</w:t>
      </w:r>
      <w:r>
        <w:t xml:space="preserve">: FCF positivo.</w:t>
      </w:r>
    </w:p>
    <w:p>
      <w:pPr>
        <w:numPr>
          <w:ilvl w:val="0"/>
          <w:numId w:val="1006"/>
        </w:numPr>
        <w:pStyle w:val="Compact"/>
      </w:pPr>
      <w:r>
        <w:rPr>
          <w:bCs/>
          <w:b/>
        </w:rPr>
        <w:t xml:space="preserve">Acciones</w:t>
      </w:r>
      <w:r>
        <w:t xml:space="preserve">: 578 M (514 M clase A y 64 M clase B) a 30-jul. Con las opciones por el método del tesoro (20 M a 14,25 USD → ~11 M) y las RSU (15-18 M),</w:t>
      </w:r>
      <w:r>
        <w:t xml:space="preserve"> </w:t>
      </w:r>
      <w:r>
        <w:rPr>
          <w:bCs/>
          <w:b/>
        </w:rPr>
        <w:t xml:space="preserve">~604 M diluidas</w:t>
      </w:r>
      <w:r>
        <w:t xml:space="preserve">.</w:t>
      </w:r>
    </w:p>
    <w:p>
      <w:pPr>
        <w:numPr>
          <w:ilvl w:val="0"/>
          <w:numId w:val="1006"/>
        </w:numPr>
        <w:pStyle w:val="Compact"/>
      </w:pPr>
      <w:r>
        <w:rPr>
          <w:bCs/>
          <w:b/>
        </w:rPr>
        <w:t xml:space="preserve">Dilución: ~0 % neta.</w:t>
      </w:r>
      <w:r>
        <w:t xml:space="preserve"> </w:t>
      </w:r>
      <w:r>
        <w:t xml:space="preserve">Las acciones básicas medias pasan de 580 a 578 M en un año y las diluidas de 605 a 590. Recompró 19 M de acciones (486 M USD) en el semestre y quedan solo ~100 M de autorización. Sin una nueva, la emisión bruta (~2 % anual) volvería a diluir.</w:t>
      </w:r>
    </w:p>
    <w:p>
      <w:pPr>
        <w:numPr>
          <w:ilvl w:val="0"/>
          <w:numId w:val="1006"/>
        </w:numPr>
        <w:pStyle w:val="Compact"/>
      </w:pPr>
      <w:r>
        <w:rPr>
          <w:bCs/>
          <w:b/>
        </w:rPr>
        <w:t xml:space="preserve">Pagos en acciones: 231 M en 12 meses, el 3,4 % de las ventas</w:t>
      </w:r>
      <w:r>
        <w:t xml:space="preserve"> </w:t>
      </w:r>
      <w:r>
        <w:t xml:space="preserve">(12,7 % del beneficio bruto). Por debajo del 15 % del método y bajando (109 M en el 1S26 frente a 120 M).</w:t>
      </w:r>
    </w:p>
    <w:bookmarkEnd w:id="26"/>
    <w:bookmarkStart w:id="27" w:name="dirección-y-ejecución"/>
    <w:p>
      <w:pPr>
        <w:pStyle w:val="Heading2"/>
      </w:pPr>
      <w:r>
        <w:t xml:space="preserve">8. Dirección y ejecución</w:t>
      </w:r>
    </w:p>
    <w:p>
      <w:pPr>
        <w:numPr>
          <w:ilvl w:val="0"/>
          <w:numId w:val="1007"/>
        </w:numPr>
        <w:pStyle w:val="Compact"/>
      </w:pPr>
      <w:r>
        <w:rPr>
          <w:bCs/>
          <w:b/>
        </w:rPr>
        <w:t xml:space="preserve">Historial (5/5)</w:t>
      </w:r>
      <w:r>
        <w:t xml:space="preserve">: ha batido la guía de beneficio bruto recurrente en los siete trimestres comprobados en la SEC (4T24-2T26), del +3,5 % al +7,7 %. Ha subido la guía anual en cada trimestre de 2025 y 2026 [1][2]. Pasó de perder 287 M de beneficio operativo en 2023 a ganar 431 M en 12 meses.</w:t>
      </w:r>
    </w:p>
    <w:p>
      <w:pPr>
        <w:numPr>
          <w:ilvl w:val="0"/>
          <w:numId w:val="1007"/>
        </w:numPr>
        <w:pStyle w:val="Compact"/>
      </w:pPr>
      <w:r>
        <w:rPr>
          <w:bCs/>
          <w:b/>
        </w:rPr>
        <w:t xml:space="preserve">Dirección (4/5)</w:t>
      </w:r>
      <w:r>
        <w:t xml:space="preserve">: el CEO, Aman Narang, es cofundador [2]. Las acciones clase B (voto múltiple) concentran el control en fundadores y primeros inversores. La asignación de capital es sensata: recompra con el FCF y sin deuda. Le restan las ventas regulares de directivos (el CEO, 4,4 M USD en agosto) y la salida del director comercial el 31-dic (jubilación, 8-K del 1-oct [4]). El 1T26 lo empañó el registro de ~1.000 M USD de acciones para el plan de empleados [10].</w:t>
      </w:r>
    </w:p>
    <w:bookmarkEnd w:id="27"/>
    <w:bookmarkStart w:id="28" w:name="valoración"/>
    <w:p>
      <w:pPr>
        <w:pStyle w:val="Heading2"/>
      </w:pPr>
      <w:r>
        <w:t xml:space="preserve">9. Valoración</w:t>
      </w:r>
    </w:p>
    <w:p>
      <w:pPr>
        <w:pStyle w:val="FirstParagraph"/>
      </w:pPr>
      <w:r>
        <w:rPr>
          <w:bCs/>
          <w:b/>
        </w:rPr>
        <w:t xml:space="preserve">Ejercicio objetivo</w:t>
      </w:r>
      <w:r>
        <w:t xml:space="preserve">: los 12 meses a jun-2028 (ventas NTM dentro de un año), como en el backtest.</w:t>
      </w:r>
      <w:r>
        <w:t xml:space="preserve"> </w:t>
      </w:r>
      <w:r>
        <w:rPr>
          <w:bCs/>
          <w:b/>
        </w:rPr>
        <w:t xml:space="preserve">Métrica: EV/ventas NTM.</w:t>
      </w:r>
      <w:r>
        <w:t xml:space="preserve"> </w:t>
      </w:r>
      <w:r>
        <w:t xml:space="preserve">Toast ya gana dinero, pero su margen operativo GAAP es aún bajo (6 %) y está subiendo, así que el EV/EBITDA exageraría el múltiplo, como en Shopify. El filtro de compra es el</w:t>
      </w:r>
      <w:r>
        <w:t xml:space="preserve"> </w:t>
      </w:r>
      <w:r>
        <w:rPr>
          <w:bCs/>
          <w:b/>
        </w:rPr>
        <w:t xml:space="preserve">EV/beneficio bruto</w:t>
      </w:r>
      <w:r>
        <w:t xml:space="preserve">.</w:t>
      </w:r>
    </w:p>
    <w:p>
      <w:pPr>
        <w:numPr>
          <w:ilvl w:val="0"/>
          <w:numId w:val="1008"/>
        </w:numPr>
        <w:pStyle w:val="Compact"/>
      </w:pPr>
      <w:r>
        <w:rPr>
          <w:bCs/>
          <w:b/>
        </w:rPr>
        <w:t xml:space="preserve">EV de hoy</w:t>
      </w:r>
      <w:r>
        <w:t xml:space="preserve">: 30,89 × 604 − 1.713 =</w:t>
      </w:r>
      <w:r>
        <w:t xml:space="preserve"> </w:t>
      </w:r>
      <w:r>
        <w:rPr>
          <w:bCs/>
          <w:b/>
        </w:rPr>
        <w:t xml:space="preserve">16.945 M USD</w:t>
      </w:r>
      <w:r>
        <w:t xml:space="preserve">. StockAnalysis da 15.160 M con 578 M acciones y el precio de hoy [7].</w:t>
      </w:r>
    </w:p>
    <w:p>
      <w:pPr>
        <w:numPr>
          <w:ilvl w:val="0"/>
          <w:numId w:val="1008"/>
        </w:numPr>
        <w:pStyle w:val="Compact"/>
      </w:pPr>
      <w:r>
        <w:rPr>
          <w:bCs/>
          <w:b/>
        </w:rPr>
        <w:t xml:space="preserve">Ventas NTM</w:t>
      </w:r>
      <w:r>
        <w:t xml:space="preserve">: ~8.165 M (+20 %, con la guía).</w:t>
      </w:r>
      <w:r>
        <w:t xml:space="preserve"> </w:t>
      </w:r>
      <w:r>
        <w:rPr>
          <w:bCs/>
          <w:b/>
        </w:rPr>
        <w:t xml:space="preserve">EV/ventas NTM: 2,1x. EV/beneficio bruto NTM: 7,8x.</w:t>
      </w:r>
      <w:r>
        <w:t xml:space="preserve"> </w:t>
      </w:r>
      <w:r>
        <w:t xml:space="preserve">EV/EBITDA ajustado de 12 meses: ~23x (~19x NTM). PER adelantado: ~19.</w:t>
      </w:r>
    </w:p>
    <w:p>
      <w:pPr>
        <w:numPr>
          <w:ilvl w:val="0"/>
          <w:numId w:val="1008"/>
        </w:numPr>
        <w:pStyle w:val="Compact"/>
      </w:pPr>
      <w:r>
        <w:rPr>
          <w:bCs/>
          <w:b/>
        </w:rPr>
        <w:t xml:space="preserve">Mediana de 3 años: ~2,6x</w:t>
      </w:r>
      <w:r>
        <w:t xml:space="preserve"> </w:t>
      </w:r>
      <w:r>
        <w:t xml:space="preserve">NTM (cierres trimestrales de jun-2023 a jun-2026; 3,7x en jun-2025).</w:t>
      </w:r>
      <w:r>
        <w:t xml:space="preserve"> </w:t>
      </w:r>
      <w:r>
        <w:rPr>
          <w:bCs/>
          <w:b/>
        </w:rPr>
        <w:t xml:space="preserve">Mínimo: ~1,5x</w:t>
      </w:r>
      <w:r>
        <w:t xml:space="preserve"> </w:t>
      </w:r>
      <w:r>
        <w:t xml:space="preserve">(13-may-2026) [12].</w:t>
      </w:r>
    </w:p>
    <w:p>
      <w:pPr>
        <w:numPr>
          <w:ilvl w:val="0"/>
          <w:numId w:val="1008"/>
        </w:numPr>
        <w:pStyle w:val="Compact"/>
      </w:pPr>
      <w:r>
        <w:rPr>
          <w:bCs/>
          <w:b/>
        </w:rPr>
        <w:t xml:space="preserve">Comparables</w:t>
      </w:r>
      <w:r>
        <w:t xml:space="preserve">: Shift4 1,5x, Block 1,9x, PAR 2,0x y Lightspeed 0,8x ventas de 12 meses; ~1,6x NTM de mediana [8]. Por beneficio bruto, 2-5x frente a 9,3x de Toast (12 meses): Toast cotiza con prima porque crece el doble o el triple.</w:t>
      </w:r>
    </w:p>
    <w:p>
      <w:pPr>
        <w:numPr>
          <w:ilvl w:val="0"/>
          <w:numId w:val="1008"/>
        </w:numPr>
        <w:pStyle w:val="Compact"/>
      </w:pPr>
      <w:r>
        <w:rPr>
          <w:bCs/>
          <w:b/>
        </w:rPr>
        <w:t xml:space="preserve">Desaceleración</w:t>
      </w:r>
      <w:r>
        <w:t xml:space="preserve">: del 20 % NTM al 18 % en el año objetivo → factor 0,95.</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Escenario</w:t>
            </w:r>
          </w:p>
        </w:tc>
        <w:tc>
          <w:tcPr/>
          <w:p>
            <w:pPr>
              <w:pStyle w:val="Compact"/>
              <w:jc w:val="left"/>
            </w:pPr>
            <w:r>
              <w:t xml:space="preserve">Ventas jun-2028 (M USD)</w:t>
            </w:r>
          </w:p>
        </w:tc>
        <w:tc>
          <w:tcPr/>
          <w:p>
            <w:pPr>
              <w:pStyle w:val="Compact"/>
              <w:jc w:val="left"/>
            </w:pPr>
            <w:r>
              <w:t xml:space="preserve">Múltiplo</w:t>
            </w:r>
          </w:p>
        </w:tc>
        <w:tc>
          <w:tcPr/>
          <w:p>
            <w:pPr>
              <w:pStyle w:val="Compact"/>
              <w:jc w:val="left"/>
            </w:pPr>
            <w:r>
              <w:t xml:space="preserve">Precio 12 m</w:t>
            </w:r>
          </w:p>
        </w:tc>
        <w:tc>
          <w:tcPr/>
          <w:p>
            <w:pPr>
              <w:pStyle w:val="Compact"/>
              <w:jc w:val="left"/>
            </w:pPr>
            <w:r>
              <w:t xml:space="preserve">Rentabilidad</w:t>
            </w:r>
          </w:p>
        </w:tc>
      </w:tr>
      <w:tr>
        <w:tc>
          <w:tcPr/>
          <w:p>
            <w:pPr>
              <w:pStyle w:val="Compact"/>
              <w:jc w:val="left"/>
            </w:pPr>
            <w:r>
              <w:t xml:space="preserve">Bajista (25 %)</w:t>
            </w:r>
          </w:p>
        </w:tc>
        <w:tc>
          <w:tcPr/>
          <w:p>
            <w:pPr>
              <w:pStyle w:val="Compact"/>
              <w:jc w:val="left"/>
            </w:pPr>
            <w:r>
              <w:t xml:space="preserve">8.386</w:t>
            </w:r>
          </w:p>
        </w:tc>
        <w:tc>
          <w:tcPr/>
          <w:p>
            <w:pPr>
              <w:pStyle w:val="Compact"/>
              <w:jc w:val="left"/>
            </w:pPr>
            <w:r>
              <w:t xml:space="preserve">1,2x</w:t>
            </w:r>
          </w:p>
        </w:tc>
        <w:tc>
          <w:tcPr/>
          <w:p>
            <w:pPr>
              <w:pStyle w:val="Compact"/>
              <w:jc w:val="left"/>
            </w:pPr>
            <w:r>
              <w:t xml:space="preserve">19,3</w:t>
            </w:r>
          </w:p>
        </w:tc>
        <w:tc>
          <w:tcPr/>
          <w:p>
            <w:pPr>
              <w:pStyle w:val="Compact"/>
              <w:jc w:val="left"/>
            </w:pPr>
            <w:r>
              <w:t xml:space="preserve">−37,6 %</w:t>
            </w:r>
          </w:p>
        </w:tc>
      </w:tr>
      <w:tr>
        <w:tc>
          <w:tcPr/>
          <w:p>
            <w:pPr>
              <w:pStyle w:val="Compact"/>
              <w:jc w:val="left"/>
            </w:pPr>
            <w:r>
              <w:t xml:space="preserve">Base (50 %)</w:t>
            </w:r>
          </w:p>
        </w:tc>
        <w:tc>
          <w:tcPr/>
          <w:p>
            <w:pPr>
              <w:pStyle w:val="Compact"/>
              <w:jc w:val="left"/>
            </w:pPr>
            <w:r>
              <w:t xml:space="preserve">10.131</w:t>
            </w:r>
          </w:p>
        </w:tc>
        <w:tc>
          <w:tcPr/>
          <w:p>
            <w:pPr>
              <w:pStyle w:val="Compact"/>
              <w:jc w:val="left"/>
            </w:pPr>
            <w:r>
              <w:t xml:space="preserve">2,0x</w:t>
            </w:r>
          </w:p>
        </w:tc>
        <w:tc>
          <w:tcPr/>
          <w:p>
            <w:pPr>
              <w:pStyle w:val="Compact"/>
              <w:jc w:val="left"/>
            </w:pPr>
            <w:r>
              <w:t xml:space="preserve">35,9</w:t>
            </w:r>
          </w:p>
        </w:tc>
        <w:tc>
          <w:tcPr/>
          <w:p>
            <w:pPr>
              <w:pStyle w:val="Compact"/>
              <w:jc w:val="left"/>
            </w:pPr>
            <w:r>
              <w:t xml:space="preserve">+16,3 %</w:t>
            </w:r>
          </w:p>
        </w:tc>
      </w:tr>
      <w:tr>
        <w:tc>
          <w:tcPr/>
          <w:p>
            <w:pPr>
              <w:pStyle w:val="Compact"/>
              <w:jc w:val="left"/>
            </w:pPr>
            <w:r>
              <w:t xml:space="preserve">Alcista (25 %)</w:t>
            </w:r>
          </w:p>
        </w:tc>
        <w:tc>
          <w:tcPr/>
          <w:p>
            <w:pPr>
              <w:pStyle w:val="Compact"/>
              <w:jc w:val="left"/>
            </w:pPr>
            <w:r>
              <w:t xml:space="preserve">10.875</w:t>
            </w:r>
          </w:p>
        </w:tc>
        <w:tc>
          <w:tcPr/>
          <w:p>
            <w:pPr>
              <w:pStyle w:val="Compact"/>
              <w:jc w:val="left"/>
            </w:pPr>
            <w:r>
              <w:t xml:space="preserve">2,6x</w:t>
            </w:r>
          </w:p>
        </w:tc>
        <w:tc>
          <w:tcPr/>
          <w:p>
            <w:pPr>
              <w:pStyle w:val="Compact"/>
              <w:jc w:val="left"/>
            </w:pPr>
            <w:r>
              <w:t xml:space="preserve">49,7</w:t>
            </w:r>
          </w:p>
        </w:tc>
        <w:tc>
          <w:tcPr/>
          <w:p>
            <w:pPr>
              <w:pStyle w:val="Compact"/>
              <w:jc w:val="left"/>
            </w:pPr>
            <w:r>
              <w:t xml:space="preserve">+60,7 %</w:t>
            </w:r>
          </w:p>
        </w:tc>
      </w:tr>
      <w:tr>
        <w:tc>
          <w:tcPr/>
          <w:p>
            <w:pPr>
              <w:pStyle w:val="Compact"/>
              <w:jc w:val="left"/>
            </w:pPr>
            <w:r>
              <w:rPr>
                <w:bCs/>
                <w:b/>
              </w:rPr>
              <w:t xml:space="preserve">Ponderado (regla v7)</w:t>
            </w:r>
          </w:p>
        </w:tc>
        <w:tc>
          <w:tcPr/>
          <w:p>
            <w:pPr>
              <w:pStyle w:val="Compact"/>
            </w:pPr>
          </w:p>
        </w:tc>
        <w:tc>
          <w:tcPr/>
          <w:p>
            <w:pPr>
              <w:pStyle w:val="Compact"/>
            </w:pPr>
          </w:p>
        </w:tc>
        <w:tc>
          <w:tcPr/>
          <w:p>
            <w:pPr>
              <w:pStyle w:val="Compact"/>
              <w:jc w:val="left"/>
            </w:pPr>
            <w:r>
              <w:rPr>
                <w:bCs/>
                <w:b/>
              </w:rPr>
              <w:t xml:space="preserve">35,2</w:t>
            </w:r>
          </w:p>
        </w:tc>
        <w:tc>
          <w:tcPr/>
          <w:p>
            <w:pPr>
              <w:pStyle w:val="Compact"/>
              <w:jc w:val="left"/>
            </w:pPr>
            <w:r>
              <w:rPr>
                <w:bCs/>
                <w:b/>
              </w:rPr>
              <w:t xml:space="preserve">+14,0 %</w:t>
            </w:r>
          </w:p>
        </w:tc>
      </w:tr>
    </w:tbl>
    <w:p>
      <w:pPr>
        <w:pStyle w:val="BodyText"/>
      </w:pPr>
      <w:r>
        <w:t xml:space="preserve">Acciones dentro de 12 meses: 604 M (dilución neta 0 %); caja de 1.713 M y sin deuda (el FCF futuro no se suma, por la regla).</w:t>
      </w:r>
      <w:r>
        <w:t xml:space="preserve"> </w:t>
      </w:r>
      <w:r>
        <w:rPr>
          <w:bCs/>
          <w:b/>
        </w:rPr>
        <w:t xml:space="preserve">Asimetría: 1,6.</w:t>
      </w:r>
      <w:r>
        <w:t xml:space="preserve"> </w:t>
      </w:r>
      <w:r>
        <w:rPr>
          <w:bCs/>
          <w:b/>
        </w:rPr>
        <w:t xml:space="preserve">Precio máximo de compra: 33,5 USD</w:t>
      </w:r>
      <w:r>
        <w:t xml:space="preserve">, el que da ponderada +5 %; el tope de 35x beneficio bruto estaría en ~129 USD.</w:t>
      </w:r>
    </w:p>
    <w:p>
      <w:pPr>
        <w:pStyle w:val="BodyText"/>
      </w:pPr>
      <w:r>
        <w:rPr>
          <w:bCs/>
          <w:b/>
        </w:rPr>
        <w:t xml:space="preserve">Partiendo de min(mecánico, guía + batida)</w:t>
      </w:r>
      <w:r>
        <w:t xml:space="preserve">, a mano con las fórmulas del motor y sin tocar el código. Como la guía es de beneficio bruto recurrente, se pasa a ventas restando el diferencial medio de crecimiento entre las dos (6,4 pp). Si se aplicara sin convertir (20,6 + 5,9 = 26,5 %), sería mayor que el 23,8 % mecánico y no cambiaría nada.</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Partida del crecimiento</w:t>
            </w:r>
          </w:p>
        </w:tc>
        <w:tc>
          <w:tcPr/>
          <w:p>
            <w:pPr>
              <w:pStyle w:val="Compact"/>
              <w:jc w:val="left"/>
            </w:pPr>
            <w:r>
              <w:t xml:space="preserve">Ventas bajista / base / alcista (M USD)</w:t>
            </w:r>
          </w:p>
        </w:tc>
        <w:tc>
          <w:tcPr/>
          <w:p>
            <w:pPr>
              <w:pStyle w:val="Compact"/>
              <w:jc w:val="left"/>
            </w:pPr>
            <w:r>
              <w:t xml:space="preserve">Precio bajista / base / alcista</w:t>
            </w:r>
          </w:p>
        </w:tc>
        <w:tc>
          <w:tcPr/>
          <w:p>
            <w:pPr>
              <w:pStyle w:val="Compact"/>
              <w:jc w:val="left"/>
            </w:pPr>
            <w:r>
              <w:t xml:space="preserve">Ponderada</w:t>
            </w:r>
          </w:p>
        </w:tc>
        <w:tc>
          <w:tcPr/>
          <w:p>
            <w:pPr>
              <w:pStyle w:val="Compact"/>
              <w:jc w:val="left"/>
            </w:pPr>
            <w:r>
              <w:t xml:space="preserve">Base</w:t>
            </w:r>
          </w:p>
        </w:tc>
        <w:tc>
          <w:tcPr/>
          <w:p>
            <w:pPr>
              <w:pStyle w:val="Compact"/>
              <w:jc w:val="left"/>
            </w:pPr>
            <w:r>
              <w:t xml:space="preserve">Bajista</w:t>
            </w:r>
          </w:p>
        </w:tc>
        <w:tc>
          <w:tcPr/>
          <w:p>
            <w:pPr>
              <w:pStyle w:val="Compact"/>
              <w:jc w:val="left"/>
            </w:pPr>
            <w:r>
              <w:t xml:space="preserve">Señal</w:t>
            </w:r>
          </w:p>
        </w:tc>
        <w:tc>
          <w:tcPr/>
          <w:p>
            <w:pPr>
              <w:pStyle w:val="Compact"/>
              <w:jc w:val="left"/>
            </w:pPr>
            <w:r>
              <w:t xml:space="preserve">Compra hasta</w:t>
            </w:r>
          </w:p>
        </w:tc>
      </w:tr>
      <w:tr>
        <w:tc>
          <w:tcPr/>
          <w:p>
            <w:pPr>
              <w:pStyle w:val="Compact"/>
              <w:jc w:val="left"/>
            </w:pPr>
            <w:r>
              <w:t xml:space="preserve">Mecánica (v7): 23,8 %</w:t>
            </w:r>
          </w:p>
        </w:tc>
        <w:tc>
          <w:tcPr/>
          <w:p>
            <w:pPr>
              <w:pStyle w:val="Compact"/>
              <w:jc w:val="left"/>
            </w:pPr>
            <w:r>
              <w:t xml:space="preserve">8.386 / 10.131 / 10.875</w:t>
            </w:r>
          </w:p>
        </w:tc>
        <w:tc>
          <w:tcPr/>
          <w:p>
            <w:pPr>
              <w:pStyle w:val="Compact"/>
              <w:jc w:val="left"/>
            </w:pPr>
            <w:r>
              <w:t xml:space="preserve">19,3 / 35,9 / 49,7</w:t>
            </w:r>
          </w:p>
        </w:tc>
        <w:tc>
          <w:tcPr/>
          <w:p>
            <w:pPr>
              <w:pStyle w:val="Compact"/>
              <w:jc w:val="left"/>
            </w:pPr>
            <w:r>
              <w:t xml:space="preserve">+14,0 %</w:t>
            </w:r>
          </w:p>
        </w:tc>
        <w:tc>
          <w:tcPr/>
          <w:p>
            <w:pPr>
              <w:pStyle w:val="Compact"/>
              <w:jc w:val="left"/>
            </w:pPr>
            <w:r>
              <w:t xml:space="preserve">+16,3 %</w:t>
            </w:r>
          </w:p>
        </w:tc>
        <w:tc>
          <w:tcPr/>
          <w:p>
            <w:pPr>
              <w:pStyle w:val="Compact"/>
              <w:jc w:val="left"/>
            </w:pPr>
            <w:r>
              <w:t xml:space="preserve">−37,6 %</w:t>
            </w:r>
          </w:p>
        </w:tc>
        <w:tc>
          <w:tcPr/>
          <w:p>
            <w:pPr>
              <w:pStyle w:val="Compact"/>
              <w:jc w:val="left"/>
            </w:pPr>
            <w:r>
              <w:t xml:space="preserve">Comprar (baja)</w:t>
            </w:r>
          </w:p>
        </w:tc>
        <w:tc>
          <w:tcPr/>
          <w:p>
            <w:pPr>
              <w:pStyle w:val="Compact"/>
              <w:jc w:val="left"/>
            </w:pPr>
            <w:r>
              <w:t xml:space="preserve">33,5</w:t>
            </w:r>
          </w:p>
        </w:tc>
      </w:tr>
      <w:tr>
        <w:tc>
          <w:tcPr/>
          <w:p>
            <w:pPr>
              <w:pStyle w:val="Compact"/>
              <w:jc w:val="left"/>
            </w:pPr>
            <w:r>
              <w:rPr>
                <w:bCs/>
                <w:b/>
              </w:rPr>
              <w:t xml:space="preserve">Guía + batida en ventas: 20,5 %</w:t>
            </w:r>
          </w:p>
        </w:tc>
        <w:tc>
          <w:tcPr/>
          <w:p>
            <w:pPr>
              <w:pStyle w:val="Compact"/>
              <w:jc w:val="left"/>
            </w:pPr>
            <w:r>
              <w:t xml:space="preserve">8.155 / 9.627 / 10.250</w:t>
            </w:r>
          </w:p>
        </w:tc>
        <w:tc>
          <w:tcPr/>
          <w:p>
            <w:pPr>
              <w:pStyle w:val="Compact"/>
              <w:jc w:val="left"/>
            </w:pPr>
            <w:r>
              <w:t xml:space="preserve">18,8 / 34,2 / 47,0</w:t>
            </w:r>
          </w:p>
        </w:tc>
        <w:tc>
          <w:tcPr/>
          <w:p>
            <w:pPr>
              <w:pStyle w:val="Compact"/>
              <w:jc w:val="left"/>
            </w:pPr>
            <w:r>
              <w:rPr>
                <w:bCs/>
                <w:b/>
              </w:rPr>
              <w:t xml:space="preserve">+8,6 %</w:t>
            </w:r>
          </w:p>
        </w:tc>
        <w:tc>
          <w:tcPr/>
          <w:p>
            <w:pPr>
              <w:pStyle w:val="Compact"/>
              <w:jc w:val="left"/>
            </w:pPr>
            <w:r>
              <w:t xml:space="preserve">+10,8 %</w:t>
            </w:r>
          </w:p>
        </w:tc>
        <w:tc>
          <w:tcPr/>
          <w:p>
            <w:pPr>
              <w:pStyle w:val="Compact"/>
              <w:jc w:val="left"/>
            </w:pPr>
            <w:r>
              <w:t xml:space="preserve">−39,2 %</w:t>
            </w:r>
          </w:p>
        </w:tc>
        <w:tc>
          <w:tcPr/>
          <w:p>
            <w:pPr>
              <w:pStyle w:val="Compact"/>
              <w:jc w:val="left"/>
            </w:pPr>
            <w:r>
              <w:rPr>
                <w:bCs/>
                <w:b/>
              </w:rPr>
              <w:t xml:space="preserve">Comprar (baja)</w:t>
            </w:r>
          </w:p>
        </w:tc>
        <w:tc>
          <w:tcPr/>
          <w:p>
            <w:pPr>
              <w:pStyle w:val="Compact"/>
              <w:jc w:val="left"/>
            </w:pPr>
            <w:r>
              <w:rPr>
                <w:bCs/>
                <w:b/>
              </w:rPr>
              <w:t xml:space="preserve">31,9</w:t>
            </w:r>
          </w:p>
        </w:tc>
      </w:tr>
      <w:tr>
        <w:tc>
          <w:tcPr/>
          <w:p>
            <w:pPr>
              <w:pStyle w:val="Compact"/>
              <w:jc w:val="left"/>
            </w:pPr>
            <w:r>
              <w:t xml:space="preserve">Ídem, al precio de hoy (29,17)</w:t>
            </w:r>
          </w:p>
        </w:tc>
        <w:tc>
          <w:tcPr/>
          <w:p>
            <w:pPr>
              <w:pStyle w:val="Compact"/>
              <w:jc w:val="left"/>
            </w:pPr>
            <w:r>
              <w:t xml:space="preserve">igual</w:t>
            </w:r>
          </w:p>
        </w:tc>
        <w:tc>
          <w:tcPr/>
          <w:p>
            <w:pPr>
              <w:pStyle w:val="Compact"/>
              <w:jc w:val="left"/>
            </w:pPr>
            <w:r>
              <w:t xml:space="preserve">17,8 / 32,3 / 47,0</w:t>
            </w:r>
          </w:p>
        </w:tc>
        <w:tc>
          <w:tcPr/>
          <w:p>
            <w:pPr>
              <w:pStyle w:val="Compact"/>
              <w:jc w:val="left"/>
            </w:pPr>
            <w:r>
              <w:t xml:space="preserve">+10,9 %</w:t>
            </w:r>
          </w:p>
        </w:tc>
        <w:tc>
          <w:tcPr/>
          <w:p>
            <w:pPr>
              <w:pStyle w:val="Compact"/>
              <w:jc w:val="left"/>
            </w:pPr>
            <w:r>
              <w:t xml:space="preserve">+10,7 %</w:t>
            </w:r>
          </w:p>
        </w:tc>
        <w:tc>
          <w:tcPr/>
          <w:p>
            <w:pPr>
              <w:pStyle w:val="Compact"/>
              <w:jc w:val="left"/>
            </w:pPr>
            <w:r>
              <w:t xml:space="preserve">−39,0 %</w:t>
            </w:r>
          </w:p>
        </w:tc>
        <w:tc>
          <w:tcPr/>
          <w:p>
            <w:pPr>
              <w:pStyle w:val="Compact"/>
              <w:jc w:val="left"/>
            </w:pPr>
            <w:r>
              <w:t xml:space="preserve">Comprar (baja)</w:t>
            </w:r>
          </w:p>
        </w:tc>
        <w:tc>
          <w:tcPr/>
          <w:p>
            <w:pPr>
              <w:pStyle w:val="Compact"/>
              <w:jc w:val="left"/>
            </w:pPr>
            <w:r>
              <w:t xml:space="preserve">30,8</w:t>
            </w:r>
          </w:p>
        </w:tc>
      </w:tr>
      <w:tr>
        <w:tc>
          <w:tcPr/>
          <w:p>
            <w:pPr>
              <w:pStyle w:val="Compact"/>
              <w:jc w:val="left"/>
            </w:pPr>
            <w:r>
              <w:t xml:space="preserve">Proyección propia (+20 % y +18 %)</w:t>
            </w:r>
          </w:p>
        </w:tc>
        <w:tc>
          <w:tcPr/>
          <w:p>
            <w:pPr>
              <w:pStyle w:val="Compact"/>
              <w:jc w:val="left"/>
            </w:pPr>
            <w:r>
              <w:t xml:space="preserve">8.383 / 9.634 / 10.292</w:t>
            </w:r>
          </w:p>
        </w:tc>
        <w:tc>
          <w:tcPr/>
          <w:p>
            <w:pPr>
              <w:pStyle w:val="Compact"/>
              <w:jc w:val="left"/>
            </w:pPr>
            <w:r>
              <w:t xml:space="preserve">—</w:t>
            </w:r>
          </w:p>
        </w:tc>
        <w:tc>
          <w:tcPr/>
          <w:p>
            <w:pPr>
              <w:pStyle w:val="Compact"/>
              <w:jc w:val="left"/>
            </w:pPr>
            <w:r>
              <w:t xml:space="preserve">~+9 %</w:t>
            </w:r>
          </w:p>
        </w:tc>
        <w:tc>
          <w:tcPr/>
          <w:p>
            <w:pPr>
              <w:pStyle w:val="Compact"/>
              <w:jc w:val="left"/>
            </w:pPr>
            <w:r>
              <w:t xml:space="preserve">~+11 %</w:t>
            </w:r>
          </w:p>
        </w:tc>
        <w:tc>
          <w:tcPr/>
          <w:p>
            <w:pPr>
              <w:pStyle w:val="Compact"/>
              <w:jc w:val="left"/>
            </w:pPr>
            <w:r>
              <w:t xml:space="preserve">—</w:t>
            </w:r>
          </w:p>
        </w:tc>
        <w:tc>
          <w:tcPr/>
          <w:p>
            <w:pPr>
              <w:pStyle w:val="Compact"/>
              <w:jc w:val="left"/>
            </w:pPr>
            <w:r>
              <w:t xml:space="preserve">Comprar (baja)</w:t>
            </w:r>
          </w:p>
        </w:tc>
        <w:tc>
          <w:tcPr/>
          <w:p>
            <w:pPr>
              <w:pStyle w:val="Compact"/>
              <w:jc w:val="left"/>
            </w:pPr>
            <w:r>
              <w:t xml:space="preserve">—</w:t>
            </w:r>
          </w:p>
        </w:tc>
      </w:tr>
    </w:tbl>
    <w:p>
      <w:pPr>
        <w:pStyle w:val="BodyText"/>
      </w:pPr>
      <w:r>
        <w:rPr>
          <w:bCs/>
          <w:b/>
        </w:rPr>
        <w:t xml:space="preserve">La señal aguanta en todas las variantes</w:t>
      </w:r>
      <w:r>
        <w:t xml:space="preserve">, pero con la guía queda cerca del listón (ponderada del +5 %). Con probabilidades prudentes 35/50/15, por la ciclicidad, la ponderada con la guía bajaría a ~−0,5 % y pasaría a Mantener. No se aplican porque no se cumple ningún supuesto del método §2.4 (pista infinita, ejecución probada, varios productos).</w:t>
      </w:r>
    </w:p>
    <w:p>
      <w:pPr>
        <w:numPr>
          <w:ilvl w:val="0"/>
          <w:numId w:val="1009"/>
        </w:numPr>
        <w:pStyle w:val="Compact"/>
      </w:pPr>
      <w:r>
        <w:rPr>
          <w:bCs/>
          <w:b/>
        </w:rPr>
        <w:t xml:space="preserve">Consenso</w:t>
      </w:r>
      <w:r>
        <w:t xml:space="preserve">: precio objetivo medio de</w:t>
      </w:r>
      <w:r>
        <w:t xml:space="preserve"> </w:t>
      </w:r>
      <w:r>
        <w:rPr>
          <w:bCs/>
          <w:b/>
        </w:rPr>
        <w:t xml:space="preserve">38,9 USD</w:t>
      </w:r>
      <w:r>
        <w:t xml:space="preserve"> </w:t>
      </w:r>
      <w:r>
        <w:t xml:space="preserve">(30 analistas, «Compra»; StockAnalysis y Ortex), por encima de nuestro objetivo ponderado (35,2). Consenso de ventas del año objetivo: no encontrado (null).</w:t>
      </w:r>
    </w:p>
    <w:p>
      <w:pPr>
        <w:numPr>
          <w:ilvl w:val="0"/>
          <w:numId w:val="1009"/>
        </w:numPr>
        <w:pStyle w:val="Compact"/>
      </w:pPr>
      <w:r>
        <w:rPr>
          <w:bCs/>
          <w:b/>
        </w:rPr>
        <w:t xml:space="preserve">DCF inverso</w:t>
      </w:r>
      <w:r>
        <w:t xml:space="preserve">: con WACC del 10 %, margen FCF que sube del 8,5 % al 15 % en 10 años y crecimiento terminal del 3 %, el precio descuenta</w:t>
      </w:r>
      <w:r>
        <w:t xml:space="preserve"> </w:t>
      </w:r>
      <w:r>
        <w:rPr>
          <w:bCs/>
          <w:b/>
        </w:rPr>
        <w:t xml:space="preserve">~6 % anual durante 10 años</w:t>
      </w:r>
      <w:r>
        <w:t xml:space="preserve"> </w:t>
      </w:r>
      <w:r>
        <w:t xml:space="preserve">(8,4 % con margen final del 12 %; 4 % con el 18 %).</w:t>
      </w:r>
      <w:r>
        <w:t xml:space="preserve"> </w:t>
      </w:r>
      <w:r>
        <w:rPr>
          <w:bCs/>
          <w:b/>
        </w:rPr>
        <w:t xml:space="preserve">Exige muy poco</w:t>
      </w:r>
      <w:r>
        <w:t xml:space="preserve"> </w:t>
      </w:r>
      <w:r>
        <w:t xml:space="preserve">para una empresa que crece al 23 % y gana cuota: el mercado descuenta un frenazo fuerte (saturación de EE. UU. y ciclo).</w:t>
      </w:r>
    </w:p>
    <w:bookmarkEnd w:id="28"/>
    <w:bookmarkStart w:id="29" w:name="foros-y-sentimiento"/>
    <w:p>
      <w:pPr>
        <w:pStyle w:val="Heading2"/>
      </w:pPr>
      <w:r>
        <w:t xml:space="preserve">10. Foros y sentimiento</w:t>
      </w:r>
    </w:p>
    <w:p>
      <w:pPr>
        <w:numPr>
          <w:ilvl w:val="0"/>
          <w:numId w:val="1010"/>
        </w:numPr>
        <w:pStyle w:val="Compact"/>
      </w:pPr>
      <w:r>
        <w:rPr>
          <w:bCs/>
          <w:b/>
        </w:rPr>
        <w:t xml:space="preserve">Prensa y analistas</w:t>
      </w:r>
      <w:r>
        <w:t xml:space="preserve">: en el 1T26, «el miedo a la IA hundió Toast un 43 % con el FCF en récord» y «¿oportunidad única?» (Motley Fool). Tras el 1T cayó un 10-15 % pese a subir la guía: el beneficio decepcionó, había costes de hardware y el registro de acciones para empleados. Tras el 2T, la mayoría sube su objetivo; en septiembre-octubre llegan las rebajas por valoración: BNP, «la recalificación fácil ya ha ocurrido», y Wall Street Zen [9][10].</w:t>
      </w:r>
    </w:p>
    <w:p>
      <w:pPr>
        <w:numPr>
          <w:ilvl w:val="0"/>
          <w:numId w:val="1010"/>
        </w:numPr>
        <w:pStyle w:val="Compact"/>
      </w:pPr>
      <w:r>
        <w:rPr>
          <w:bCs/>
          <w:b/>
        </w:rPr>
        <w:t xml:space="preserve">Seeking Alpha</w:t>
      </w:r>
      <w:r>
        <w:t xml:space="preserve">: hay artículos alcistas («Toast Is Not A Horse», contra el pánico de la IA) y de recorte por valoración. No se pudo leer la ficha de sentimiento.</w:t>
      </w:r>
      <w:r>
        <w:t xml:space="preserve"> </w:t>
      </w:r>
      <w:r>
        <w:rPr>
          <w:bCs/>
          <w:b/>
        </w:rPr>
        <w:t xml:space="preserve">Laguna parcial.</w:t>
      </w:r>
    </w:p>
    <w:p>
      <w:pPr>
        <w:numPr>
          <w:ilvl w:val="0"/>
          <w:numId w:val="1010"/>
        </w:numPr>
        <w:pStyle w:val="Compact"/>
      </w:pPr>
      <w:r>
        <w:rPr>
          <w:bCs/>
          <w:b/>
        </w:rPr>
        <w:t xml:space="preserve">StockTwits</w:t>
      </w:r>
      <w:r>
        <w:t xml:space="preserve"> </w:t>
      </w:r>
      <w:r>
        <w:t xml:space="preserve">(14-oct): 8.203 seguidores; 6 alcistas y 1 bajista de 27 mensajes. Domina la frustración por un valor que no sale del rango de 30 USD y lo vigilan los operadores técnicos («o rompe la media de 200 o cae a 28»). Hoy cae un −5,5 % sin noticia propia encontrada, con el mercado y los restaurantes [11].</w:t>
      </w:r>
    </w:p>
    <w:p>
      <w:pPr>
        <w:numPr>
          <w:ilvl w:val="0"/>
          <w:numId w:val="1010"/>
        </w:numPr>
        <w:pStyle w:val="Compact"/>
      </w:pPr>
      <w:r>
        <w:rPr>
          <w:bCs/>
          <w:b/>
        </w:rPr>
        <w:t xml:space="preserve">Ortex</w:t>
      </w:r>
      <w:r>
        <w:t xml:space="preserve"> </w:t>
      </w:r>
      <w:r>
        <w:t xml:space="preserve">(2-sep): interés corto bajando (6,1 % del capital flotante) y compras de opciones de compra en la caída [9].</w:t>
      </w:r>
    </w:p>
    <w:p>
      <w:pPr>
        <w:numPr>
          <w:ilvl w:val="0"/>
          <w:numId w:val="1010"/>
        </w:numPr>
        <w:pStyle w:val="Compact"/>
      </w:pPr>
      <w:r>
        <w:rPr>
          <w:bCs/>
          <w:b/>
        </w:rPr>
        <w:t xml:space="preserve">Reddit (r/stocks, r/investing, r/toast)</w:t>
      </w:r>
      <w:r>
        <w:t xml:space="preserve">: bloqueado desde aquí.</w:t>
      </w:r>
      <w:r>
        <w:t xml:space="preserve"> </w:t>
      </w:r>
      <w:r>
        <w:rPr>
          <w:bCs/>
          <w:b/>
        </w:rPr>
        <w:t xml:space="preserve">Laguna.</w:t>
      </w:r>
      <w:r>
        <w:t xml:space="preserve"> </w:t>
      </w:r>
      <w:r>
        <w:rPr>
          <w:bCs/>
          <w:b/>
        </w:rPr>
        <w:t xml:space="preserve">En castellano</w:t>
      </w:r>
      <w:r>
        <w:t xml:space="preserve"> </w:t>
      </w:r>
      <w:r>
        <w:t xml:space="preserve">(Rankia, Investing.com ES): sin hilos recientes encontrados.</w:t>
      </w:r>
      <w:r>
        <w:t xml:space="preserve"> </w:t>
      </w:r>
      <w:r>
        <w:rPr>
          <w:bCs/>
          <w:b/>
        </w:rPr>
        <w:t xml:space="preserve">Laguna.</w:t>
      </w:r>
    </w:p>
    <w:p>
      <w:pPr>
        <w:numPr>
          <w:ilvl w:val="0"/>
          <w:numId w:val="1010"/>
        </w:numPr>
        <w:pStyle w:val="Compact"/>
      </w:pPr>
      <w:r>
        <w:rPr>
          <w:bCs/>
          <w:b/>
        </w:rPr>
        <w:t xml:space="preserve">Contraste con los datos</w:t>
      </w:r>
      <w:r>
        <w:t xml:space="preserve">: el sentimiento es peor que el negocio. Las cifras mejoran: guía subida dos veces, récord de locales y margen operativo al alza. Pero el mercado no paga crecimiento en pagos ni en software de pymes en 2026. Que no haya euforia ayuda a la valoración y explica por qué la tendencia (3/8) no acompaña.</w:t>
      </w:r>
    </w:p>
    <w:bookmarkEnd w:id="29"/>
    <w:bookmarkStart w:id="30" w:name="riesgos-y-qué-rompería-la-tesis"/>
    <w:p>
      <w:pPr>
        <w:pStyle w:val="Heading2"/>
      </w:pPr>
      <w:r>
        <w:t xml:space="preserve">11. Riesgos y qué rompería la tesis</w:t>
      </w:r>
    </w:p>
    <w:p>
      <w:pPr>
        <w:numPr>
          <w:ilvl w:val="0"/>
          <w:numId w:val="1011"/>
        </w:numPr>
        <w:pStyle w:val="Compact"/>
      </w:pPr>
      <w:r>
        <w:rPr>
          <w:bCs/>
          <w:b/>
        </w:rPr>
        <w:t xml:space="preserve">Ciclo de la restauración</w:t>
      </w:r>
      <w:r>
        <w:t xml:space="preserve">: una recesión baja el gasto por local y sube los cierres de restaurantes pequeños. El bajista (−38 %) es volver a 1,2x ventas, por debajo del mínimo de mayo.</w:t>
      </w:r>
    </w:p>
    <w:p>
      <w:pPr>
        <w:numPr>
          <w:ilvl w:val="0"/>
          <w:numId w:val="1011"/>
        </w:numPr>
        <w:pStyle w:val="Compact"/>
      </w:pPr>
      <w:r>
        <w:rPr>
          <w:bCs/>
          <w:b/>
        </w:rPr>
        <w:t xml:space="preserve">Reversión del sentimiento y «trampa de valor»</w:t>
      </w:r>
      <w:r>
        <w:t xml:space="preserve">: a 2x ventas puede seguir barata años si el crecimiento converge al 15 %. La tendencia no acompaña (3/8).</w:t>
      </w:r>
    </w:p>
    <w:p>
      <w:pPr>
        <w:numPr>
          <w:ilvl w:val="0"/>
          <w:numId w:val="1011"/>
        </w:numPr>
        <w:pStyle w:val="Compact"/>
      </w:pPr>
      <w:r>
        <w:rPr>
          <w:bCs/>
          <w:b/>
        </w:rPr>
        <w:t xml:space="preserve">Competencia</w:t>
      </w:r>
      <w:r>
        <w:t xml:space="preserve">: Square y Clover en precio, y Shift4 o los TPV para cadenas en el segmento alto. Una guerra de comisiones bajaría el ~0,5 % de margen sobre el GPV.</w:t>
      </w:r>
    </w:p>
    <w:p>
      <w:pPr>
        <w:numPr>
          <w:ilvl w:val="0"/>
          <w:numId w:val="1011"/>
        </w:numPr>
        <w:pStyle w:val="Compact"/>
      </w:pPr>
      <w:r>
        <w:rPr>
          <w:bCs/>
          <w:b/>
        </w:rPr>
        <w:t xml:space="preserve">IA</w:t>
      </w:r>
      <w:r>
        <w:t xml:space="preserve">: los agentes de pedidos de terceros podrían quedarse con la relación con el comensal. El software se abarata.</w:t>
      </w:r>
    </w:p>
    <w:p>
      <w:pPr>
        <w:numPr>
          <w:ilvl w:val="0"/>
          <w:numId w:val="1011"/>
        </w:numPr>
        <w:pStyle w:val="Compact"/>
      </w:pPr>
      <w:r>
        <w:rPr>
          <w:bCs/>
          <w:b/>
        </w:rPr>
        <w:t xml:space="preserve">Crédito</w:t>
      </w:r>
      <w:r>
        <w:t xml:space="preserve">: Toast Capital pasa a prestar desde su balance; las pérdidas por crédito suben (54 M en el 1S26 frente a 40 M).</w:t>
      </w:r>
    </w:p>
    <w:p>
      <w:pPr>
        <w:numPr>
          <w:ilvl w:val="0"/>
          <w:numId w:val="1011"/>
        </w:numPr>
        <w:pStyle w:val="Compact"/>
      </w:pPr>
      <w:r>
        <w:rPr>
          <w:bCs/>
          <w:b/>
        </w:rPr>
        <w:t xml:space="preserve">Hardware y aranceles</w:t>
      </w:r>
      <w:r>
        <w:t xml:space="preserve">: el inventario se ha duplicado; si los aranceles suben, se resiente el margen del hardware (ya negativo).</w:t>
      </w:r>
    </w:p>
    <w:p>
      <w:pPr>
        <w:numPr>
          <w:ilvl w:val="0"/>
          <w:numId w:val="1011"/>
        </w:numPr>
        <w:pStyle w:val="Compact"/>
      </w:pPr>
      <w:r>
        <w:rPr>
          <w:bCs/>
          <w:b/>
        </w:rPr>
        <w:t xml:space="preserve">Concentración geográfica</w:t>
      </w:r>
      <w:r>
        <w:t xml:space="preserve">: casi todo en EE. UU.</w:t>
      </w:r>
    </w:p>
    <w:p>
      <w:pPr>
        <w:pStyle w:val="FirstParagraph"/>
      </w:pPr>
      <w:r>
        <w:rPr>
          <w:bCs/>
          <w:b/>
        </w:rPr>
        <w:t xml:space="preserve">Señales de venta concretas</w:t>
      </w:r>
      <w:r>
        <w:t xml:space="preserve">:</w:t>
      </w:r>
      <w:r>
        <w:t xml:space="preserve"> </w:t>
      </w:r>
      <w:r>
        <w:t xml:space="preserve">- Beneficio bruto recurrente por debajo del +18 % dos trimestres seguidos, o menos de 6.000 locales netos por trimestre.</w:t>
      </w:r>
      <w:r>
        <w:t xml:space="preserve"> </w:t>
      </w:r>
      <w:r>
        <w:t xml:space="preserve">- GPV por local en negativo dos trimestres seguidos (recesión en restauración).</w:t>
      </w:r>
      <w:r>
        <w:t xml:space="preserve"> </w:t>
      </w:r>
      <w:r>
        <w:t xml:space="preserve">- Primera vez que no cumple la guía trimestral.</w:t>
      </w:r>
      <w:r>
        <w:t xml:space="preserve"> </w:t>
      </w:r>
      <w:r>
        <w:t xml:space="preserve">- Margen operativo GAAP a la baja sin explicación de inversión.</w:t>
      </w:r>
    </w:p>
    <w:p>
      <w:pPr>
        <w:pStyle w:val="BodyText"/>
      </w:pPr>
      <w:r>
        <w:t xml:space="preserve">Hoy no hay tesis rota.</w:t>
      </w:r>
    </w:p>
    <w:bookmarkEnd w:id="30"/>
    <w:bookmarkStart w:id="31" w:name="catalizadores-con-fecha"/>
    <w:p>
      <w:pPr>
        <w:pStyle w:val="Heading2"/>
      </w:pPr>
      <w:r>
        <w:t xml:space="preserve">12. Catalizadores con fecha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Fecha</w:t>
            </w:r>
          </w:p>
        </w:tc>
        <w:tc>
          <w:tcPr/>
          <w:p>
            <w:pPr>
              <w:pStyle w:val="Compact"/>
              <w:jc w:val="left"/>
            </w:pPr>
            <w:r>
              <w:t xml:space="preserve">Hecho</w:t>
            </w:r>
          </w:p>
        </w:tc>
        <w:tc>
          <w:tcPr/>
          <w:p>
            <w:pPr>
              <w:pStyle w:val="Compact"/>
              <w:jc w:val="left"/>
            </w:pPr>
            <w:r>
              <w:t xml:space="preserve">Sentido</w:t>
            </w:r>
          </w:p>
        </w:tc>
      </w:tr>
      <w:tr>
        <w:tc>
          <w:tcPr/>
          <w:p>
            <w:pPr>
              <w:pStyle w:val="Compact"/>
              <w:jc w:val="left"/>
            </w:pPr>
            <w:r>
              <w:t xml:space="preserve">~3-6 nov 2026 (sin confirmar)</w:t>
            </w:r>
          </w:p>
        </w:tc>
        <w:tc>
          <w:tcPr/>
          <w:p>
            <w:pPr>
              <w:pStyle w:val="Compact"/>
              <w:jc w:val="left"/>
            </w:pPr>
            <w:r>
              <w:t xml:space="preserve">Resultados del 3T26: guía de +22-24 % en beneficio bruto recurrente; locales netos; primera guía para 2027 en febrero</w:t>
            </w:r>
          </w:p>
        </w:tc>
        <w:tc>
          <w:tcPr/>
          <w:p>
            <w:pPr>
              <w:pStyle w:val="Compact"/>
              <w:jc w:val="left"/>
            </w:pPr>
            <w:r>
              <w:t xml:space="preserve">+/−</w:t>
            </w:r>
          </w:p>
        </w:tc>
      </w:tr>
      <w:tr>
        <w:tc>
          <w:tcPr/>
          <w:p>
            <w:pPr>
              <w:pStyle w:val="Compact"/>
              <w:jc w:val="left"/>
            </w:pPr>
            <w:r>
              <w:t xml:space="preserve">31-dic-2026</w:t>
            </w:r>
          </w:p>
        </w:tc>
        <w:tc>
          <w:tcPr/>
          <w:p>
            <w:pPr>
              <w:pStyle w:val="Compact"/>
              <w:jc w:val="left"/>
            </w:pPr>
            <w:r>
              <w:t xml:space="preserve">Salida del director comercial (Jonathan Vassil)</w:t>
            </w:r>
          </w:p>
        </w:tc>
        <w:tc>
          <w:tcPr/>
          <w:p>
            <w:pPr>
              <w:pStyle w:val="Compact"/>
              <w:jc w:val="left"/>
            </w:pPr>
            <w:r>
              <w:t xml:space="preserve">−</w:t>
            </w:r>
          </w:p>
        </w:tc>
      </w:tr>
      <w:tr>
        <w:tc>
          <w:tcPr/>
          <w:p>
            <w:pPr>
              <w:pStyle w:val="Compact"/>
              <w:jc w:val="left"/>
            </w:pPr>
            <w:r>
              <w:t xml:space="preserve">Feb-2027</w:t>
            </w:r>
          </w:p>
        </w:tc>
        <w:tc>
          <w:tcPr/>
          <w:p>
            <w:pPr>
              <w:pStyle w:val="Compact"/>
              <w:jc w:val="left"/>
            </w:pPr>
            <w:r>
              <w:t xml:space="preserve">Resultados del 4T26 y guía 2027; ¿nueva autorización de recompra? (quedan ~100 M)</w:t>
            </w:r>
          </w:p>
        </w:tc>
        <w:tc>
          <w:tcPr/>
          <w:p>
            <w:pPr>
              <w:pStyle w:val="Compact"/>
              <w:jc w:val="left"/>
            </w:pPr>
            <w:r>
              <w:t xml:space="preserve">+/−</w:t>
            </w:r>
          </w:p>
        </w:tc>
      </w:tr>
      <w:tr>
        <w:tc>
          <w:tcPr/>
          <w:p>
            <w:pPr>
              <w:pStyle w:val="Compact"/>
              <w:jc w:val="left"/>
            </w:pPr>
            <w:r>
              <w:t xml:space="preserve">2026-2027</w:t>
            </w:r>
          </w:p>
        </w:tc>
        <w:tc>
          <w:tcPr/>
          <w:p>
            <w:pPr>
              <w:pStyle w:val="Compact"/>
              <w:jc w:val="left"/>
            </w:pPr>
            <w:r>
              <w:t xml:space="preserve">Despliegue de Applebee’s, TGI Fridays (Reino Unido) y BWH Hotels; Toast IQ Grow</w:t>
            </w:r>
          </w:p>
        </w:tc>
        <w:tc>
          <w:tcPr/>
          <w:p>
            <w:pPr>
              <w:pStyle w:val="Compact"/>
              <w:jc w:val="left"/>
            </w:pPr>
            <w:r>
              <w:t xml:space="preserve">+</w:t>
            </w:r>
          </w:p>
        </w:tc>
      </w:tr>
      <w:tr>
        <w:tc>
          <w:tcPr/>
          <w:p>
            <w:pPr>
              <w:pStyle w:val="Compact"/>
              <w:jc w:val="left"/>
            </w:pPr>
            <w:r>
              <w:t xml:space="preserve">Continuo</w:t>
            </w:r>
          </w:p>
        </w:tc>
        <w:tc>
          <w:tcPr/>
          <w:p>
            <w:pPr>
              <w:pStyle w:val="Compact"/>
              <w:jc w:val="left"/>
            </w:pPr>
            <w:r>
              <w:t xml:space="preserve">Datos de gasto en restaurantes de EE. UU. (ventas comparables de las cadenas cotizadas)</w:t>
            </w:r>
          </w:p>
        </w:tc>
        <w:tc>
          <w:tcPr/>
          <w:p>
            <w:pPr>
              <w:pStyle w:val="Compact"/>
              <w:jc w:val="left"/>
            </w:pPr>
            <w:r>
              <w:t xml:space="preserve">+/−</w:t>
            </w:r>
          </w:p>
        </w:tc>
      </w:tr>
    </w:tbl>
    <w:bookmarkEnd w:id="31"/>
    <w:bookmarkStart w:id="32" w:name="encaje-en-cartera"/>
    <w:p>
      <w:pPr>
        <w:pStyle w:val="Heading2"/>
      </w:pPr>
      <w:r>
        <w:t xml:space="preserve">13. Encaje en cartera</w:t>
      </w:r>
    </w:p>
    <w:p>
      <w:pPr>
        <w:pStyle w:val="FirstParagraph"/>
      </w:pPr>
      <w:r>
        <w:rPr>
          <w:bCs/>
          <w:b/>
        </w:rPr>
        <w:t xml:space="preserve">Situación</w:t>
      </w:r>
      <w:r>
        <w:t xml:space="preserve"> </w:t>
      </w:r>
      <w:r>
        <w:t xml:space="preserve">(</w:t>
      </w:r>
      <w:r>
        <w:rPr>
          <w:rStyle w:val="VerbatimChar"/>
        </w:rPr>
        <w:t xml:space="preserve">MEMORIA.md</w:t>
      </w:r>
      <w:r>
        <w:t xml:space="preserve"> </w:t>
      </w:r>
      <w:r>
        <w:t xml:space="preserve">e</w:t>
      </w:r>
      <w:r>
        <w:t xml:space="preserve"> </w:t>
      </w:r>
      <w:r>
        <w:rPr>
          <w:rStyle w:val="VerbatimChar"/>
        </w:rPr>
        <w:t xml:space="preserve">informes-growth/cartera-growth.md</w:t>
      </w:r>
      <w:r>
        <w:t xml:space="preserve">): cartera value propuesta sin liquidez libre. El</w:t>
      </w:r>
      <w:r>
        <w:t xml:space="preserve"> </w:t>
      </w:r>
      <w:r>
        <w:rPr>
          <w:bCs/>
          <w:b/>
        </w:rPr>
        <w:t xml:space="preserve">bolsillo growth está lleno (~20 %)</w:t>
      </w:r>
      <w:r>
        <w:t xml:space="preserve"> </w:t>
      </w:r>
      <w:r>
        <w:t xml:space="preserve">con Nu, argenx, Shopify, Axon y Snowflake. Suplentes, por orden: Dexcom, Datadog, Samsara, Zscaler y Wise. Cualquier Comprar nuevo tiene que decir a quién sustituye.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Valor</w:t>
            </w:r>
          </w:p>
        </w:tc>
        <w:tc>
          <w:tcPr/>
          <w:p>
            <w:pPr>
              <w:pStyle w:val="Compact"/>
              <w:jc w:val="left"/>
            </w:pPr>
            <w:r>
              <w:t xml:space="preserve">Convicción</w:t>
            </w:r>
          </w:p>
        </w:tc>
        <w:tc>
          <w:tcPr/>
          <w:p>
            <w:pPr>
              <w:pStyle w:val="Compact"/>
              <w:jc w:val="left"/>
            </w:pPr>
            <w:r>
              <w:t xml:space="preserve">Ponderada (regla)</w:t>
            </w:r>
          </w:p>
        </w:tc>
        <w:tc>
          <w:tcPr/>
          <w:p>
            <w:pPr>
              <w:pStyle w:val="Compact"/>
              <w:jc w:val="left"/>
            </w:pPr>
            <w:r>
              <w:t xml:space="preserve">Ponderada con la guía</w:t>
            </w:r>
          </w:p>
        </w:tc>
        <w:tc>
          <w:tcPr/>
          <w:p>
            <w:pPr>
              <w:pStyle w:val="Compact"/>
              <w:jc w:val="left"/>
            </w:pPr>
            <w:r>
              <w:t xml:space="preserve">Bajista</w:t>
            </w:r>
          </w:p>
        </w:tc>
        <w:tc>
          <w:tcPr/>
          <w:p>
            <w:pPr>
              <w:pStyle w:val="Compact"/>
              <w:jc w:val="left"/>
            </w:pPr>
            <w:r>
              <w:t xml:space="preserve">EV/beneficio bruto</w:t>
            </w:r>
          </w:p>
        </w:tc>
      </w:tr>
      <w:tr>
        <w:tc>
          <w:tcPr/>
          <w:p>
            <w:pPr>
              <w:pStyle w:val="Compact"/>
              <w:jc w:val="left"/>
            </w:pPr>
            <w:r>
              <w:t xml:space="preserve">Snowflake</w:t>
            </w:r>
          </w:p>
        </w:tc>
        <w:tc>
          <w:tcPr/>
          <w:p>
            <w:pPr>
              <w:pStyle w:val="Compact"/>
              <w:jc w:val="left"/>
            </w:pPr>
            <w:r>
              <w:t xml:space="preserve">media</w:t>
            </w:r>
          </w:p>
        </w:tc>
        <w:tc>
          <w:tcPr/>
          <w:p>
            <w:pPr>
              <w:pStyle w:val="Compact"/>
              <w:jc w:val="left"/>
            </w:pPr>
            <w:r>
              <w:t xml:space="preserve">+16,8 %</w:t>
            </w:r>
          </w:p>
        </w:tc>
        <w:tc>
          <w:tcPr/>
          <w:p>
            <w:pPr>
              <w:pStyle w:val="Compact"/>
              <w:jc w:val="left"/>
            </w:pPr>
            <w:r>
              <w:t xml:space="preserve">su guía va por encima de la regla</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Shopify</w:t>
            </w:r>
          </w:p>
        </w:tc>
        <w:tc>
          <w:tcPr/>
          <w:p>
            <w:pPr>
              <w:pStyle w:val="Compact"/>
              <w:jc w:val="left"/>
            </w:pPr>
            <w:r>
              <w:t xml:space="preserve">media</w:t>
            </w:r>
          </w:p>
        </w:tc>
        <w:tc>
          <w:tcPr/>
          <w:p>
            <w:pPr>
              <w:pStyle w:val="Compact"/>
              <w:jc w:val="left"/>
            </w:pPr>
            <w:r>
              <w:t xml:space="preserve">+17,6 % (14-oct 16:10)</w:t>
            </w:r>
          </w:p>
        </w:tc>
        <w:tc>
          <w:tcPr/>
          <w:p>
            <w:pPr>
              <w:pStyle w:val="Compact"/>
              <w:jc w:val="left"/>
            </w:pPr>
            <w:r>
              <w:t xml:space="preserve">—</w:t>
            </w:r>
          </w:p>
        </w:tc>
        <w:tc>
          <w:tcPr/>
          <w:p>
            <w:pPr>
              <w:pStyle w:val="Compact"/>
              <w:jc w:val="left"/>
            </w:pPr>
            <w:r>
              <w:t xml:space="preserve">−43 %</w:t>
            </w:r>
          </w:p>
        </w:tc>
        <w:tc>
          <w:tcPr/>
          <w:p>
            <w:pPr>
              <w:pStyle w:val="Compact"/>
              <w:jc w:val="left"/>
            </w:pPr>
            <w:r>
              <w:t xml:space="preserve">27,7x</w:t>
            </w:r>
          </w:p>
        </w:tc>
      </w:tr>
      <w:tr>
        <w:tc>
          <w:tcPr/>
          <w:p>
            <w:pPr>
              <w:pStyle w:val="Compact"/>
              <w:jc w:val="left"/>
            </w:pPr>
            <w:r>
              <w:rPr>
                <w:bCs/>
                <w:b/>
              </w:rPr>
              <w:t xml:space="preserve">Toast</w:t>
            </w:r>
          </w:p>
        </w:tc>
        <w:tc>
          <w:tcPr/>
          <w:p>
            <w:pPr>
              <w:pStyle w:val="Compact"/>
              <w:jc w:val="left"/>
            </w:pPr>
            <w:r>
              <w:rPr>
                <w:bCs/>
                <w:b/>
              </w:rPr>
              <w:t xml:space="preserve">baja</w:t>
            </w:r>
          </w:p>
        </w:tc>
        <w:tc>
          <w:tcPr/>
          <w:p>
            <w:pPr>
              <w:pStyle w:val="Compact"/>
              <w:jc w:val="left"/>
            </w:pPr>
            <w:r>
              <w:rPr>
                <w:bCs/>
                <w:b/>
              </w:rPr>
              <w:t xml:space="preserve">+14,0 % (+16,3 % a 29,17)</w:t>
            </w:r>
          </w:p>
        </w:tc>
        <w:tc>
          <w:tcPr/>
          <w:p>
            <w:pPr>
              <w:pStyle w:val="Compact"/>
              <w:jc w:val="left"/>
            </w:pPr>
            <w:r>
              <w:rPr>
                <w:bCs/>
                <w:b/>
              </w:rPr>
              <w:t xml:space="preserve">+8,6 % (+10,9 % a 29,17)</w:t>
            </w:r>
          </w:p>
        </w:tc>
        <w:tc>
          <w:tcPr/>
          <w:p>
            <w:pPr>
              <w:pStyle w:val="Compact"/>
              <w:jc w:val="left"/>
            </w:pPr>
            <w:r>
              <w:rPr>
                <w:bCs/>
                <w:b/>
              </w:rPr>
              <w:t xml:space="preserve">−38 %</w:t>
            </w:r>
          </w:p>
        </w:tc>
        <w:tc>
          <w:tcPr/>
          <w:p>
            <w:pPr>
              <w:pStyle w:val="Compact"/>
              <w:jc w:val="left"/>
            </w:pPr>
            <w:r>
              <w:rPr>
                <w:bCs/>
                <w:b/>
              </w:rPr>
              <w:t xml:space="preserve">7,8x</w:t>
            </w:r>
          </w:p>
        </w:tc>
      </w:tr>
    </w:tbl>
    <w:p>
      <w:pPr>
        <w:pStyle w:val="BodyText"/>
      </w:pPr>
      <w:r>
        <w:rPr>
          <w:bCs/>
          <w:b/>
        </w:rPr>
        <w:t xml:space="preserve">¿Sustituye a alguna? No.</w:t>
      </w:r>
      <w:r>
        <w:t xml:space="preserve"> </w:t>
      </w:r>
      <w:r>
        <w:t xml:space="preserve">Las candidatas serían las de menor ponderada:</w:t>
      </w:r>
      <w:r>
        <w:t xml:space="preserve"> </w:t>
      </w:r>
      <w:r>
        <w:t xml:space="preserve">-</w:t>
      </w:r>
      <w:r>
        <w:t xml:space="preserve"> </w:t>
      </w:r>
      <w:r>
        <w:rPr>
          <w:bCs/>
          <w:b/>
        </w:rPr>
        <w:t xml:space="preserve">Shopify</w:t>
      </w:r>
      <w:r>
        <w:t xml:space="preserve">: es el mismo tipo de negocio (plataforma de comercio que cobra pagos en bruto), pero tiene más puntuación (77,8 frente a 62,8), convicción media, crecimiento del 34 % que acelera y 5 señales de 8. Toast solo gana en precio (7,8x frente a 27,7x el beneficio bruto) y en bajista (−38 % frente a −43 %). Tener las dos duplicaría la exposición a comercio y pagos.</w:t>
      </w:r>
      <w:r>
        <w:t xml:space="preserve"> </w:t>
      </w:r>
      <w:r>
        <w:t xml:space="preserve">-</w:t>
      </w:r>
      <w:r>
        <w:t xml:space="preserve"> </w:t>
      </w:r>
      <w:r>
        <w:rPr>
          <w:bCs/>
          <w:b/>
        </w:rPr>
        <w:t xml:space="preserve">Snowflake</w:t>
      </w:r>
      <w:r>
        <w:t xml:space="preserve">: su guía va por encima de la regla y tiene convicción media; Toast cae al +8,6 % con su guía.</w:t>
      </w:r>
      <w:r>
        <w:t xml:space="preserve"> </w:t>
      </w:r>
      <w:r>
        <w:t xml:space="preserve">- Además, el usuario descartó Duolingo por</w:t>
      </w:r>
      <w:r>
        <w:t xml:space="preserve"> </w:t>
      </w:r>
      <w:r>
        <w:rPr>
          <w:bCs/>
          <w:b/>
        </w:rPr>
        <w:t xml:space="preserve">miedo al ciclo y a la IA</w:t>
      </w:r>
      <w:r>
        <w:t xml:space="preserve">. Toast tiene la misma exposición al ciclo del consumo (restaurantes) y una exposición menor, pero real, a la IA.</w:t>
      </w:r>
    </w:p>
    <w:p>
      <w:pPr>
        <w:pStyle w:val="BodyText"/>
      </w:pPr>
      <w:r>
        <w:rPr>
          <w:bCs/>
          <w:b/>
        </w:rPr>
        <w:t xml:space="preserve">Puesto de suplente: nº 4</w:t>
      </w:r>
      <w:r>
        <w:t xml:space="preserve">, detrás de Dexcom (diversifica fuera del software y tiene el menor bajista), Datadog y Samsara, y por delante de Zscaler (ejecución comercial dudosa y por encima de su límite) y Wise. Con la guía, su ponderada (+8,6-10,9 %) es parecida a la de Datadog, Samsara y Zscaler (~+9 %). La adelanta su múltiplo, el más bajo del grupo; la retrasan la puntuación más baja y el ciclo.</w:t>
      </w:r>
    </w:p>
    <w:p>
      <w:pPr>
        <w:pStyle w:val="BodyText"/>
      </w:pPr>
      <w:r>
        <w:rPr>
          <w:bCs/>
          <w:b/>
        </w:rPr>
        <w:t xml:space="preserve">Si entrara</w:t>
      </w:r>
      <w:r>
        <w:t xml:space="preserve"> </w:t>
      </w:r>
      <w:r>
        <w:t xml:space="preserve">(hueco libre o liquidez nueva, revisado tras el 3T de principios de noviembre):</w:t>
      </w:r>
      <w:r>
        <w:t xml:space="preserve"> </w:t>
      </w:r>
      <w:r>
        <w:rPr>
          <w:bCs/>
          <w:b/>
        </w:rPr>
        <w:t xml:space="preserve">3,5 %, ~40 acciones a ~1,16 USD/EUR)</w:t>
      </w:r>
      <w:r>
        <w:t xml:space="preserve">. En dos tramos: la mitad con límite de</w:t>
      </w:r>
      <w:r>
        <w:t xml:space="preserve"> </w:t>
      </w:r>
      <w:r>
        <w:rPr>
          <w:bCs/>
          <w:b/>
        </w:rPr>
        <w:t xml:space="preserve">31,9 USD</w:t>
      </w:r>
      <w:r>
        <w:t xml:space="preserve"> </w:t>
      </w:r>
      <w:r>
        <w:t xml:space="preserve">(el precio máximo con la guía, más prudente que los 33,5 de la regla) y la otra mitad tras el 4T26 (feb-2027), si el beneficio bruto recurrente sigue por encima del +20 % y los locales netos por encima de 7.000 por trimestre.</w:t>
      </w:r>
      <w:r>
        <w:t xml:space="preserve"> </w:t>
      </w:r>
      <w:r>
        <w:rPr>
          <w:bCs/>
          <w:b/>
        </w:rPr>
        <w:t xml:space="preserve">Motivo de negocio</w:t>
      </w:r>
      <w:r>
        <w:t xml:space="preserve">: el sistema operativo de los restaurantes de EE. UU. crece al 23 % con FCF y recompra, a menos de 8 veces su beneficio bruto.</w:t>
      </w:r>
      <w:r>
        <w:t xml:space="preserve"> </w:t>
      </w:r>
      <w:r>
        <w:rPr>
          <w:bCs/>
          <w:b/>
        </w:rPr>
        <w:t xml:space="preserve">Encaje</w:t>
      </w:r>
      <w:r>
        <w:t xml:space="preserve">: no es comercio minorista (vende software y pagos a restaurantes), no es juego y no choca con</w:t>
      </w:r>
      <w:r>
        <w:t xml:space="preserve"> </w:t>
      </w:r>
      <w:r>
        <w:rPr>
          <w:rStyle w:val="VerbatimChar"/>
        </w:rPr>
        <w:t xml:space="preserve">MEMORIA.md</w:t>
      </w:r>
      <w:r>
        <w:t xml:space="preserve">.</w:t>
      </w:r>
    </w:p>
    <w:bookmarkEnd w:id="32"/>
    <w:bookmarkStart w:id="33" w:name="puntuación"/>
    <w:p>
      <w:pPr>
        <w:pStyle w:val="Heading2"/>
      </w:pPr>
      <w:r>
        <w:t xml:space="preserve">14. Puntuación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w:t>
            </w:r>
          </w:p>
        </w:tc>
        <w:tc>
          <w:tcPr/>
          <w:p>
            <w:pPr>
              <w:pStyle w:val="Compact"/>
              <w:jc w:val="left"/>
            </w:pPr>
            <w:r>
              <w:t xml:space="preserve">Detalle</w:t>
            </w:r>
          </w:p>
        </w:tc>
      </w:tr>
      <w:tr>
        <w:tc>
          <w:tcPr/>
          <w:p>
            <w:pPr>
              <w:pStyle w:val="Compact"/>
              <w:jc w:val="left"/>
            </w:pPr>
            <w:r>
              <w:t xml:space="preserve">A. Crecimiento</w:t>
            </w:r>
          </w:p>
        </w:tc>
        <w:tc>
          <w:tcPr/>
          <w:p>
            <w:pPr>
              <w:pStyle w:val="Compact"/>
              <w:jc w:val="left"/>
            </w:pPr>
            <w:r>
              <w:t xml:space="preserve">15,0</w:t>
            </w:r>
          </w:p>
        </w:tc>
        <w:tc>
          <w:tcPr/>
          <w:p>
            <w:pPr>
              <w:pStyle w:val="Compact"/>
              <w:jc w:val="left"/>
            </w:pPr>
            <w:r>
              <w:t xml:space="preserve">25</w:t>
            </w:r>
          </w:p>
        </w:tc>
        <w:tc>
          <w:tcPr/>
          <w:p>
            <w:pPr>
              <w:pStyle w:val="Compact"/>
              <w:jc w:val="left"/>
            </w:pPr>
            <w:r>
              <w:t xml:space="preserve">Ventas 12 m +23,0 % (3), CAGR a 2 años 24,6 % (3), aceleración −0,4 pp (3)</w:t>
            </w:r>
          </w:p>
        </w:tc>
      </w:tr>
      <w:tr>
        <w:tc>
          <w:tcPr/>
          <w:p>
            <w:pPr>
              <w:pStyle w:val="Compact"/>
              <w:jc w:val="left"/>
            </w:pPr>
            <w:r>
              <w:t xml:space="preserve">B. Mercado y tecnología</w:t>
            </w:r>
          </w:p>
        </w:tc>
        <w:tc>
          <w:tcPr/>
          <w:p>
            <w:pPr>
              <w:pStyle w:val="Compact"/>
              <w:jc w:val="left"/>
            </w:pPr>
            <w:r>
              <w:t xml:space="preserve">13,3</w:t>
            </w:r>
          </w:p>
        </w:tc>
        <w:tc>
          <w:tcPr/>
          <w:p>
            <w:pPr>
              <w:pStyle w:val="Compact"/>
              <w:jc w:val="left"/>
            </w:pPr>
            <w:r>
              <w:t xml:space="preserve">20</w:t>
            </w:r>
          </w:p>
        </w:tc>
        <w:tc>
          <w:tcPr/>
          <w:p>
            <w:pPr>
              <w:pStyle w:val="Compact"/>
              <w:jc w:val="left"/>
            </w:pPr>
            <w:r>
              <w:t xml:space="preserve">Penetración 12,4 % (2), tecnología 3, posición 5</w:t>
            </w:r>
          </w:p>
        </w:tc>
      </w:tr>
      <w:tr>
        <w:tc>
          <w:tcPr/>
          <w:p>
            <w:pPr>
              <w:pStyle w:val="Compact"/>
              <w:jc w:val="left"/>
            </w:pPr>
            <w:r>
              <w:t xml:space="preserve">C. Cambio de tendencia</w:t>
            </w:r>
          </w:p>
        </w:tc>
        <w:tc>
          <w:tcPr/>
          <w:p>
            <w:pPr>
              <w:pStyle w:val="Compact"/>
              <w:jc w:val="left"/>
            </w:pPr>
            <w:r>
              <w:t xml:space="preserve">7,5</w:t>
            </w:r>
          </w:p>
        </w:tc>
        <w:tc>
          <w:tcPr/>
          <w:p>
            <w:pPr>
              <w:pStyle w:val="Compact"/>
              <w:jc w:val="left"/>
            </w:pPr>
            <w:r>
              <w:t xml:space="preserve">20</w:t>
            </w:r>
          </w:p>
        </w:tc>
        <w:tc>
          <w:tcPr/>
          <w:p>
            <w:pPr>
              <w:pStyle w:val="Compact"/>
              <w:jc w:val="left"/>
            </w:pPr>
            <w:r>
              <w:t xml:space="preserve">3/8 señales, sin euforia</w:t>
            </w:r>
          </w:p>
        </w:tc>
      </w:tr>
      <w:tr>
        <w:tc>
          <w:tcPr/>
          <w:p>
            <w:pPr>
              <w:pStyle w:val="Compact"/>
              <w:jc w:val="left"/>
            </w:pPr>
            <w:r>
              <w:t xml:space="preserve">D. Economía unitaria</w:t>
            </w:r>
          </w:p>
        </w:tc>
        <w:tc>
          <w:tcPr/>
          <w:p>
            <w:pPr>
              <w:pStyle w:val="Compact"/>
              <w:jc w:val="left"/>
            </w:pPr>
            <w:r>
              <w:t xml:space="preserve">8,0</w:t>
            </w:r>
          </w:p>
        </w:tc>
        <w:tc>
          <w:tcPr/>
          <w:p>
            <w:pPr>
              <w:pStyle w:val="Compact"/>
              <w:jc w:val="left"/>
            </w:pPr>
            <w:r>
              <w:t xml:space="preserve">15</w:t>
            </w:r>
          </w:p>
        </w:tc>
        <w:tc>
          <w:tcPr/>
          <w:p>
            <w:pPr>
              <w:pStyle w:val="Compact"/>
              <w:jc w:val="left"/>
            </w:pPr>
            <w:r>
              <w:t xml:space="preserve">Margen bruto 26,7 % (1), regla del 40 = 31,5 (2), FCF creciente (5)</w:t>
            </w:r>
          </w:p>
        </w:tc>
      </w:tr>
      <w:tr>
        <w:tc>
          <w:tcPr/>
          <w:p>
            <w:pPr>
              <w:pStyle w:val="Compact"/>
              <w:jc w:val="left"/>
            </w:pPr>
            <w:r>
              <w:t xml:space="preserve">E. Caja y dilución</w:t>
            </w:r>
          </w:p>
        </w:tc>
        <w:tc>
          <w:tcPr/>
          <w:p>
            <w:pPr>
              <w:pStyle w:val="Compact"/>
              <w:jc w:val="left"/>
            </w:pPr>
            <w:r>
              <w:t xml:space="preserve">10,0</w:t>
            </w:r>
          </w:p>
        </w:tc>
        <w:tc>
          <w:tcPr/>
          <w:p>
            <w:pPr>
              <w:pStyle w:val="Compact"/>
              <w:jc w:val="left"/>
            </w:pPr>
            <w:r>
              <w:t xml:space="preserve">10</w:t>
            </w:r>
          </w:p>
        </w:tc>
        <w:tc>
          <w:tcPr/>
          <w:p>
            <w:pPr>
              <w:pStyle w:val="Compact"/>
              <w:jc w:val="left"/>
            </w:pPr>
            <w:r>
              <w:t xml:space="preserve">FCF positivo (5), dilución ~0 % (5)</w:t>
            </w:r>
          </w:p>
        </w:tc>
      </w:tr>
      <w:tr>
        <w:tc>
          <w:tcPr/>
          <w:p>
            <w:pPr>
              <w:pStyle w:val="Compact"/>
              <w:jc w:val="left"/>
            </w:pPr>
            <w:r>
              <w:t xml:space="preserve">F. Ejecución y dirección</w:t>
            </w:r>
          </w:p>
        </w:tc>
        <w:tc>
          <w:tcPr/>
          <w:p>
            <w:pPr>
              <w:pStyle w:val="Compact"/>
              <w:jc w:val="left"/>
            </w:pPr>
            <w:r>
              <w:t xml:space="preserve">9,0</w:t>
            </w:r>
          </w:p>
        </w:tc>
        <w:tc>
          <w:tcPr/>
          <w:p>
            <w:pPr>
              <w:pStyle w:val="Compact"/>
              <w:jc w:val="left"/>
            </w:pPr>
            <w:r>
              <w:t xml:space="preserve">10</w:t>
            </w:r>
          </w:p>
        </w:tc>
        <w:tc>
          <w:tcPr/>
          <w:p>
            <w:pPr>
              <w:pStyle w:val="Compact"/>
              <w:jc w:val="left"/>
            </w:pPr>
            <w:r>
              <w:t xml:space="preserve">Historial 5, dirección 4</w:t>
            </w:r>
          </w:p>
        </w:tc>
      </w:tr>
      <w:tr>
        <w:tc>
          <w:tcPr/>
          <w:p>
            <w:pPr>
              <w:pStyle w:val="Compact"/>
              <w:jc w:val="left"/>
            </w:pPr>
            <w:r>
              <w:rPr>
                <w:bCs/>
                <w:b/>
              </w:rPr>
              <w:t xml:space="preserve">Total</w:t>
            </w:r>
          </w:p>
        </w:tc>
        <w:tc>
          <w:tcPr/>
          <w:p>
            <w:pPr>
              <w:pStyle w:val="Compact"/>
              <w:jc w:val="left"/>
            </w:pPr>
            <w:r>
              <w:rPr>
                <w:bCs/>
                <w:b/>
              </w:rPr>
              <w:t xml:space="preserve">62,8</w:t>
            </w:r>
          </w:p>
        </w:tc>
        <w:tc>
          <w:tcPr/>
          <w:p>
            <w:pPr>
              <w:pStyle w:val="Compact"/>
              <w:jc w:val="left"/>
            </w:pPr>
            <w:r>
              <w:rPr>
                <w:bCs/>
                <w:b/>
              </w:rPr>
              <w:t xml:space="preserve">100</w:t>
            </w:r>
          </w:p>
        </w:tc>
        <w:tc>
          <w:tcPr/>
          <w:p>
            <w:pPr>
              <w:pStyle w:val="Compact"/>
              <w:jc w:val="left"/>
            </w:pPr>
            <w:r>
              <w:t xml:space="preserve">Señal:</w:t>
            </w:r>
            <w:r>
              <w:t xml:space="preserve"> </w:t>
            </w:r>
            <w:r>
              <w:rPr>
                <w:bCs/>
                <w:b/>
              </w:rPr>
              <w:t xml:space="preserve">Comprar (baja)</w:t>
            </w:r>
            <w:r>
              <w:t xml:space="preserve">; cumple todos los requisitos de compra</w:t>
            </w:r>
          </w:p>
        </w:tc>
      </w:tr>
    </w:tbl>
    <w:p>
      <w:pPr>
        <w:pStyle w:val="BodyText"/>
      </w:pPr>
      <w:r>
        <w:rPr>
          <w:bCs/>
          <w:b/>
        </w:rPr>
        <w:t xml:space="preserve">Mejora de método detectada (para probar con el backtest, sin tocar el motor)</w:t>
      </w:r>
      <w:r>
        <w:t xml:space="preserve">: las</w:t>
      </w:r>
      <w:r>
        <w:t xml:space="preserve"> </w:t>
      </w:r>
      <w:r>
        <w:rPr>
          <w:bCs/>
          <w:b/>
        </w:rPr>
        <w:t xml:space="preserve">plataformas que contabilizan los pagos en bruto</w:t>
      </w:r>
      <w:r>
        <w:t xml:space="preserve"> </w:t>
      </w:r>
      <w:r>
        <w:t xml:space="preserve">(Toast, Shopify, Adyen, Shift4) salen castigadas en el bloque D. Toast pierde 4 de 5 puntos en margen bruto y 3 en la regla del 40, y la inflexión operativa medida sobre ventas no se activa. Medidas sobre beneficio bruto, las tres darían ~+5 puntos. Propuesta: un campo</w:t>
      </w:r>
      <w:r>
        <w:t xml:space="preserve"> </w:t>
      </w:r>
      <w:r>
        <w:rPr>
          <w:rStyle w:val="VerbatimChar"/>
        </w:rPr>
        <w:t xml:space="preserve">base_ventas: "beneficio_bruto"</w:t>
      </w:r>
      <w:r>
        <w:t xml:space="preserve"> </w:t>
      </w:r>
      <w:r>
        <w:t xml:space="preserve">que mida crecimiento, regla del 40 e inflexión sobre el beneficio bruto (o los ingresos netos de costes de pago). El filtro de valoración seguiría siendo el EV/beneficio bruto. Segunda nota: cuando la guía es de otra métrica (aquí, beneficio bruto recurrente), la regla min(mecánico, guía + batida) tiene que</w:t>
      </w:r>
      <w:r>
        <w:t xml:space="preserve"> </w:t>
      </w:r>
      <w:r>
        <w:rPr>
          <w:bCs/>
          <w:b/>
        </w:rPr>
        <w:t xml:space="preserve">convertirla a ventas</w:t>
      </w:r>
      <w:r>
        <w:t xml:space="preserve"> </w:t>
      </w:r>
      <w:r>
        <w:t xml:space="preserve">con el diferencial histórico. Si no, no actúa (26,5 % frente a 23,8 %).</w:t>
      </w:r>
    </w:p>
    <w:bookmarkEnd w:id="33"/>
    <w:bookmarkStart w:id="34" w:name="fuentes"/>
    <w:p>
      <w:pPr>
        <w:pStyle w:val="Heading2"/>
      </w:pPr>
      <w:r>
        <w:t xml:space="preserve">Fuentes</w:t>
      </w:r>
    </w:p>
    <w:p>
      <w:pPr>
        <w:pStyle w:val="FirstParagraph"/>
      </w:pPr>
      <w:r>
        <w:t xml:space="preserve">[1] Toast, nota de resultados del 2T 2026 (4-ago-2026), 8-K ex. 99.1 (SEC, leída directamente): ventas, beneficio bruto por línea, beneficio operativo y neto, EBITDA ajustado, FCF, ARR, locales, GPV, beneficio bruto recurrente, balance, recompra y guía del 3T y del año.</w:t>
      </w:r>
      <w:r>
        <w:t xml:space="preserve"> </w:t>
      </w:r>
      <w:r>
        <w:t xml:space="preserve">[2] Toast, notas de resultados del 3T24, 4T24, 1T25, 2T25, 3T25, 4T25 y 1T26 (8-K ex. 99.1, SEC): guías y reales trimestrales del beneficio bruto recurrente, FCF trimestral, guías anuales 2025 y 2026, contrato con Applebee’s; «CEO and Co-Founder Aman Narang» (3T24).</w:t>
      </w:r>
      <w:r>
        <w:t xml:space="preserve"> </w:t>
      </w:r>
      <w:r>
        <w:t xml:space="preserve">[3] SEC XBRL companyfacts (CIK 1650164): series trimestrales de 2022-2026; 10-K 2025 (competencia, estacionalidad, empleados, ventas casi solo en EE. UU.).</w:t>
      </w:r>
      <w:r>
        <w:t xml:space="preserve"> </w:t>
      </w:r>
      <w:r>
        <w:t xml:space="preserve">[4] Toast, 10-Q del 2T26 (5-ago-2026): acciones a 30-jul, opciones, RSU, warrants, línea de crédito, préstamos en balance y recompra; 8-K del 1-oct-2026 (salida del director comercial); 8-K del 15-ene-2026 (nueva directora de contabilidad).</w:t>
      </w:r>
      <w:r>
        <w:t xml:space="preserve"> </w:t>
      </w:r>
      <w:r>
        <w:t xml:space="preserve">[5] SEC, Formularios 4 de mar-oct 2026 y Schedule 13G/13G/A de BlackRock (30-jul y 5-oct-2026).</w:t>
      </w:r>
      <w:r>
        <w:t xml:space="preserve"> </w:t>
      </w:r>
      <w:r>
        <w:t xml:space="preserve">[6] Yahoo Finance chart API (TOST, QQQ, ^GSPC): cierres, máximos y mínimos, medias de 200 sesiones calculadas; sesión del 14-oct en curso.</w:t>
      </w:r>
      <w:r>
        <w:t xml:space="preserve"> </w:t>
      </w:r>
      <w:r>
        <w:t xml:space="preserve">[7] StockAnalysis, estadísticas de TOST (14-oct-2026): precio, cierre anterior, EV, múltiplos, interés corto y consenso.</w:t>
      </w:r>
      <w:r>
        <w:t xml:space="preserve"> </w:t>
      </w:r>
      <w:r>
        <w:t xml:space="preserve">[8] StockAnalysis, estadísticas de Shift4, Block, PAR Technology y Lightspeed (14-oct-2026); Yahoo Finance (Fiserv).</w:t>
      </w:r>
      <w:r>
        <w:t xml:space="preserve"> </w:t>
      </w:r>
      <w:r>
        <w:t xml:space="preserve">[9] Ortex (2-sep-2026, rebaja de BNP Paribas y posicionamiento); Benzinga (sep-2026); MarketBeat (rebaja de Wall Street Zen, 4-oct-2026; consenso).</w:t>
      </w:r>
      <w:r>
        <w:t xml:space="preserve"> </w:t>
      </w:r>
      <w:r>
        <w:t xml:space="preserve">[10] Investing.com/Reuters, StockStory, Seeking Alpha, Chartmill y Yahoo Finance sobre el 1T26 (7-8 may-2026); Motley Fool (feb-abr-2026) sobre la venta del software por la IA; Seeking Alpha (artículos alcistas y de recorte).</w:t>
      </w:r>
      <w:r>
        <w:t xml:space="preserve"> </w:t>
      </w:r>
      <w:r>
        <w:t xml:space="preserve">[11] StockTwits, flujo público de TOST (API, 14-oct-2026). Reddit, bloqueado desde aquí.</w:t>
      </w:r>
      <w:r>
        <w:t xml:space="preserve"> </w:t>
      </w:r>
      <w:r>
        <w:t xml:space="preserve">[12] Cálculo propio de EV, múltiplos históricos, DCF inverso y escenarios con la guía.</w:t>
      </w:r>
      <w:r>
        <w:t xml:space="preserve"> </w:t>
      </w:r>
      <w:r>
        <w:t xml:space="preserve">[13] Toast, S-1 (2021) y 10-K 2022 (SEC): mercado de ~55.000 M USD de gasto en tecnología de restaurantes de EE. UU. (2024) y ~860.000 restaurantes.</w:t>
      </w:r>
      <w:r>
        <w:t xml:space="preserve"> </w:t>
      </w:r>
      <w:r>
        <w:t xml:space="preserve">[14]</w:t>
      </w:r>
      <w:r>
        <w:t xml:space="preserve"> </w:t>
      </w:r>
      <w:r>
        <w:rPr>
          <w:bCs/>
          <w:b/>
        </w:rPr>
        <w:t xml:space="preserve">De memoria, sin verificar con fuente primaria en esta sesión</w:t>
      </w:r>
      <w:r>
        <w:t xml:space="preserve">: posición competitiva frente a Square, Clover, SpotOn, Lightspeed, Shift4, Oracle Micros, NCR Voyix y PAR.</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2026-10-15T20:45:38Z</dcterms:created>
  <dcterms:modified xsi:type="dcterms:W3CDTF">2026-10-15T20:45:38Z</dcterms:modified>
</cp:coreProperties>
</file>

<file path=docProps/custom.xml><?xml version="1.0" encoding="utf-8"?>
<Properties xmlns="http://schemas.openxmlformats.org/officeDocument/2006/custom-properties" xmlns:vt="http://schemas.openxmlformats.org/officeDocument/2006/docPropsVTypes"/>
</file>