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wise-wse-análisis-growth-14-oct-2026"/>
    <w:p>
      <w:pPr>
        <w:pStyle w:val="Heading1"/>
      </w:pPr>
      <w:r>
        <w:t xml:space="preserve">Wise (WSE): análisis growth, 14-oct-2026</w:t>
      </w:r>
    </w:p>
    <w:p>
      <w:pPr>
        <w:pStyle w:val="FirstParagraph"/>
      </w:pPr>
      <w:r>
        <w:rPr>
          <w:bCs/>
          <w:b/>
        </w:rPr>
        <w:t xml:space="preserve">Señal (método vigente v11): Mantener, en vigilancia</w:t>
      </w:r>
      <w:r>
        <w:t xml:space="preserve"> </w:t>
      </w:r>
      <w:r>
        <w:t xml:space="preserve">· Puntuación 62,8/100 · Señales de cambio de tendencia 1/8 · EV/ventas 3,4 veces</w:t>
      </w:r>
      <w:r>
        <w:t xml:space="preserve"> </w:t>
      </w:r>
      <w:r>
        <w:t xml:space="preserve">Precio 12,22 USD (fecha del informe) · Objetivo 12 m 12,7 USD · Ponderada +3,9 % · Base +4,5 % · Bajista −38,9 % · Alcista +44,8 % · Compra hasta 12,1 USD</w:t>
      </w:r>
      <w:r>
        <w:t xml:space="preserve"> </w:t>
      </w:r>
      <w:r>
        <w:t xml:space="preserve">Peso orientativo: 0 % de la cartera · Por qué: no compra: ponderada &lt; 5 % → en vigilancia</w:t>
      </w:r>
      <w:r>
        <w:t xml:space="preserve"> </w:t>
      </w:r>
      <w:r>
        <w:t xml:space="preserve">Cabecera rehecha con la v11 el 15-oct (auditoría de homogeneidad). Antes decía (método v7): Comprar (convicción baja). El texto de abajo puede citar cifras de esa versión anterior; mandan las de esta cabecera.</w:t>
      </w:r>
    </w:p>
    <w:p>
      <w:pPr>
        <w:pStyle w:val="BodyText"/>
      </w:pPr>
      <w:r>
        <w:rPr>
          <w:bCs/>
          <w:b/>
        </w:rPr>
        <w:t xml:space="preserve">Dónde cotiza.</w:t>
      </w:r>
      <w:r>
        <w:t xml:space="preserve"> </w:t>
      </w:r>
      <w:r>
        <w:t xml:space="preserve">Desde el</w:t>
      </w:r>
      <w:r>
        <w:t xml:space="preserve"> </w:t>
      </w:r>
      <w:r>
        <w:rPr>
          <w:bCs/>
          <w:b/>
        </w:rPr>
        <w:t xml:space="preserve">11-may-2026</w:t>
      </w:r>
      <w:r>
        <w:t xml:space="preserve"> </w:t>
      </w:r>
      <w:r>
        <w:t xml:space="preserve">la cotización principal está en el</w:t>
      </w:r>
      <w:r>
        <w:t xml:space="preserve"> </w:t>
      </w:r>
      <w:r>
        <w:rPr>
          <w:bCs/>
          <w:b/>
        </w:rPr>
        <w:t xml:space="preserve">Nasdaq (WSE)</w:t>
      </w:r>
      <w:r>
        <w:t xml:space="preserve">. Londres (WISE.L) queda como secundaria y sigue concentrando la mayor parte de la negociación. La sociedad matriz es ahora Wise Group plc. Desde el FY26 presenta las cuentas en</w:t>
      </w:r>
      <w:r>
        <w:t xml:space="preserve"> </w:t>
      </w:r>
      <w:r>
        <w:rPr>
          <w:bCs/>
          <w:b/>
        </w:rPr>
        <w:t xml:space="preserve">dólares y con normas contables de EE. UU.</w:t>
      </w:r>
      <w:r>
        <w:t xml:space="preserve">, con resultados trimestrales (20-F y 6-K en la SEC). El ejercicio fiscal cierra el 31 de marzo.</w:t>
      </w:r>
    </w:p>
    <w:p>
      <w:pPr>
        <w:pStyle w:val="BodyText"/>
      </w:pPr>
      <w:r>
        <w:rPr>
          <w:bCs/>
          <w:b/>
        </w:rPr>
        <w:t xml:space="preserve">Qué se toma como «ventas» y qué caja se cuenta.</w:t>
      </w:r>
      <w:r>
        <w:t xml:space="preserve"> </w:t>
      </w:r>
      <w:r>
        <w:t xml:space="preserve">-</w:t>
      </w:r>
      <w:r>
        <w:t xml:space="preserve"> </w:t>
      </w:r>
      <w:r>
        <w:rPr>
          <w:bCs/>
          <w:b/>
        </w:rPr>
        <w:t xml:space="preserve">Ventas = ingresos netos</w:t>
      </w:r>
      <w:r>
        <w:t xml:space="preserve"> </w:t>
      </w:r>
      <w:r>
        <w:t xml:space="preserve">(</w:t>
      </w:r>
      <w:r>
        <w:rPr>
          <w:iCs/>
          <w:i/>
        </w:rPr>
        <w:t xml:space="preserve">net revenue</w:t>
      </w:r>
      <w:r>
        <w:t xml:space="preserve">), la cifra que da la empresa: comisiones (transferencias internacionales, tarjeta y otros) más los intereses cobrados sobre los saldos de clientes, menos los intereses que paga a esos clientes. Los intereses netos son el ~24 % de los ingresos netos del 1T FY27 (173 de 714 M USD). Dependen de los tipos de interés, así que se vigilan aparte.</w:t>
      </w:r>
      <w:r>
        <w:t xml:space="preserve"> </w:t>
      </w:r>
      <w:r>
        <w:t xml:space="preserve">-</w:t>
      </w:r>
      <w:r>
        <w:t xml:space="preserve"> </w:t>
      </w:r>
      <w:r>
        <w:rPr>
          <w:bCs/>
          <w:b/>
        </w:rPr>
        <w:t xml:space="preserve">Caja de clientes, no de la empresa</w:t>
      </w:r>
      <w:r>
        <w:t xml:space="preserve">: los 27.802 M de caja y los 4.583 M de deuda pública del balance son, casi todos, dinero de los clientes, que figura como pasivo (30.254 M de «fondos debidos a clientes»). Solo se cuenta como caja propia la diferencia,</w:t>
      </w:r>
      <w:r>
        <w:t xml:space="preserve"> </w:t>
      </w:r>
      <w:r>
        <w:rPr>
          <w:bCs/>
          <w:b/>
        </w:rPr>
        <w:t xml:space="preserve">~2.130 M USD</w:t>
      </w:r>
      <w:r>
        <w:t xml:space="preserve">. Parte de esa cifra es capital regulatorio y circulante, así que es un supuesto generoso.</w:t>
      </w:r>
      <w:r>
        <w:t xml:space="preserve"> </w:t>
      </w:r>
      <w:r>
        <w:t xml:space="preserve">-</w:t>
      </w:r>
      <w:r>
        <w:t xml:space="preserve"> </w:t>
      </w:r>
      <w:r>
        <w:rPr>
          <w:bCs/>
          <w:b/>
        </w:rPr>
        <w:t xml:space="preserve">Deuda</w:t>
      </w:r>
      <w:r>
        <w:t xml:space="preserve">: el bono de 250 M GBP (335 M USD con la deuda a corto).</w:t>
      </w:r>
    </w:p>
    <w:bookmarkStart w:id="20" w:name="la-tesis-en-cinco-líneas"/>
    <w:p>
      <w:pPr>
        <w:pStyle w:val="Heading2"/>
      </w:pPr>
      <w:r>
        <w:t xml:space="preserve">1. La tesis en cinco líneas</w:t>
      </w:r>
    </w:p>
    <w:p>
      <w:pPr>
        <w:numPr>
          <w:ilvl w:val="0"/>
          <w:numId w:val="1001"/>
        </w:numPr>
        <w:pStyle w:val="Compact"/>
      </w:pPr>
      <w:r>
        <w:t xml:space="preserve">Wise es la red de pagos internacionales más barata y rápida para personas y pymes. Mueve 69.300 M USD por trimestre (+26 %), con una comisión media del 0,50 % y el 77 % de las transferencias instantáneas.</w:t>
      </w:r>
    </w:p>
    <w:p>
      <w:pPr>
        <w:numPr>
          <w:ilvl w:val="0"/>
          <w:numId w:val="1001"/>
        </w:numPr>
        <w:pStyle w:val="Compact"/>
      </w:pPr>
      <w:r>
        <w:t xml:space="preserve">Sus ingresos netos crecen al</w:t>
      </w:r>
      <w:r>
        <w:t xml:space="preserve"> </w:t>
      </w:r>
      <w:r>
        <w:rPr>
          <w:bCs/>
          <w:b/>
        </w:rPr>
        <w:t xml:space="preserve">+22 % en 12 meses</w:t>
      </w:r>
      <w:r>
        <w:t xml:space="preserve"> </w:t>
      </w:r>
      <w:r>
        <w:t xml:space="preserve">(2.644 M USD) y al</w:t>
      </w:r>
      <w:r>
        <w:t xml:space="preserve"> </w:t>
      </w:r>
      <w:r>
        <w:rPr>
          <w:bCs/>
          <w:b/>
        </w:rPr>
        <w:t xml:space="preserve">+25 % en el último trimestre</w:t>
      </w:r>
      <w:r>
        <w:t xml:space="preserve">. Es rentable (margen antes de impuestos del 26 % en el FY26) y tiene FCF estimado del ~23 %.</w:t>
      </w:r>
    </w:p>
    <w:p>
      <w:pPr>
        <w:numPr>
          <w:ilvl w:val="0"/>
          <w:numId w:val="1001"/>
        </w:numPr>
        <w:pStyle w:val="Compact"/>
      </w:pPr>
      <w:r>
        <w:t xml:space="preserve">Cotiza barata para lo que es:</w:t>
      </w:r>
      <w:r>
        <w:t xml:space="preserve"> </w:t>
      </w:r>
      <w:r>
        <w:rPr>
          <w:bCs/>
          <w:b/>
        </w:rPr>
        <w:t xml:space="preserve">3,4x ingresos netos NTM</w:t>
      </w:r>
      <w:r>
        <w:t xml:space="preserve">, frente a una mediana de ~4,2x en 3 años. Su PER adelantado es ~20x. El DCF inverso solo descuenta un</w:t>
      </w:r>
      <w:r>
        <w:t xml:space="preserve"> </w:t>
      </w:r>
      <w:r>
        <w:rPr>
          <w:bCs/>
          <w:b/>
        </w:rPr>
        <w:t xml:space="preserve">~3-6 % anual</w:t>
      </w:r>
      <w:r>
        <w:t xml:space="preserve"> </w:t>
      </w:r>
      <w:r>
        <w:t xml:space="preserve">de crecimiento durante 10 años.</w:t>
      </w:r>
    </w:p>
    <w:p>
      <w:pPr>
        <w:numPr>
          <w:ilvl w:val="0"/>
          <w:numId w:val="1001"/>
        </w:numPr>
        <w:pStyle w:val="Compact"/>
      </w:pPr>
      <w:r>
        <w:t xml:space="preserve">La tendencia va en contra (1/8 señales). Desde junio pesan la investigación de la fiscalía de Bruselas por blanqueo, el rechazo de la licencia bancaria de EE. UU. por deficiencias contra el blanqueo y la bajada de precios, que recorta el margen. La acción cae un 12 % en 6 meses.</w:t>
      </w:r>
    </w:p>
    <w:p>
      <w:pPr>
        <w:numPr>
          <w:ilvl w:val="0"/>
          <w:numId w:val="1001"/>
        </w:numPr>
        <w:pStyle w:val="Compact"/>
      </w:pPr>
      <w:r>
        <w:t xml:space="preserve">Conclusión: la regla da</w:t>
      </w:r>
      <w:r>
        <w:t xml:space="preserve"> </w:t>
      </w:r>
      <w:r>
        <w:rPr>
          <w:bCs/>
          <w:b/>
        </w:rPr>
        <w:t xml:space="preserve">Comprar con convicción baja</w:t>
      </w:r>
      <w:r>
        <w:t xml:space="preserve">, por poco. Como no hay liquidez y la actualización del 2T sale mañana,</w:t>
      </w:r>
      <w:r>
        <w:t xml:space="preserve"> </w:t>
      </w:r>
      <w:r>
        <w:rPr>
          <w:bCs/>
          <w:b/>
        </w:rPr>
        <w:t xml:space="preserve">no se compra ahora</w:t>
      </w:r>
      <w:r>
        <w:t xml:space="preserve">. Se revisa tras los resultados del 1S (12-nov) con un límite de 12,5 USD.</w:t>
      </w:r>
    </w:p>
    <w:bookmarkEnd w:id="20"/>
    <w:bookmarkStart w:id="21" w:name="negocio-y-tecnología"/>
    <w:p>
      <w:pPr>
        <w:pStyle w:val="Heading2"/>
      </w:pPr>
      <w:r>
        <w:t xml:space="preserve">2. Negocio y tecnología</w:t>
      </w:r>
    </w:p>
    <w:p>
      <w:pPr>
        <w:pStyle w:val="FirstParagraph"/>
      </w:pPr>
      <w:r>
        <w:t xml:space="preserve">Wise vende tres cosas [1][3]:</w:t>
      </w:r>
      <w:r>
        <w:t xml:space="preserve"> </w:t>
      </w:r>
      <w:r>
        <w:t xml:space="preserve">-</w:t>
      </w:r>
      <w:r>
        <w:t xml:space="preserve"> </w:t>
      </w:r>
      <w:r>
        <w:rPr>
          <w:bCs/>
          <w:b/>
        </w:rPr>
        <w:t xml:space="preserve">Wise Account</w:t>
      </w:r>
      <w:r>
        <w:t xml:space="preserve"> </w:t>
      </w:r>
      <w:r>
        <w:t xml:space="preserve">(personas): cuenta en más de 40 divisas, transferencias al tipo de cambio medio con comisión transparente y tarjeta de débito.</w:t>
      </w:r>
      <w:r>
        <w:t xml:space="preserve"> </w:t>
      </w:r>
      <w:r>
        <w:t xml:space="preserve">-</w:t>
      </w:r>
      <w:r>
        <w:t xml:space="preserve"> </w:t>
      </w:r>
      <w:r>
        <w:rPr>
          <w:bCs/>
          <w:b/>
        </w:rPr>
        <w:t xml:space="preserve">Wise Business</w:t>
      </w:r>
      <w:r>
        <w:t xml:space="preserve"> </w:t>
      </w:r>
      <w:r>
        <w:t xml:space="preserve">(pymes): la misma cuenta, con pagos masivos, facturas e integraciones.</w:t>
      </w:r>
      <w:r>
        <w:t xml:space="preserve"> </w:t>
      </w:r>
      <w:r>
        <w:t xml:space="preserve">-</w:t>
      </w:r>
      <w:r>
        <w:t xml:space="preserve"> </w:t>
      </w:r>
      <w:r>
        <w:rPr>
          <w:bCs/>
          <w:b/>
        </w:rPr>
        <w:t xml:space="preserve">Wise Platform</w:t>
      </w:r>
      <w:r>
        <w:t xml:space="preserve">: su infraestructura para bancos y empresas (UniCredit, Raiffeisen, Capitec, Morgan Stanley…), que integran los pagos de Wise dentro de su propia aplicación.</w:t>
      </w:r>
    </w:p>
    <w:p>
      <w:pPr>
        <w:pStyle w:val="BodyText"/>
      </w:pPr>
      <w:r>
        <w:rPr>
          <w:bCs/>
          <w:b/>
        </w:rPr>
        <w:t xml:space="preserve">Qué tiene de nuevo</w:t>
      </w:r>
      <w:r>
        <w:t xml:space="preserve">: no es un intermediario sobre la red SWIFT. Ha construido su propia red, con licencias en más de 80 jurisdicciones y</w:t>
      </w:r>
      <w:r>
        <w:t xml:space="preserve"> </w:t>
      </w:r>
      <w:r>
        <w:rPr>
          <w:bCs/>
          <w:b/>
        </w:rPr>
        <w:t xml:space="preserve">conexiones directas a los sistemas de pago nacionales</w:t>
      </w:r>
      <w:r>
        <w:t xml:space="preserve"> </w:t>
      </w:r>
      <w:r>
        <w:t xml:space="preserve">(Reino Unido, UE, Australia, Japón y Brasil en el FY26). Además tiene liquidez propia en cada divisa y una tesorería que predice los flujos. Por eso puede cobrar 0,5 % donde un banco cobra 2-4 %, y cada punto de escala lo devuelve en precio. Es un efecto red de coste: más volumen da menor coste, menor precio y más volumen.</w:t>
      </w:r>
    </w:p>
    <w:p>
      <w:pPr>
        <w:numPr>
          <w:ilvl w:val="0"/>
          <w:numId w:val="1002"/>
        </w:numPr>
        <w:pStyle w:val="Compact"/>
      </w:pPr>
      <w:r>
        <w:rPr>
          <w:bCs/>
          <w:b/>
        </w:rPr>
        <w:t xml:space="preserve">Tecnología 4/5</w:t>
      </w:r>
      <w:r>
        <w:t xml:space="preserve">: las licencias, las conexiones directas y diez años de datos contra el fraude son difíciles de replicar. No es 5 porque las</w:t>
      </w:r>
      <w:r>
        <w:t xml:space="preserve"> </w:t>
      </w:r>
      <w:r>
        <w:rPr>
          <w:iCs/>
          <w:i/>
        </w:rPr>
        <w:t xml:space="preserve">stablecoins</w:t>
      </w:r>
      <w:r>
        <w:t xml:space="preserve"> </w:t>
      </w:r>
      <w:r>
        <w:t xml:space="preserve">y los pagos instantáneos entre sistemas nacionales pueden abaratar el canal para todos.</w:t>
      </w:r>
    </w:p>
    <w:p>
      <w:pPr>
        <w:numPr>
          <w:ilvl w:val="0"/>
          <w:numId w:val="1002"/>
        </w:numPr>
        <w:pStyle w:val="Compact"/>
      </w:pPr>
      <w:r>
        <w:rPr>
          <w:bCs/>
          <w:b/>
        </w:rPr>
        <w:t xml:space="preserve">Posición 4/5</w:t>
      </w:r>
      <w:r>
        <w:t xml:space="preserve">: es líder entre los especialistas digitales (Remitly, Revolut, PayPal/Xoom), pero los bancos siguen moviendo la mayor parte del volumen de personas y pymes.</w:t>
      </w:r>
    </w:p>
    <w:bookmarkEnd w:id="21"/>
    <w:bookmarkStart w:id="22" w:name="crecimiento"/>
    <w:p>
      <w:pPr>
        <w:pStyle w:val="Heading2"/>
      </w:pPr>
      <w:r>
        <w:t xml:space="preserve">3. Crecimiento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Trimestre (FY a marzo)</w:t>
            </w:r>
          </w:p>
        </w:tc>
        <w:tc>
          <w:tcPr/>
          <w:p>
            <w:pPr>
              <w:pStyle w:val="Compact"/>
              <w:jc w:val="left"/>
            </w:pPr>
            <w:r>
              <w:t xml:space="preserve">Ingresos netos (M USD)</w:t>
            </w:r>
          </w:p>
        </w:tc>
        <w:tc>
          <w:tcPr/>
          <w:p>
            <w:pPr>
              <w:pStyle w:val="Compact"/>
              <w:jc w:val="left"/>
            </w:pPr>
            <w:r>
              <w:t xml:space="preserve">Crec. interanual</w:t>
            </w:r>
          </w:p>
        </w:tc>
        <w:tc>
          <w:tcPr/>
          <w:p>
            <w:pPr>
              <w:pStyle w:val="Compact"/>
              <w:jc w:val="left"/>
            </w:pPr>
            <w:r>
              <w:t xml:space="preserve">Comisiones de transacción</w:t>
            </w:r>
          </w:p>
        </w:tc>
        <w:tc>
          <w:tcPr/>
          <w:p>
            <w:pPr>
              <w:pStyle w:val="Compact"/>
              <w:jc w:val="left"/>
            </w:pPr>
            <w:r>
              <w:t xml:space="preserve">Intereses netos</w:t>
            </w:r>
          </w:p>
        </w:tc>
        <w:tc>
          <w:tcPr/>
          <w:p>
            <w:pPr>
              <w:pStyle w:val="Compact"/>
              <w:jc w:val="left"/>
            </w:pPr>
            <w:r>
              <w:t xml:space="preserve">Take rate</w:t>
            </w:r>
          </w:p>
        </w:tc>
      </w:tr>
      <w:tr>
        <w:tc>
          <w:tcPr/>
          <w:p>
            <w:pPr>
              <w:pStyle w:val="Compact"/>
              <w:jc w:val="left"/>
            </w:pPr>
            <w:r>
              <w:t xml:space="preserve">1T FY26 (abr-jun 2025)</w:t>
            </w:r>
          </w:p>
        </w:tc>
        <w:tc>
          <w:tcPr/>
          <w:p>
            <w:pPr>
              <w:pStyle w:val="Compact"/>
              <w:jc w:val="left"/>
            </w:pPr>
            <w:r>
              <w:t xml:space="preserve">573,3</w:t>
            </w:r>
          </w:p>
        </w:tc>
        <w:tc>
          <w:tcPr/>
          <w:p>
            <w:pPr>
              <w:pStyle w:val="Compact"/>
              <w:jc w:val="left"/>
            </w:pPr>
            <w:r>
              <w:t xml:space="preserve">+14,0 %</w:t>
            </w:r>
          </w:p>
        </w:tc>
        <w:tc>
          <w:tcPr/>
          <w:p>
            <w:pPr>
              <w:pStyle w:val="Compact"/>
              <w:jc w:val="left"/>
            </w:pPr>
            <w:r>
              <w:t xml:space="preserve">424,8</w:t>
            </w:r>
          </w:p>
        </w:tc>
        <w:tc>
          <w:tcPr/>
          <w:p>
            <w:pPr>
              <w:pStyle w:val="Compact"/>
              <w:jc w:val="left"/>
            </w:pPr>
            <w:r>
              <w:t xml:space="preserve">148,5</w:t>
            </w:r>
          </w:p>
        </w:tc>
        <w:tc>
          <w:tcPr/>
          <w:p>
            <w:pPr>
              <w:pStyle w:val="Compact"/>
              <w:jc w:val="left"/>
            </w:pPr>
            <w:r>
              <w:t xml:space="preserve">0,52 %</w:t>
            </w:r>
          </w:p>
        </w:tc>
      </w:tr>
      <w:tr>
        <w:tc>
          <w:tcPr/>
          <w:p>
            <w:pPr>
              <w:pStyle w:val="Compact"/>
              <w:jc w:val="left"/>
            </w:pPr>
            <w:r>
              <w:t xml:space="preserve">2T FY26</w:t>
            </w:r>
          </w:p>
        </w:tc>
        <w:tc>
          <w:tcPr/>
          <w:p>
            <w:pPr>
              <w:pStyle w:val="Compact"/>
              <w:jc w:val="left"/>
            </w:pPr>
            <w:r>
              <w:t xml:space="preserve">610,5</w:t>
            </w:r>
          </w:p>
        </w:tc>
        <w:tc>
          <w:tcPr/>
          <w:p>
            <w:pPr>
              <w:pStyle w:val="Compact"/>
              <w:jc w:val="left"/>
            </w:pPr>
            <w:r>
              <w:t xml:space="preserve">+14,6 %</w:t>
            </w:r>
          </w:p>
        </w:tc>
        <w:tc>
          <w:tcPr/>
          <w:p>
            <w:pPr>
              <w:pStyle w:val="Compact"/>
              <w:jc w:val="left"/>
            </w:pPr>
            <w:r>
              <w:t xml:space="preserve">458,4</w:t>
            </w:r>
          </w:p>
        </w:tc>
        <w:tc>
          <w:tcPr/>
          <w:p>
            <w:pPr>
              <w:pStyle w:val="Compact"/>
              <w:jc w:val="left"/>
            </w:pPr>
            <w:r>
              <w:t xml:space="preserve">152,1</w:t>
            </w:r>
          </w:p>
        </w:tc>
        <w:tc>
          <w:tcPr/>
          <w:p>
            <w:pPr>
              <w:pStyle w:val="Compact"/>
              <w:jc w:val="left"/>
            </w:pPr>
            <w:r>
              <w:t xml:space="preserve">0,52 %</w:t>
            </w:r>
          </w:p>
        </w:tc>
      </w:tr>
      <w:tr>
        <w:tc>
          <w:tcPr/>
          <w:p>
            <w:pPr>
              <w:pStyle w:val="Compact"/>
              <w:jc w:val="left"/>
            </w:pPr>
            <w:r>
              <w:t xml:space="preserve">3T FY26</w:t>
            </w:r>
          </w:p>
        </w:tc>
        <w:tc>
          <w:tcPr/>
          <w:p>
            <w:pPr>
              <w:pStyle w:val="Compact"/>
              <w:jc w:val="left"/>
            </w:pPr>
            <w:r>
              <w:t xml:space="preserve">651,2</w:t>
            </w:r>
          </w:p>
        </w:tc>
        <w:tc>
          <w:tcPr/>
          <w:p>
            <w:pPr>
              <w:pStyle w:val="Compact"/>
              <w:jc w:val="left"/>
            </w:pPr>
            <w:r>
              <w:t xml:space="preserve">+20,7 %</w:t>
            </w:r>
          </w:p>
        </w:tc>
        <w:tc>
          <w:tcPr/>
          <w:p>
            <w:pPr>
              <w:pStyle w:val="Compact"/>
              <w:jc w:val="left"/>
            </w:pPr>
            <w:r>
              <w:t xml:space="preserve">496,2</w:t>
            </w:r>
          </w:p>
        </w:tc>
        <w:tc>
          <w:tcPr/>
          <w:p>
            <w:pPr>
              <w:pStyle w:val="Compact"/>
              <w:jc w:val="left"/>
            </w:pPr>
            <w:r>
              <w:t xml:space="preserve">155,0</w:t>
            </w:r>
          </w:p>
        </w:tc>
        <w:tc>
          <w:tcPr/>
          <w:p>
            <w:pPr>
              <w:pStyle w:val="Compact"/>
              <w:jc w:val="left"/>
            </w:pPr>
            <w:r>
              <w:t xml:space="preserve">0,52 %</w:t>
            </w:r>
          </w:p>
        </w:tc>
      </w:tr>
      <w:tr>
        <w:tc>
          <w:tcPr/>
          <w:p>
            <w:pPr>
              <w:pStyle w:val="Compact"/>
              <w:jc w:val="left"/>
            </w:pPr>
            <w:r>
              <w:t xml:space="preserve">4T FY26</w:t>
            </w:r>
          </w:p>
        </w:tc>
        <w:tc>
          <w:tcPr/>
          <w:p>
            <w:pPr>
              <w:pStyle w:val="Compact"/>
              <w:jc w:val="left"/>
            </w:pPr>
            <w:r>
              <w:t xml:space="preserve">667,8</w:t>
            </w:r>
          </w:p>
        </w:tc>
        <w:tc>
          <w:tcPr/>
          <w:p>
            <w:pPr>
              <w:pStyle w:val="Compact"/>
              <w:jc w:val="left"/>
            </w:pPr>
            <w:r>
              <w:t xml:space="preserve">+27,4 %</w:t>
            </w:r>
          </w:p>
        </w:tc>
        <w:tc>
          <w:tcPr/>
          <w:p>
            <w:pPr>
              <w:pStyle w:val="Compact"/>
              <w:jc w:val="left"/>
            </w:pPr>
            <w:r>
              <w:t xml:space="preserve">514,2</w:t>
            </w:r>
          </w:p>
        </w:tc>
        <w:tc>
          <w:tcPr/>
          <w:p>
            <w:pPr>
              <w:pStyle w:val="Compact"/>
              <w:jc w:val="left"/>
            </w:pPr>
            <w:r>
              <w:t xml:space="preserve">153,6</w:t>
            </w:r>
          </w:p>
        </w:tc>
        <w:tc>
          <w:tcPr/>
          <w:p>
            <w:pPr>
              <w:pStyle w:val="Compact"/>
              <w:jc w:val="left"/>
            </w:pPr>
            <w:r>
              <w:t xml:space="preserve">0,51 %</w:t>
            </w:r>
          </w:p>
        </w:tc>
      </w:tr>
      <w:tr>
        <w:tc>
          <w:tcPr/>
          <w:p>
            <w:pPr>
              <w:pStyle w:val="Compact"/>
              <w:jc w:val="left"/>
            </w:pPr>
            <w:r>
              <w:t xml:space="preserve">1T FY27 (abr-jun 2026)</w:t>
            </w:r>
          </w:p>
        </w:tc>
        <w:tc>
          <w:tcPr/>
          <w:p>
            <w:pPr>
              <w:pStyle w:val="Compact"/>
              <w:jc w:val="left"/>
            </w:pPr>
            <w:r>
              <w:t xml:space="preserve">714,0</w:t>
            </w:r>
          </w:p>
        </w:tc>
        <w:tc>
          <w:tcPr/>
          <w:p>
            <w:pPr>
              <w:pStyle w:val="Compact"/>
              <w:jc w:val="left"/>
            </w:pPr>
            <w:r>
              <w:t xml:space="preserve">+24,5 %</w:t>
            </w:r>
          </w:p>
        </w:tc>
        <w:tc>
          <w:tcPr/>
          <w:p>
            <w:pPr>
              <w:pStyle w:val="Compact"/>
              <w:jc w:val="left"/>
            </w:pPr>
            <w:r>
              <w:t xml:space="preserve">540,9</w:t>
            </w:r>
          </w:p>
        </w:tc>
        <w:tc>
          <w:tcPr/>
          <w:p>
            <w:pPr>
              <w:pStyle w:val="Compact"/>
              <w:jc w:val="left"/>
            </w:pPr>
            <w:r>
              <w:t xml:space="preserve">173,1</w:t>
            </w:r>
          </w:p>
        </w:tc>
        <w:tc>
          <w:tcPr/>
          <w:p>
            <w:pPr>
              <w:pStyle w:val="Compact"/>
              <w:jc w:val="left"/>
            </w:pPr>
            <w:r>
              <w:t xml:space="preserve">0,50 %</w:t>
            </w:r>
          </w:p>
        </w:tc>
      </w:tr>
      <w:tr>
        <w:tc>
          <w:tcPr/>
          <w:p>
            <w:pPr>
              <w:pStyle w:val="Compact"/>
              <w:jc w:val="left"/>
            </w:pPr>
            <w:r>
              <w:t xml:space="preserve">Guía FY27</w:t>
            </w:r>
          </w:p>
        </w:tc>
        <w:tc>
          <w:tcPr/>
          <w:p>
            <w:pPr>
              <w:pStyle w:val="Compact"/>
              <w:jc w:val="left"/>
            </w:pPr>
            <w:r>
              <w:t xml:space="preserve">—</w:t>
            </w:r>
          </w:p>
        </w:tc>
        <w:tc>
          <w:tcPr/>
          <w:p>
            <w:pPr>
              <w:pStyle w:val="Compact"/>
              <w:jc w:val="left"/>
            </w:pPr>
            <w:r>
              <w:t xml:space="preserve">~17,5 % a tipo constante</w:t>
            </w:r>
          </w:p>
        </w:tc>
        <w:tc>
          <w:tcPr/>
          <w:p>
            <w:pPr>
              <w:pStyle w:val="Compact"/>
            </w:pPr>
          </w:p>
        </w:tc>
        <w:tc>
          <w:tcPr/>
          <w:p>
            <w:pPr>
              <w:pStyle w:val="Compact"/>
            </w:pPr>
          </w:p>
        </w:tc>
        <w:tc>
          <w:tcPr/>
          <w:p>
            <w:pPr>
              <w:pStyle w:val="Compact"/>
            </w:pP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Ejercicio</w:t>
            </w:r>
          </w:p>
        </w:tc>
        <w:tc>
          <w:tcPr/>
          <w:p>
            <w:pPr>
              <w:pStyle w:val="Compact"/>
              <w:jc w:val="left"/>
            </w:pPr>
            <w:r>
              <w:t xml:space="preserve">Ingresos netos (M USD)</w:t>
            </w:r>
          </w:p>
        </w:tc>
        <w:tc>
          <w:tcPr/>
          <w:p>
            <w:pPr>
              <w:pStyle w:val="Compact"/>
              <w:jc w:val="left"/>
            </w:pPr>
            <w:r>
              <w:t xml:space="preserve">Crec.</w:t>
            </w:r>
          </w:p>
        </w:tc>
        <w:tc>
          <w:tcPr/>
          <w:p>
            <w:pPr>
              <w:pStyle w:val="Compact"/>
              <w:jc w:val="left"/>
            </w:pPr>
            <w:r>
              <w:t xml:space="preserve">Beneficio antes de impuestos</w:t>
            </w:r>
          </w:p>
        </w:tc>
        <w:tc>
          <w:tcPr/>
          <w:p>
            <w:pPr>
              <w:pStyle w:val="Compact"/>
              <w:jc w:val="left"/>
            </w:pPr>
            <w:r>
              <w:t xml:space="preserve">Margen</w:t>
            </w:r>
          </w:p>
        </w:tc>
      </w:tr>
      <w:tr>
        <w:tc>
          <w:tcPr/>
          <w:p>
            <w:pPr>
              <w:pStyle w:val="Compact"/>
              <w:jc w:val="left"/>
            </w:pPr>
            <w:r>
              <w:t xml:space="preserve">FY24</w:t>
            </w:r>
          </w:p>
        </w:tc>
        <w:tc>
          <w:tcPr/>
          <w:p>
            <w:pPr>
              <w:pStyle w:val="Compact"/>
              <w:jc w:val="left"/>
            </w:pPr>
            <w:r>
              <w:t xml:space="preserve">1.776,1</w:t>
            </w:r>
          </w:p>
        </w:tc>
        <w:tc>
          <w:tcPr/>
          <w:p>
            <w:pPr>
              <w:pStyle w:val="Compact"/>
              <w:jc w:val="left"/>
            </w:pPr>
            <w:r>
              <w:t xml:space="preserve">—</w:t>
            </w:r>
          </w:p>
        </w:tc>
        <w:tc>
          <w:tcPr/>
          <w:p>
            <w:pPr>
              <w:pStyle w:val="Compact"/>
              <w:jc w:val="left"/>
            </w:pPr>
            <w:r>
              <w:t xml:space="preserve">656,7</w:t>
            </w:r>
          </w:p>
        </w:tc>
        <w:tc>
          <w:tcPr/>
          <w:p>
            <w:pPr>
              <w:pStyle w:val="Compact"/>
              <w:jc w:val="left"/>
            </w:pPr>
            <w:r>
              <w:t xml:space="preserve">37 %</w:t>
            </w:r>
          </w:p>
        </w:tc>
      </w:tr>
      <w:tr>
        <w:tc>
          <w:tcPr/>
          <w:p>
            <w:pPr>
              <w:pStyle w:val="Compact"/>
              <w:jc w:val="left"/>
            </w:pPr>
            <w:r>
              <w:t xml:space="preserve">FY25</w:t>
            </w:r>
          </w:p>
        </w:tc>
        <w:tc>
          <w:tcPr/>
          <w:p>
            <w:pPr>
              <w:pStyle w:val="Compact"/>
              <w:jc w:val="left"/>
            </w:pPr>
            <w:r>
              <w:t xml:space="preserve">2.098,9</w:t>
            </w:r>
          </w:p>
        </w:tc>
        <w:tc>
          <w:tcPr/>
          <w:p>
            <w:pPr>
              <w:pStyle w:val="Compact"/>
              <w:jc w:val="left"/>
            </w:pPr>
            <w:r>
              <w:t xml:space="preserve">+18 %</w:t>
            </w:r>
          </w:p>
        </w:tc>
        <w:tc>
          <w:tcPr/>
          <w:p>
            <w:pPr>
              <w:pStyle w:val="Compact"/>
              <w:jc w:val="left"/>
            </w:pPr>
            <w:r>
              <w:t xml:space="preserve">717,5</w:t>
            </w:r>
          </w:p>
        </w:tc>
        <w:tc>
          <w:tcPr/>
          <w:p>
            <w:pPr>
              <w:pStyle w:val="Compact"/>
              <w:jc w:val="left"/>
            </w:pPr>
            <w:r>
              <w:t xml:space="preserve">34 %</w:t>
            </w:r>
          </w:p>
        </w:tc>
      </w:tr>
      <w:tr>
        <w:tc>
          <w:tcPr/>
          <w:p>
            <w:pPr>
              <w:pStyle w:val="Compact"/>
              <w:jc w:val="left"/>
            </w:pPr>
            <w:r>
              <w:t xml:space="preserve">FY26</w:t>
            </w:r>
          </w:p>
        </w:tc>
        <w:tc>
          <w:tcPr/>
          <w:p>
            <w:pPr>
              <w:pStyle w:val="Compact"/>
              <w:jc w:val="left"/>
            </w:pPr>
            <w:r>
              <w:t xml:space="preserve">2.502,8</w:t>
            </w:r>
          </w:p>
        </w:tc>
        <w:tc>
          <w:tcPr/>
          <w:p>
            <w:pPr>
              <w:pStyle w:val="Compact"/>
              <w:jc w:val="left"/>
            </w:pPr>
            <w:r>
              <w:t xml:space="preserve">+19 %</w:t>
            </w:r>
          </w:p>
        </w:tc>
        <w:tc>
          <w:tcPr/>
          <w:p>
            <w:pPr>
              <w:pStyle w:val="Compact"/>
              <w:jc w:val="left"/>
            </w:pPr>
            <w:r>
              <w:t xml:space="preserve">660,4</w:t>
            </w:r>
          </w:p>
        </w:tc>
        <w:tc>
          <w:tcPr/>
          <w:p>
            <w:pPr>
              <w:pStyle w:val="Compact"/>
              <w:jc w:val="left"/>
            </w:pPr>
            <w:r>
              <w:t xml:space="preserve">26 %</w:t>
            </w:r>
          </w:p>
        </w:tc>
      </w:tr>
    </w:tbl>
    <w:p>
      <w:pPr>
        <w:pStyle w:val="BodyText"/>
      </w:pPr>
      <w:r>
        <w:t xml:space="preserve">Fuentes: [1][2][3].</w:t>
      </w:r>
    </w:p>
    <w:p>
      <w:pPr>
        <w:numPr>
          <w:ilvl w:val="0"/>
          <w:numId w:val="1003"/>
        </w:numPr>
        <w:pStyle w:val="Compact"/>
      </w:pPr>
      <w:r>
        <w:rPr>
          <w:bCs/>
          <w:b/>
        </w:rPr>
        <w:t xml:space="preserve">Últimos 12 meses</w:t>
      </w:r>
      <w:r>
        <w:t xml:space="preserve"> </w:t>
      </w:r>
      <w:r>
        <w:t xml:space="preserve">(2T FY26-1T FY27):</w:t>
      </w:r>
      <w:r>
        <w:t xml:space="preserve"> </w:t>
      </w:r>
      <w:r>
        <w:rPr>
          <w:bCs/>
          <w:b/>
        </w:rPr>
        <w:t xml:space="preserve">2.643,5 M USD, +21,9 %</w:t>
      </w:r>
      <w:r>
        <w:t xml:space="preserve">.</w:t>
      </w:r>
      <w:r>
        <w:t xml:space="preserve"> </w:t>
      </w:r>
      <w:r>
        <w:rPr>
          <w:bCs/>
          <w:b/>
        </w:rPr>
        <w:t xml:space="preserve">CAGR propio a 2 años: ~19,5 %</w:t>
      </w:r>
      <w:r>
        <w:t xml:space="preserve">. Es una estimación: el FY24 da 18,7 % y no hay datos trimestrales en dólares anteriores a 2024.</w:t>
      </w:r>
    </w:p>
    <w:p>
      <w:pPr>
        <w:numPr>
          <w:ilvl w:val="0"/>
          <w:numId w:val="1003"/>
        </w:numPr>
        <w:pStyle w:val="Compact"/>
      </w:pPr>
      <w:r>
        <w:rPr>
          <w:bCs/>
          <w:b/>
        </w:rPr>
        <w:t xml:space="preserve">Aceleración</w:t>
      </w:r>
      <w:r>
        <w:t xml:space="preserve">: el 1T FY27 (+24,5 %) frente a la media de los cuatro anteriores (+19,2 %) da</w:t>
      </w:r>
      <w:r>
        <w:t xml:space="preserve"> </w:t>
      </w:r>
      <w:r>
        <w:rPr>
          <w:bCs/>
          <w:b/>
        </w:rPr>
        <w:t xml:space="preserve">+5,3 pp</w:t>
      </w:r>
      <w:r>
        <w:t xml:space="preserve">. Ojo: es en dólares. Parte viene del dólar débil (el volumen crece +26 % en dólares y +24 % a tipo constante) y de la comparación con un 4T FY25 flojo. La guía del FY27, a tipo constante, es ~17,5 %.</w:t>
      </w:r>
    </w:p>
    <w:p>
      <w:pPr>
        <w:numPr>
          <w:ilvl w:val="0"/>
          <w:numId w:val="1003"/>
        </w:numPr>
        <w:pStyle w:val="Compact"/>
      </w:pPr>
      <w:r>
        <w:rPr>
          <w:bCs/>
          <w:b/>
        </w:rPr>
        <w:t xml:space="preserve">Motor</w:t>
      </w:r>
      <w:r>
        <w:t xml:space="preserve">: volumen +26 %, clientes activos +21 % (11,9 M), negocio de empresas +39 % en volumen, tarjeta y otros +38 %. La comisión baja (0,64 % → 0,50 % en dos años) a propósito.</w:t>
      </w:r>
    </w:p>
    <w:p>
      <w:pPr>
        <w:numPr>
          <w:ilvl w:val="0"/>
          <w:numId w:val="1003"/>
        </w:numPr>
        <w:pStyle w:val="Compact"/>
      </w:pPr>
      <w:r>
        <w:rPr>
          <w:bCs/>
          <w:b/>
        </w:rPr>
        <w:t xml:space="preserve">Retención</w:t>
      </w:r>
      <w:r>
        <w:t xml:space="preserve">: Wise no publica retención neta (null). Los saldos de clientes crecen +31 % (41.200 M USD con Assets).</w:t>
      </w:r>
    </w:p>
    <w:p>
      <w:pPr>
        <w:numPr>
          <w:ilvl w:val="0"/>
          <w:numId w:val="1003"/>
        </w:numPr>
        <w:pStyle w:val="Compact"/>
      </w:pPr>
      <w:r>
        <w:rPr>
          <w:bCs/>
          <w:b/>
        </w:rPr>
        <w:t xml:space="preserve">Guía FY27</w:t>
      </w:r>
      <w:r>
        <w:t xml:space="preserve">: ingresos netos +15-20 % a tipo constante, «en torno a la mitad», y margen antes de impuestos «en lo alto del 20-25 %». Supone que no cambian los tipos ni lo que se paga a clientes [1][2].</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~50.000 M USD de ingresos</w:t>
      </w:r>
      <w:r>
        <w:t xml:space="preserve"> </w:t>
      </w:r>
      <w:r>
        <w:t xml:space="preserve">(estimación propia [16]). Wise cita 43 billones USD movidos cada año entre países. Personas y pymes serían ~10-12 billones, y a un precio medio de la banca de ~0,45 % dan ~50.000 M.</w:t>
      </w:r>
      <w:r>
        <w:t xml:space="preserve"> </w:t>
      </w:r>
      <w:r>
        <w:rPr>
          <w:bCs/>
          <w:b/>
        </w:rPr>
        <w:t xml:space="preserve">Penetración: 2.644 / 50.000 = 5,3 %</w:t>
      </w:r>
      <w:r>
        <w:t xml:space="preserve">. Su volumen anual (≈ 260.000 M USD) es solo un ~2-3 % del volumen de personas y pymes.</w:t>
      </w:r>
    </w:p>
    <w:p>
      <w:pPr>
        <w:numPr>
          <w:ilvl w:val="0"/>
          <w:numId w:val="1004"/>
        </w:numPr>
        <w:pStyle w:val="Compact"/>
      </w:pPr>
      <w:r>
        <w:rPr>
          <w:bCs/>
          <w:b/>
        </w:rPr>
        <w:t xml:space="preserve">Rivales</w:t>
      </w:r>
      <w:r>
        <w:t xml:space="preserve">: los bancos (que cobran margen en el tipo de cambio), Remitly y Western Union en remesas, Revolut (cuenta multidivisa), PayPal/Xoom, Airwallex y Payoneer en pymes, y Adyen o Stripe en empresas grandes.</w:t>
      </w:r>
    </w:p>
    <w:p>
      <w:pPr>
        <w:numPr>
          <w:ilvl w:val="0"/>
          <w:numId w:val="1004"/>
        </w:numPr>
        <w:pStyle w:val="Compact"/>
      </w:pPr>
      <w:r>
        <w:rPr>
          <w:bCs/>
          <w:b/>
        </w:rPr>
        <w:t xml:space="preserve">Por qué gana</w:t>
      </w:r>
      <w:r>
        <w:t xml:space="preserve">: es el único que combina el precio más bajo del mercado, la velocidad (77 % instantáneas) y una cuenta que se usa a diario (saldos +31 %). Y vende esa misma red a los bancos (Wise Platform) en vez de competir solo contra ellos.</w:t>
      </w:r>
    </w:p>
    <w:p>
      <w:pPr>
        <w:numPr>
          <w:ilvl w:val="0"/>
          <w:numId w:val="1004"/>
        </w:numPr>
        <w:pStyle w:val="Compact"/>
      </w:pPr>
      <w:r>
        <w:rPr>
          <w:bCs/>
          <w:b/>
        </w:rPr>
        <w:t xml:space="preserve">Amenaza nueva</w:t>
      </w:r>
      <w:r>
        <w:t xml:space="preserve">: las</w:t>
      </w:r>
      <w:r>
        <w:t xml:space="preserve"> </w:t>
      </w:r>
      <w:r>
        <w:rPr>
          <w:iCs/>
          <w:i/>
        </w:rPr>
        <w:t xml:space="preserve">stablecoins</w:t>
      </w:r>
      <w:r>
        <w:t xml:space="preserve"> </w:t>
      </w:r>
      <w:r>
        <w:t xml:space="preserve">(ley GENIUS en EE. UU.) y los enlaces directos entre sistemas de pago instantáneo pueden abaratar la transferencia internacional para todos. Wise quiere ser la capa que conecta esos raíles: de ahí su nueva solicitud de licencia en EE. UU. [4].</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No</w:t>
            </w:r>
          </w:p>
        </w:tc>
        <w:tc>
          <w:tcPr/>
          <w:p>
            <w:pPr>
              <w:pStyle w:val="Compact"/>
              <w:jc w:val="left"/>
            </w:pPr>
            <w:r>
              <w:t xml:space="preserve">Objetivo medio en Londres de ~1.291 p (mar) a ~1.197 p (ago). JPMorgan inicia en Sobreponderar (17,50 USD), pero Citi sigue en Vender. Sin subida de estimaciones.</w:t>
            </w:r>
          </w:p>
        </w:tc>
        <w:tc>
          <w:tcPr/>
          <w:p>
            <w:pPr>
              <w:pStyle w:val="Compact"/>
              <w:jc w:val="left"/>
            </w:pPr>
            <w:r>
              <w:t xml:space="preserve">[8][9][10]</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920 p frente a una media de ~915 p, plana desde hace dos meses.</w:t>
            </w:r>
          </w:p>
        </w:tc>
        <w:tc>
          <w:tcPr/>
          <w:p>
            <w:pPr>
              <w:pStyle w:val="Compact"/>
              <w:jc w:val="left"/>
            </w:pPr>
            <w:r>
              <w:t xml:space="preserve">[6]</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−12 % frente a +1 % del FTSE 100 y +17 % del Nasdaq-100.</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No</w:t>
            </w:r>
          </w:p>
        </w:tc>
        <w:tc>
          <w:tcPr/>
          <w:p>
            <w:pPr>
              <w:pStyle w:val="Compact"/>
              <w:jc w:val="left"/>
            </w:pPr>
            <w:r>
              <w:t xml:space="preserve">De ~3,0x (mínimo del 9-jun) a ~3,4x: +13 %, menos del 20 % que pide la regla.</w:t>
            </w:r>
          </w:p>
        </w:tc>
        <w:tc>
          <w:tcPr/>
          <w:p>
            <w:pPr>
              <w:pStyle w:val="Compact"/>
              <w:jc w:val="left"/>
            </w:pPr>
            <w:r>
              <w:t xml:space="preserve">[12]</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Ya era rentable y el margen baja (34 % → 26 %) porque reinvierte en precio.</w:t>
            </w:r>
          </w:p>
        </w:tc>
        <w:tc>
          <w:tcPr/>
          <w:p>
            <w:pPr>
              <w:pStyle w:val="Compact"/>
              <w:jc w:val="left"/>
            </w:pPr>
            <w:r>
              <w:t xml:space="preserve">[2][3]</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No</w:t>
            </w:r>
          </w:p>
        </w:tc>
        <w:tc>
          <w:tcPr/>
          <w:p>
            <w:pPr>
              <w:pStyle w:val="Compact"/>
              <w:jc w:val="left"/>
            </w:pPr>
            <w:r>
              <w:t xml:space="preserve">Fiscalía de Bruselas (jun), rechazo de la OCC (jul), investigación de un bufete por posible demanda colectiva (ago). Las recompras animan a algunos, pero no hay giro.</w:t>
            </w:r>
          </w:p>
        </w:tc>
        <w:tc>
          <w:tcPr/>
          <w:p>
            <w:pPr>
              <w:pStyle w:val="Compact"/>
              <w:jc w:val="left"/>
            </w:pPr>
            <w:r>
              <w:t xml:space="preserve">[4][5][11][13]</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Solo ventas de directivos tras ejercer opciones (a 12,86 USD). Los 13G de Orbis (5,5 %) y Baillie Gifford (10,5 %) son de accionistas que ya estaban.</w:t>
            </w:r>
          </w:p>
        </w:tc>
        <w:tc>
          <w:tcPr/>
          <w:p>
            <w:pPr>
              <w:pStyle w:val="Compact"/>
              <w:jc w:val="left"/>
            </w:pPr>
            <w:r>
              <w:t xml:space="preserve">[7]</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2T FY27 el 15-oct y 1S el 12-nov; Wise Platform con bancos grandes; conexiones directas con Brasil y Japón; nueva solicitud de licencia en EE. UU.</w:t>
            </w:r>
          </w:p>
        </w:tc>
        <w:tc>
          <w:tcPr/>
          <w:p>
            <w:pPr>
              <w:pStyle w:val="Compact"/>
              <w:jc w:val="left"/>
            </w:pPr>
            <w:r>
              <w:t xml:space="preserve">[1][4][15]</w:t>
            </w:r>
          </w:p>
        </w:tc>
      </w:tr>
    </w:tbl>
    <w:p>
      <w:pPr>
        <w:pStyle w:val="BodyText"/>
      </w:pPr>
      <w:r>
        <w:rPr>
          <w:bCs/>
          <w:b/>
        </w:rPr>
        <w:t xml:space="preserve">Euforia: no.</w:t>
      </w:r>
      <w:r>
        <w:t xml:space="preserve"> </w:t>
      </w:r>
      <w:r>
        <w:t xml:space="preserve">La acción cae un 6,5 % en 12 meses (984,5 p → 920,4 p) y el EV/beneficio bruto es de 4,3x.</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 ~79 %</w:t>
      </w:r>
      <w:r>
        <w:t xml:space="preserve"> </w:t>
      </w:r>
      <w:r>
        <w:t xml:space="preserve">en el FY26: ingresos netos (2.502,8) menos gasto de transacción (513,6, que incluye 102 M de efecto divisa en parte compensado en el patrimonio) y pérdidas (13,9) [3]. Si se cargara también el servicio al cliente y el cumplimiento normativo (396,6), quedaría en ~63 %. Es la cifra con la que el método mide el EV/beneficio bruto.</w:t>
      </w:r>
    </w:p>
    <w:p>
      <w:pPr>
        <w:numPr>
          <w:ilvl w:val="0"/>
          <w:numId w:val="1005"/>
        </w:numPr>
        <w:pStyle w:val="Compact"/>
      </w:pPr>
      <w:r>
        <w:rPr>
          <w:bCs/>
          <w:b/>
        </w:rPr>
        <w:t xml:space="preserve">FCF estimado ~587 M USD (23,5 %)</w:t>
      </w:r>
      <w:r>
        <w:t xml:space="preserve">: beneficio neto 498,7 + amortizaciones 14,4 + pagos en acciones 95,5 − inversiones 21,4. El flujo operativo publicado (7.554 M) no sirve, porque incluye la entrada de saldos de clientes. Sin sumar los pagos en acciones, el margen sería del 19,6 %.</w:t>
      </w:r>
      <w:r>
        <w:t xml:space="preserve"> </w:t>
      </w:r>
      <w:r>
        <w:rPr>
          <w:bCs/>
          <w:b/>
        </w:rPr>
        <w:t xml:space="preserve">FCF positivo pero plano</w:t>
      </w:r>
      <w:r>
        <w:t xml:space="preserve">: unos 590 M en FY24, FY25 y FY26.</w:t>
      </w:r>
    </w:p>
    <w:p>
      <w:pPr>
        <w:numPr>
          <w:ilvl w:val="0"/>
          <w:numId w:val="1005"/>
        </w:numPr>
        <w:pStyle w:val="Compact"/>
      </w:pPr>
      <w:r>
        <w:rPr>
          <w:bCs/>
          <w:b/>
        </w:rPr>
        <w:t xml:space="preserve">Regla del 40</w:t>
      </w:r>
      <w:r>
        <w:t xml:space="preserve">: 21,9 + 23,5 =</w:t>
      </w:r>
      <w:r>
        <w:t xml:space="preserve"> </w:t>
      </w:r>
      <w:r>
        <w:rPr>
          <w:bCs/>
          <w:b/>
        </w:rPr>
        <w:t xml:space="preserve">45,4</w:t>
      </w:r>
      <w:r>
        <w:t xml:space="preserve">.</w:t>
      </w:r>
    </w:p>
    <w:p>
      <w:pPr>
        <w:numPr>
          <w:ilvl w:val="0"/>
          <w:numId w:val="1005"/>
        </w:numPr>
        <w:pStyle w:val="Compact"/>
      </w:pPr>
      <w:r>
        <w:rPr>
          <w:bCs/>
          <w:b/>
        </w:rPr>
        <w:t xml:space="preserve">Apalancamiento operativo, gastado a propósito</w:t>
      </w:r>
      <w:r>
        <w:t xml:space="preserve">: los gastos crecieron un 39 % en el FY26 (marketing +62 %, G&amp;A +40 % por la cotización en EE. UU. y la regulación). La política es devolver la eficiencia en forma de precio y quedarse en un margen del 20-25 %. Hay un matiz: el margen «objetivo» es del 15-20 % si pudiera devolver a los clientes el 80 % de los intereses por encima del 1 % (hoy solo devuelve el 45 % de ese objetivo, sobre todo por el Reino Unido) [2][3].</w:t>
      </w:r>
    </w:p>
    <w:p>
      <w:pPr>
        <w:numPr>
          <w:ilvl w:val="0"/>
          <w:numId w:val="1005"/>
        </w:numPr>
        <w:pStyle w:val="Compact"/>
      </w:pPr>
      <w:r>
        <w:rPr>
          <w:bCs/>
          <w:b/>
        </w:rPr>
        <w:t xml:space="preserve">Sensibilidad a los tipos</w:t>
      </w:r>
      <w:r>
        <w:t xml:space="preserve">: la rentabilidad media de los saldos bajó del 3,9 % al 3,0 % en el FY26. Con 31.000 M de saldos, cada punto menos de tipos son ~300 M de ingresos brutos, ~165 M netos si Wise devuelve un 45 %.</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 propia ~2.130 M USD</w:t>
      </w:r>
      <w:r>
        <w:t xml:space="preserve"> </w:t>
      </w:r>
      <w:r>
        <w:t xml:space="preserve">a 31-mar-2026 (estimación, ver arriba) y</w:t>
      </w:r>
      <w:r>
        <w:t xml:space="preserve"> </w:t>
      </w:r>
      <w:r>
        <w:rPr>
          <w:bCs/>
          <w:b/>
        </w:rPr>
        <w:t xml:space="preserve">deuda 335 M</w:t>
      </w:r>
      <w:r>
        <w:t xml:space="preserve"> </w:t>
      </w:r>
      <w:r>
        <w:t xml:space="preserve">(bono al 5,1 % a 2030; línea de crédito de 330 M GBP sin usar) [3].</w:t>
      </w:r>
    </w:p>
    <w:p>
      <w:pPr>
        <w:numPr>
          <w:ilvl w:val="0"/>
          <w:numId w:val="1006"/>
        </w:numPr>
        <w:pStyle w:val="Compact"/>
      </w:pPr>
      <w:r>
        <w:rPr>
          <w:bCs/>
          <w:b/>
        </w:rPr>
        <w:t xml:space="preserve">Pista</w:t>
      </w:r>
      <w:r>
        <w:t xml:space="preserve">: FCF positivo, sin quema.</w:t>
      </w:r>
    </w:p>
    <w:p>
      <w:pPr>
        <w:numPr>
          <w:ilvl w:val="0"/>
          <w:numId w:val="1006"/>
        </w:numPr>
        <w:pStyle w:val="Compact"/>
      </w:pPr>
      <w:r>
        <w:rPr>
          <w:bCs/>
          <w:b/>
        </w:rPr>
        <w:t xml:space="preserve">Dilución: ~0 % neta.</w:t>
      </w:r>
      <w:r>
        <w:t xml:space="preserve"> </w:t>
      </w:r>
      <w:r>
        <w:t xml:space="preserve">Las acciones diluidas medias bajan de 1.045,7 M (FY25) a 1.029,7 M (FY26). La recompra de 405 M GBP (~540 M USD, hasta mar-2027) destina un 40 % a cubrir planes de empleados y un 60 % a autocartera. Hoy hay 1.020,7 M de acciones clase A emitidas y 4,4 M en autocartera (24-sep). Se toman 1.020 M diluidas [3][7].</w:t>
      </w:r>
    </w:p>
    <w:p>
      <w:pPr>
        <w:numPr>
          <w:ilvl w:val="0"/>
          <w:numId w:val="1006"/>
        </w:numPr>
        <w:pStyle w:val="Compact"/>
      </w:pPr>
      <w:r>
        <w:rPr>
          <w:bCs/>
          <w:b/>
        </w:rPr>
        <w:t xml:space="preserve">Pagos en acciones: 3,8 % de los ingresos netos</w:t>
      </w:r>
      <w:r>
        <w:t xml:space="preserve"> </w:t>
      </w:r>
      <w:r>
        <w:t xml:space="preserve">(95,5 M). Lejos del 15 % del método.</w:t>
      </w:r>
    </w:p>
    <w:p>
      <w:pPr>
        <w:numPr>
          <w:ilvl w:val="0"/>
          <w:numId w:val="1006"/>
        </w:numPr>
        <w:pStyle w:val="Compact"/>
      </w:pPr>
      <w:r>
        <w:rPr>
          <w:bCs/>
          <w:b/>
        </w:rPr>
        <w:t xml:space="preserve">Gobierno</w:t>
      </w:r>
      <w:r>
        <w:t xml:space="preserve">: hay acciones clase B solo de voto, y los votos del fundador tienen un tope de un voto por debajo del 50 % [7].</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(4/5)</w:t>
      </w:r>
      <w:r>
        <w:t xml:space="preserve">: en el FY26 llegó a lo alto de su objetivo de crecimiento (19 %) y superó el de margen (26 % frente a 20-25 %). En el FY25 y el FY24 también cumplió. El 1T FY27 (+25 %) va por encima de la guía. Le resta que la reacción al 1T fue negativa (−5 % antes de abrir) y que no he podido comprobar uno a uno los ocho trimestres con fuente primaria.</w:t>
      </w:r>
    </w:p>
    <w:p>
      <w:pPr>
        <w:numPr>
          <w:ilvl w:val="0"/>
          <w:numId w:val="1007"/>
        </w:numPr>
        <w:pStyle w:val="Compact"/>
      </w:pPr>
      <w:r>
        <w:rPr>
          <w:bCs/>
          <w:b/>
        </w:rPr>
        <w:t xml:space="preserve">Dirección (3/5)</w:t>
      </w:r>
      <w:r>
        <w:t xml:space="preserve">: el cofundador Kristo Käärmann es CEO y tiene el 18,2 % de la clase A [7]. La asignación de capital es sensata (recompras con FCF, sin adquisiciones caras). Le restan los fallos de cumplimiento normativo, que ya son un patrón: orden de consentimiento de varios estados de EE. UU. (jul-2025), investigación de la fiscalía de Bruselas (jun-2026) y rechazo de la OCC por «deficiencias» contra el blanqueo (jul-2026) [4][5]. También el coste y las ventas de directivos. Barak Eilam (ex-CEO de NICE) será presidente desde abril de 2027 [15].</w:t>
      </w:r>
    </w:p>
    <w:bookmarkEnd w:id="27"/>
    <w:bookmarkStart w:id="28" w:name="valoración"/>
    <w:p>
      <w:pPr>
        <w:pStyle w:val="Heading2"/>
      </w:pPr>
      <w:r>
        <w:t xml:space="preserve">9. Valoración</w:t>
      </w:r>
    </w:p>
    <w:p>
      <w:pPr>
        <w:pStyle w:val="FirstParagraph"/>
      </w:pPr>
      <w:r>
        <w:rPr>
          <w:bCs/>
          <w:b/>
        </w:rPr>
        <w:t xml:space="preserve">Ejercicio objetivo</w:t>
      </w:r>
      <w:r>
        <w:t xml:space="preserve">: los 12 meses a junio de 2028, dos años después de los últimos 12 meses.</w:t>
      </w:r>
      <w:r>
        <w:t xml:space="preserve"> </w:t>
      </w:r>
      <w:r>
        <w:rPr>
          <w:bCs/>
          <w:b/>
        </w:rPr>
        <w:t xml:space="preserve">Métrica: EV/ingresos netos NTM.</w:t>
      </w:r>
      <w:r>
        <w:t xml:space="preserve"> </w:t>
      </w:r>
      <w:r>
        <w:t xml:space="preserve">Wise es rentable de forma estable, pero su beneficio depende de los tipos de interés; con márgenes estables, el EV/ventas y el EV/EBIT se mueven juntos.</w:t>
      </w:r>
    </w:p>
    <w:p>
      <w:pPr>
        <w:numPr>
          <w:ilvl w:val="0"/>
          <w:numId w:val="1008"/>
        </w:numPr>
        <w:pStyle w:val="Compact"/>
      </w:pPr>
      <w:r>
        <w:rPr>
          <w:bCs/>
          <w:b/>
        </w:rPr>
        <w:t xml:space="preserve">EV de hoy</w:t>
      </w:r>
      <w:r>
        <w:t xml:space="preserve">: 12,22 × 1.020 − 2.130 + 335 =</w:t>
      </w:r>
      <w:r>
        <w:t xml:space="preserve"> </w:t>
      </w:r>
      <w:r>
        <w:rPr>
          <w:bCs/>
          <w:b/>
        </w:rPr>
        <w:t xml:space="preserve">10.669 M USD</w:t>
      </w:r>
      <w:r>
        <w:t xml:space="preserve">.</w:t>
      </w:r>
      <w:r>
        <w:t xml:space="preserve"> </w:t>
      </w:r>
      <w:r>
        <w:rPr>
          <w:bCs/>
          <w:b/>
        </w:rPr>
        <w:t xml:space="preserve">Ventas NTM</w:t>
      </w:r>
      <w:r>
        <w:t xml:space="preserve">: ~3.119 M (+18 %).</w:t>
      </w:r>
      <w:r>
        <w:t xml:space="preserve"> </w:t>
      </w:r>
      <w:r>
        <w:rPr>
          <w:bCs/>
          <w:b/>
        </w:rPr>
        <w:t xml:space="preserve">EV/ventas NTM 3,4x</w:t>
      </w:r>
      <w:r>
        <w:t xml:space="preserve">;</w:t>
      </w:r>
      <w:r>
        <w:t xml:space="preserve"> </w:t>
      </w:r>
      <w:r>
        <w:rPr>
          <w:bCs/>
          <w:b/>
        </w:rPr>
        <w:t xml:space="preserve">EV/beneficio bruto 4,3x</w:t>
      </w:r>
      <w:r>
        <w:t xml:space="preserve"> </w:t>
      </w:r>
      <w:r>
        <w:t xml:space="preserve">(muy lejos del tope de 35x); PER adelantado ~20x [9].</w:t>
      </w:r>
    </w:p>
    <w:p>
      <w:pPr>
        <w:numPr>
          <w:ilvl w:val="0"/>
          <w:numId w:val="1008"/>
        </w:numPr>
        <w:pStyle w:val="Compact"/>
      </w:pPr>
      <w:r>
        <w:rPr>
          <w:bCs/>
          <w:b/>
        </w:rPr>
        <w:t xml:space="preserve">Historia (cálculo propio [12])</w:t>
      </w:r>
      <w:r>
        <w:t xml:space="preserve">: ~3,9x (oct-23), 4,3x (abr-24), 3,4x (oct-24), 4,5x (abr-25), 4,2x (oct-25), 4,2x (abr-26) y 3,0x (jun-26).</w:t>
      </w:r>
      <w:r>
        <w:t xml:space="preserve"> </w:t>
      </w:r>
      <w:r>
        <w:rPr>
          <w:bCs/>
          <w:b/>
        </w:rPr>
        <w:t xml:space="preserve">Mediana de 3 años ~4,2x, mínimo ~3,0x.</w:t>
      </w:r>
    </w:p>
    <w:p>
      <w:pPr>
        <w:numPr>
          <w:ilvl w:val="0"/>
          <w:numId w:val="1008"/>
        </w:numPr>
        <w:pStyle w:val="Compact"/>
      </w:pPr>
      <w:r>
        <w:rPr>
          <w:bCs/>
          <w:b/>
        </w:rPr>
        <w:t xml:space="preserve">Comparables (~2,4x de mediana; de memoria [16])</w:t>
      </w:r>
      <w:r>
        <w:t xml:space="preserve">: Adyen ~6x, dLocal ~3,3x, Flywire ~2,6x, Remitly ~2,2x, Payoneer ~1,9x y PayPal ~1,5x (3,3x sobre el margen de transacción). Wise cotiza con prima frente a las de remesas y muy por debajo de Adyen.</w:t>
      </w:r>
    </w:p>
    <w:p>
      <w:pPr>
        <w:numPr>
          <w:ilvl w:val="0"/>
          <w:numId w:val="1008"/>
        </w:numPr>
        <w:pStyle w:val="Compact"/>
      </w:pPr>
      <w:r>
        <w:rPr>
          <w:bCs/>
          <w:b/>
        </w:rPr>
        <w:t xml:space="preserve">Desaceleración</w:t>
      </w:r>
      <w:r>
        <w:t xml:space="preserve">: del 18 % NTM al 15 % en el año objetivo, factor 0,91.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Escenario</w:t>
            </w:r>
          </w:p>
        </w:tc>
        <w:tc>
          <w:tcPr/>
          <w:p>
            <w:pPr>
              <w:pStyle w:val="Compact"/>
              <w:jc w:val="left"/>
            </w:pPr>
            <w:r>
              <w:t xml:space="preserve">Ventas a jun-2028 (M USD)</w:t>
            </w:r>
          </w:p>
        </w:tc>
        <w:tc>
          <w:tcPr/>
          <w:p>
            <w:pPr>
              <w:pStyle w:val="Compact"/>
              <w:jc w:val="left"/>
            </w:pPr>
            <w:r>
              <w:t xml:space="preserve">Múltiplo</w:t>
            </w:r>
          </w:p>
        </w:tc>
        <w:tc>
          <w:tcPr/>
          <w:p>
            <w:pPr>
              <w:pStyle w:val="Compact"/>
              <w:jc w:val="left"/>
            </w:pPr>
            <w:r>
              <w:t xml:space="preserve">Precio 12 m (USD)</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3.191</w:t>
            </w:r>
          </w:p>
        </w:tc>
        <w:tc>
          <w:tcPr/>
          <w:p>
            <w:pPr>
              <w:pStyle w:val="Compact"/>
              <w:jc w:val="left"/>
            </w:pPr>
            <w:r>
              <w:t xml:space="preserve">1,9x</w:t>
            </w:r>
          </w:p>
        </w:tc>
        <w:tc>
          <w:tcPr/>
          <w:p>
            <w:pPr>
              <w:pStyle w:val="Compact"/>
              <w:jc w:val="left"/>
            </w:pPr>
            <w:r>
              <w:t xml:space="preserve">7,6</w:t>
            </w:r>
          </w:p>
        </w:tc>
        <w:tc>
          <w:tcPr/>
          <w:p>
            <w:pPr>
              <w:pStyle w:val="Compact"/>
              <w:jc w:val="left"/>
            </w:pPr>
            <w:r>
              <w:t xml:space="preserve">−37,9 %</w:t>
            </w:r>
          </w:p>
        </w:tc>
      </w:tr>
      <w:tr>
        <w:tc>
          <w:tcPr/>
          <w:p>
            <w:pPr>
              <w:pStyle w:val="Compact"/>
              <w:jc w:val="left"/>
            </w:pPr>
            <w:r>
              <w:t xml:space="preserve">Base (50 %)</w:t>
            </w:r>
          </w:p>
        </w:tc>
        <w:tc>
          <w:tcPr/>
          <w:p>
            <w:pPr>
              <w:pStyle w:val="Compact"/>
              <w:jc w:val="left"/>
            </w:pPr>
            <w:r>
              <w:t xml:space="preserve">3.790</w:t>
            </w:r>
          </w:p>
        </w:tc>
        <w:tc>
          <w:tcPr/>
          <w:p>
            <w:pPr>
              <w:pStyle w:val="Compact"/>
              <w:jc w:val="left"/>
            </w:pPr>
            <w:r>
              <w:t xml:space="preserve">3,1x</w:t>
            </w:r>
          </w:p>
        </w:tc>
        <w:tc>
          <w:tcPr/>
          <w:p>
            <w:pPr>
              <w:pStyle w:val="Compact"/>
              <w:jc w:val="left"/>
            </w:pPr>
            <w:r>
              <w:t xml:space="preserve">13,3</w:t>
            </w:r>
          </w:p>
        </w:tc>
        <w:tc>
          <w:tcPr/>
          <w:p>
            <w:pPr>
              <w:pStyle w:val="Compact"/>
              <w:jc w:val="left"/>
            </w:pPr>
            <w:r>
              <w:t xml:space="preserve">+8,8 %</w:t>
            </w:r>
          </w:p>
        </w:tc>
      </w:tr>
      <w:tr>
        <w:tc>
          <w:tcPr/>
          <w:p>
            <w:pPr>
              <w:pStyle w:val="Compact"/>
              <w:jc w:val="left"/>
            </w:pPr>
            <w:r>
              <w:t xml:space="preserve">Alcista (25 %)</w:t>
            </w:r>
          </w:p>
        </w:tc>
        <w:tc>
          <w:tcPr/>
          <w:p>
            <w:pPr>
              <w:pStyle w:val="Compact"/>
              <w:jc w:val="left"/>
            </w:pPr>
            <w:r>
              <w:t xml:space="preserve">4.044</w:t>
            </w:r>
          </w:p>
        </w:tc>
        <w:tc>
          <w:tcPr/>
          <w:p>
            <w:pPr>
              <w:pStyle w:val="Compact"/>
              <w:jc w:val="left"/>
            </w:pPr>
            <w:r>
              <w:t xml:space="preserve">4,2x</w:t>
            </w:r>
          </w:p>
        </w:tc>
        <w:tc>
          <w:tcPr/>
          <w:p>
            <w:pPr>
              <w:pStyle w:val="Compact"/>
              <w:jc w:val="left"/>
            </w:pPr>
            <w:r>
              <w:t xml:space="preserve">18,4</w:t>
            </w:r>
          </w:p>
        </w:tc>
        <w:tc>
          <w:tcPr/>
          <w:p>
            <w:pPr>
              <w:pStyle w:val="Compact"/>
              <w:jc w:val="left"/>
            </w:pPr>
            <w:r>
              <w:t xml:space="preserve">+50,7 %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13,2</w:t>
            </w:r>
          </w:p>
        </w:tc>
        <w:tc>
          <w:tcPr/>
          <w:p>
            <w:pPr>
              <w:pStyle w:val="Compact"/>
              <w:jc w:val="left"/>
            </w:pPr>
            <w:r>
              <w:rPr>
                <w:bCs/>
                <w:b/>
              </w:rPr>
              <w:t xml:space="preserve">+7,6 %</w:t>
            </w:r>
          </w:p>
        </w:tc>
      </w:tr>
    </w:tbl>
    <w:p>
      <w:pPr>
        <w:pStyle w:val="BodyText"/>
      </w:pPr>
      <w:r>
        <w:t xml:space="preserve">Caja 2.130 M y deuda 335 M; 1.020 M de acciones sin dilución.</w:t>
      </w:r>
      <w:r>
        <w:t xml:space="preserve"> </w:t>
      </w:r>
      <w:r>
        <w:rPr>
          <w:bCs/>
          <w:b/>
        </w:rPr>
        <w:t xml:space="preserve">Asimetría: 1,3.</w:t>
      </w:r>
      <w:r>
        <w:t xml:space="preserve"> </w:t>
      </w:r>
      <w:r>
        <w:rPr>
          <w:bCs/>
          <w:b/>
        </w:rPr>
        <w:t xml:space="preserve">Precio máximo de compra: 12,5 USD</w:t>
      </w:r>
      <w:r>
        <w:t xml:space="preserve"> </w:t>
      </w:r>
      <w:r>
        <w:t xml:space="preserve">(≈ 950 p): el que da una ponderada del +5 %. El tope de 35x beneficio bruto estaría muy por encima.</w:t>
      </w:r>
    </w:p>
    <w:p>
      <w:pPr>
        <w:pStyle w:val="BodyText"/>
      </w:pPr>
      <w:r>
        <w:rPr>
          <w:bCs/>
          <w:b/>
        </w:rPr>
        <w:t xml:space="preserve">Contrastes (no entran en la regla):</w:t>
      </w:r>
      <w:r>
        <w:t xml:space="preserve"> </w:t>
      </w:r>
      <w:r>
        <w:t xml:space="preserve">-</w:t>
      </w:r>
      <w:r>
        <w:t xml:space="preserve"> </w:t>
      </w:r>
      <w:r>
        <w:rPr>
          <w:bCs/>
          <w:b/>
        </w:rPr>
        <w:t xml:space="preserve">Proyección propia</w:t>
      </w:r>
      <w:r>
        <w:t xml:space="preserve">: 3.140 / 3.620 / 3.870 M USD. El base es un 4,5 % menor que el mecánico, porque la regla parte de un crecimiento del ~21 % y la guía es ~17,5 % a tipo constante.</w:t>
      </w:r>
      <w:r>
        <w:t xml:space="preserve"> </w:t>
      </w:r>
      <w:r>
        <w:rPr>
          <w:bCs/>
          <w:b/>
        </w:rPr>
        <w:t xml:space="preserve">Con ventas que crecen al ritmo de la guía, la puntuación baja a 57,8 y la ponderada a +3,5 % → Mantener.</w:t>
      </w:r>
      <w:r>
        <w:t xml:space="preserve"> </w:t>
      </w:r>
      <w:r>
        <w:t xml:space="preserve">Con probabilidades 35/50/15 (si se considera dudosa la ejecución por los problemas de cumplimiento), la ponderada sería del −1,2 % → Mantener. La compra depende de supuestos favorables.</w:t>
      </w:r>
      <w:r>
        <w:t xml:space="preserve"> </w:t>
      </w:r>
      <w:r>
        <w:t xml:space="preserve">-</w:t>
      </w:r>
      <w:r>
        <w:t xml:space="preserve"> </w:t>
      </w:r>
      <w:r>
        <w:rPr>
          <w:bCs/>
          <w:b/>
        </w:rPr>
        <w:t xml:space="preserve">Consenso</w:t>
      </w:r>
      <w:r>
        <w:t xml:space="preserve">: precio objetivo de 17,04 USD (13 analistas, «Compra fuerte», StockAnalysis) y 1.197 p en Londres (MarketBeat, ago). Ambos están muy por encima del objetivo del método. Consenso de ventas a 2028: no encontrado (null).</w:t>
      </w:r>
      <w:r>
        <w:t xml:space="preserve"> </w:t>
      </w:r>
      <w:r>
        <w:t xml:space="preserve">-</w:t>
      </w:r>
      <w:r>
        <w:t xml:space="preserve"> </w:t>
      </w:r>
      <w:r>
        <w:rPr>
          <w:bCs/>
          <w:b/>
        </w:rPr>
        <w:t xml:space="preserve">DCF inverso</w:t>
      </w:r>
      <w:r>
        <w:t xml:space="preserve">: con WACC del 9,5 %, margen FCF del 23,5 % que sube al 25 % y crecimiento terminal del 3 %, el precio descuenta</w:t>
      </w:r>
      <w:r>
        <w:t xml:space="preserve"> </w:t>
      </w:r>
      <w:r>
        <w:rPr>
          <w:bCs/>
          <w:b/>
        </w:rPr>
        <w:t xml:space="preserve">~3,4 % anual durante 10 años</w:t>
      </w:r>
      <w:r>
        <w:t xml:space="preserve"> </w:t>
      </w:r>
      <w:r>
        <w:t xml:space="preserve">(~5,8 % con FCF sin sumar los pagos en acciones). Muy por debajo del 15-20 % que la empresa espera a medio plazo. Es barata si el negocio no se rompe por la regulación o por los tipos.</w:t>
      </w:r>
    </w:p>
    <w:bookmarkEnd w:id="28"/>
    <w:bookmarkStart w:id="29" w:name="foros-y-sentimiento"/>
    <w:p>
      <w:pPr>
        <w:pStyle w:val="Heading2"/>
      </w:pPr>
      <w:r>
        <w:t xml:space="preserve">10. Foros y sentimiento</w:t>
      </w:r>
    </w:p>
    <w:p>
      <w:pPr>
        <w:numPr>
          <w:ilvl w:val="0"/>
          <w:numId w:val="1009"/>
        </w:numPr>
        <w:pStyle w:val="Compact"/>
      </w:pPr>
      <w:r>
        <w:rPr>
          <w:bCs/>
          <w:b/>
        </w:rPr>
        <w:t xml:space="preserve">Prensa</w:t>
      </w:r>
      <w:r>
        <w:t xml:space="preserve">: el tono de 2026 lo marcan los problemas regulatorios. En junio (Reuters, Yahoo, ERR) la fiscalía de Bruselas investiga ~500 M EUR de operaciones sospechosas en Wise Europe y la acción llega a caer un 19 % en la sesión. En julio la OCC rechaza la licencia (The Banker: «deficiencias de larga duración» en el control del blanqueo). En agosto un bufete investiga si Wise ocultó la investigación belga [4][5][13].</w:t>
      </w:r>
    </w:p>
    <w:p>
      <w:pPr>
        <w:numPr>
          <w:ilvl w:val="0"/>
          <w:numId w:val="1009"/>
        </w:numPr>
        <w:pStyle w:val="Compact"/>
      </w:pPr>
      <w:r>
        <w:rPr>
          <w:bCs/>
          <w:b/>
        </w:rPr>
        <w:t xml:space="preserve">Seeking Alpha</w:t>
      </w:r>
      <w:r>
        <w:t xml:space="preserve">: dividido. «Vender, objetivo 7 GBP» por cara frente a las fintech de EE. UU. y por la presión sobre los intereses (27-jun), y «Mantener» porque la cotización en EE. UU. aún no ha traído inversores nuevos (1-jul) [11].</w:t>
      </w:r>
    </w:p>
    <w:p>
      <w:pPr>
        <w:numPr>
          <w:ilvl w:val="0"/>
          <w:numId w:val="1009"/>
        </w:numPr>
        <w:pStyle w:val="Compact"/>
      </w:pPr>
      <w:r>
        <w:rPr>
          <w:bCs/>
          <w:b/>
        </w:rPr>
        <w:t xml:space="preserve">StockTwits ($WSE, 149 seguidores)</w:t>
      </w:r>
      <w:r>
        <w:t xml:space="preserve">: poca actividad. Los mensajes alcistas hablan de la recompra («−1,7 % de acciones desde julio») y del precio para el cliente; los bajistas, de la OCC y de la demanda. No hay euforia [13].</w:t>
      </w:r>
    </w:p>
    <w:p>
      <w:pPr>
        <w:numPr>
          <w:ilvl w:val="0"/>
          <w:numId w:val="1009"/>
        </w:numPr>
        <w:pStyle w:val="Compact"/>
      </w:pPr>
      <w:r>
        <w:rPr>
          <w:bCs/>
          <w:b/>
        </w:rPr>
        <w:t xml:space="preserve">Reddit (r/stocks, r/investing, r/UKInvesting)</w:t>
      </w:r>
      <w:r>
        <w:t xml:space="preserve">: no hay hilos recientes indexados.</w:t>
      </w:r>
      <w:r>
        <w:t xml:space="preserve"> </w:t>
      </w:r>
      <w:r>
        <w:rPr>
          <w:bCs/>
          <w:b/>
        </w:rPr>
        <w:t xml:space="preserve">Laguna.</w:t>
      </w:r>
    </w:p>
    <w:p>
      <w:pPr>
        <w:numPr>
          <w:ilvl w:val="0"/>
          <w:numId w:val="1009"/>
        </w:numPr>
        <w:pStyle w:val="Compact"/>
      </w:pPr>
      <w:r>
        <w:rPr>
          <w:bCs/>
          <w:b/>
        </w:rPr>
        <w:t xml:space="preserve">En castellano</w:t>
      </w:r>
      <w:r>
        <w:t xml:space="preserve">: Rankia, sin hilos. En el foro de Investing.com (WISEa) los comentarios son pocos y mixtos. Investing México da 20 analistas con un objetivo de 1.149 p [14].</w:t>
      </w:r>
    </w:p>
    <w:p>
      <w:pPr>
        <w:numPr>
          <w:ilvl w:val="0"/>
          <w:numId w:val="1009"/>
        </w:numPr>
        <w:pStyle w:val="Compact"/>
      </w:pPr>
      <w:r>
        <w:rPr>
          <w:bCs/>
          <w:b/>
        </w:rPr>
        <w:t xml:space="preserve">Contraste con los datos</w:t>
      </w:r>
      <w:r>
        <w:t xml:space="preserve">: el sentimiento es peor que el negocio, que acelera (volumen +26 %, saldos +31 %) mientras la acción está en el múltiplo más bajo de 3 años. Es el perfil de un posible giro de percepción, pero aún sin señales que lo confirmen. Si las investigaciones acaban en multa o en límites a la actividad en la UE, el mercado tendría razón.</w:t>
      </w:r>
    </w:p>
    <w:bookmarkEnd w:id="29"/>
    <w:bookmarkStart w:id="30" w:name="riesgos-y-qué-rompería-la-tesis"/>
    <w:p>
      <w:pPr>
        <w:pStyle w:val="Heading2"/>
      </w:pPr>
      <w:r>
        <w:t xml:space="preserve">11. Riesgos y qué rompería la tesis</w:t>
      </w:r>
    </w:p>
    <w:p>
      <w:pPr>
        <w:numPr>
          <w:ilvl w:val="0"/>
          <w:numId w:val="1010"/>
        </w:numPr>
        <w:pStyle w:val="Compact"/>
      </w:pPr>
      <w:r>
        <w:rPr>
          <w:bCs/>
          <w:b/>
        </w:rPr>
        <w:t xml:space="preserve">Regulación y blanqueo</w:t>
      </w:r>
      <w:r>
        <w:t xml:space="preserve">: es el riesgo principal. La investigación de Bruselas puede acabar en multa, en límites a la captación en la UE (Wise Europe da servicio a todo el EEE desde Bélgica) o en daño a la marca. El rechazo de la OCC retrasa el acceso directo a la Reserva Federal. Puede haber demanda colectiva en EE. UU.</w:t>
      </w:r>
    </w:p>
    <w:p>
      <w:pPr>
        <w:numPr>
          <w:ilvl w:val="0"/>
          <w:numId w:val="1010"/>
        </w:numPr>
        <w:pStyle w:val="Compact"/>
      </w:pPr>
      <w:r>
        <w:rPr>
          <w:bCs/>
          <w:b/>
        </w:rPr>
        <w:t xml:space="preserve">Tipos de interés</w:t>
      </w:r>
      <w:r>
        <w:t xml:space="preserve">: los intereses netos son el ~24 % de los ingresos netos y una parte mayor del beneficio. Bajadas de tipos o la obligación de pagar más a los clientes (como ya ocurre en la UE y EE. UU.) recortan el margen. La empresa lo reconoce: su margen «estructural» es del 15-20 %.</w:t>
      </w:r>
    </w:p>
    <w:p>
      <w:pPr>
        <w:numPr>
          <w:ilvl w:val="0"/>
          <w:numId w:val="1010"/>
        </w:numPr>
        <w:pStyle w:val="Compact"/>
      </w:pPr>
      <w:r>
        <w:rPr>
          <w:bCs/>
          <w:b/>
        </w:rPr>
        <w:t xml:space="preserve">Reversión del sentimiento</w:t>
      </w:r>
      <w:r>
        <w:t xml:space="preserve">: el bajista (−38 %) es volver a ~1,9x ventas.</w:t>
      </w:r>
    </w:p>
    <w:p>
      <w:pPr>
        <w:numPr>
          <w:ilvl w:val="0"/>
          <w:numId w:val="1010"/>
        </w:numPr>
        <w:pStyle w:val="Compact"/>
      </w:pPr>
      <w:r>
        <w:rPr>
          <w:bCs/>
          <w:b/>
        </w:rPr>
        <w:t xml:space="preserve">Precio y competencia</w:t>
      </w:r>
      <w:r>
        <w:t xml:space="preserve">: Revolut, los bancos con Wise Platform de un rival, las</w:t>
      </w:r>
      <w:r>
        <w:t xml:space="preserve"> </w:t>
      </w:r>
      <w:r>
        <w:rPr>
          <w:iCs/>
          <w:i/>
        </w:rPr>
        <w:t xml:space="preserve">stablecoins</w:t>
      </w:r>
      <w:r>
        <w:t xml:space="preserve"> </w:t>
      </w:r>
      <w:r>
        <w:t xml:space="preserve">y los pagos instantáneos entre países pueden abaratar el canal más rápido de lo que Wise baja su coste.</w:t>
      </w:r>
    </w:p>
    <w:p>
      <w:pPr>
        <w:numPr>
          <w:ilvl w:val="0"/>
          <w:numId w:val="1010"/>
        </w:numPr>
        <w:pStyle w:val="Compact"/>
      </w:pPr>
      <w:r>
        <w:rPr>
          <w:bCs/>
          <w:b/>
        </w:rPr>
        <w:t xml:space="preserve">Gobierno</w:t>
      </w:r>
      <w:r>
        <w:t xml:space="preserve">: doble clase de acciones y ventas de directivos. La cotización en EE. UU. todavía no ha traído inversores nuevos.</w:t>
      </w:r>
    </w:p>
    <w:p>
      <w:pPr>
        <w:pStyle w:val="FirstParagraph"/>
      </w:pPr>
      <w:r>
        <w:rPr>
          <w:bCs/>
          <w:b/>
        </w:rPr>
        <w:t xml:space="preserve">Señales de venta concretas</w:t>
      </w:r>
      <w:r>
        <w:t xml:space="preserve">:</w:t>
      </w:r>
      <w:r>
        <w:t xml:space="preserve"> </w:t>
      </w:r>
      <w:r>
        <w:t xml:space="preserve">- Crecimiento de ingresos netos por debajo del 12 % a tipo constante dos trimestres seguidos, o volumen por debajo del 15 %.</w:t>
      </w:r>
      <w:r>
        <w:t xml:space="preserve"> </w:t>
      </w:r>
      <w:r>
        <w:t xml:space="preserve">- Sanción en Bélgica que limite la actividad en la UE o la captación de clientes.</w:t>
      </w:r>
      <w:r>
        <w:t xml:space="preserve"> </w:t>
      </w:r>
      <w:r>
        <w:t xml:space="preserve">- Margen antes de impuestos por debajo del 18 % sin que la empresa lo haya anunciado.</w:t>
      </w:r>
      <w:r>
        <w:t xml:space="preserve"> </w:t>
      </w:r>
      <w:r>
        <w:t xml:space="preserve">- Pérdida de un socio grande de Wise Platform.</w:t>
      </w:r>
    </w:p>
    <w:p>
      <w:pPr>
        <w:pStyle w:val="BodyText"/>
      </w:pPr>
      <w:r>
        <w:t xml:space="preserve">Hoy no hay tesis rota.</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15-oct-2026 (mañana, tras el cierre de EE. UU.)</w:t>
            </w:r>
          </w:p>
        </w:tc>
        <w:tc>
          <w:tcPr/>
          <w:p>
            <w:pPr>
              <w:pStyle w:val="Compact"/>
              <w:jc w:val="left"/>
            </w:pPr>
            <w:r>
              <w:t xml:space="preserve">Actualización del 2T FY27: volumen, ingresos netos y take rate</w:t>
            </w:r>
          </w:p>
        </w:tc>
        <w:tc>
          <w:tcPr/>
          <w:p>
            <w:pPr>
              <w:pStyle w:val="Compact"/>
              <w:jc w:val="left"/>
            </w:pPr>
            <w:r>
              <w:t xml:space="preserve">+/−</w:t>
            </w:r>
          </w:p>
        </w:tc>
      </w:tr>
      <w:tr>
        <w:tc>
          <w:tcPr/>
          <w:p>
            <w:pPr>
              <w:pStyle w:val="Compact"/>
              <w:jc w:val="left"/>
            </w:pPr>
            <w:r>
              <w:t xml:space="preserve">12-nov-2026</w:t>
            </w:r>
          </w:p>
        </w:tc>
        <w:tc>
          <w:tcPr/>
          <w:p>
            <w:pPr>
              <w:pStyle w:val="Compact"/>
              <w:jc w:val="left"/>
            </w:pPr>
            <w:r>
              <w:t xml:space="preserve">Resultados del 1S FY27 (margen, caja, recompra)</w:t>
            </w:r>
          </w:p>
        </w:tc>
        <w:tc>
          <w:tcPr/>
          <w:p>
            <w:pPr>
              <w:pStyle w:val="Compact"/>
              <w:jc w:val="left"/>
            </w:pPr>
            <w:r>
              <w:t xml:space="preserve">+/−</w:t>
            </w:r>
          </w:p>
        </w:tc>
      </w:tr>
      <w:tr>
        <w:tc>
          <w:tcPr/>
          <w:p>
            <w:pPr>
              <w:pStyle w:val="Compact"/>
              <w:jc w:val="left"/>
            </w:pPr>
            <w:r>
              <w:t xml:space="preserve">Sin fecha</w:t>
            </w:r>
          </w:p>
        </w:tc>
        <w:tc>
          <w:tcPr/>
          <w:p>
            <w:pPr>
              <w:pStyle w:val="Compact"/>
              <w:jc w:val="left"/>
            </w:pPr>
            <w:r>
              <w:t xml:space="preserve">Conclusión de la fiscalía de Bruselas («cerca de terminar» en junio)</w:t>
            </w:r>
          </w:p>
        </w:tc>
        <w:tc>
          <w:tcPr/>
          <w:p>
            <w:pPr>
              <w:pStyle w:val="Compact"/>
              <w:jc w:val="left"/>
            </w:pPr>
            <w:r>
              <w:t xml:space="preserve">− / alivio</w:t>
            </w:r>
          </w:p>
        </w:tc>
      </w:tr>
      <w:tr>
        <w:tc>
          <w:tcPr/>
          <w:p>
            <w:pPr>
              <w:pStyle w:val="Compact"/>
              <w:jc w:val="left"/>
            </w:pPr>
            <w:r>
              <w:t xml:space="preserve">Sin fecha</w:t>
            </w:r>
          </w:p>
        </w:tc>
        <w:tc>
          <w:tcPr/>
          <w:p>
            <w:pPr>
              <w:pStyle w:val="Compact"/>
              <w:jc w:val="left"/>
            </w:pPr>
            <w:r>
              <w:t xml:space="preserve">Nueva solicitud de licencia en EE. UU. (ley GENIUS)</w:t>
            </w:r>
          </w:p>
        </w:tc>
        <w:tc>
          <w:tcPr/>
          <w:p>
            <w:pPr>
              <w:pStyle w:val="Compact"/>
              <w:jc w:val="left"/>
            </w:pPr>
            <w:r>
              <w:t xml:space="preserve">+</w:t>
            </w:r>
          </w:p>
        </w:tc>
      </w:tr>
      <w:tr>
        <w:tc>
          <w:tcPr/>
          <w:p>
            <w:pPr>
              <w:pStyle w:val="Compact"/>
              <w:jc w:val="left"/>
            </w:pPr>
            <w:r>
              <w:t xml:space="preserve">Hasta mar-2027</w:t>
            </w:r>
          </w:p>
        </w:tc>
        <w:tc>
          <w:tcPr/>
          <w:p>
            <w:pPr>
              <w:pStyle w:val="Compact"/>
              <w:jc w:val="left"/>
            </w:pPr>
            <w:r>
              <w:t xml:space="preserve">Recompra de ~540 M USD (~4 % del capital)</w:t>
            </w:r>
          </w:p>
        </w:tc>
        <w:tc>
          <w:tcPr/>
          <w:p>
            <w:pPr>
              <w:pStyle w:val="Compact"/>
              <w:jc w:val="left"/>
            </w:pPr>
            <w:r>
              <w:t xml:space="preserve">+</w:t>
            </w:r>
          </w:p>
        </w:tc>
      </w:tr>
      <w:tr>
        <w:tc>
          <w:tcPr/>
          <w:p>
            <w:pPr>
              <w:pStyle w:val="Compact"/>
              <w:jc w:val="left"/>
            </w:pPr>
            <w:r>
              <w:t xml:space="preserve">Abr-2027</w:t>
            </w:r>
          </w:p>
        </w:tc>
        <w:tc>
          <w:tcPr/>
          <w:p>
            <w:pPr>
              <w:pStyle w:val="Compact"/>
              <w:jc w:val="left"/>
            </w:pPr>
            <w:r>
              <w:t xml:space="preserve">Barak Eilam, presidente</w:t>
            </w:r>
          </w:p>
        </w:tc>
        <w:tc>
          <w:tcPr/>
          <w:p>
            <w:pPr>
              <w:pStyle w:val="Compact"/>
              <w:jc w:val="left"/>
            </w:pPr>
            <w:r>
              <w:t xml:space="preserve">+</w:t>
            </w:r>
          </w:p>
        </w:tc>
      </w:tr>
    </w:tbl>
    <w:bookmarkEnd w:id="31"/>
    <w:bookmarkStart w:id="32" w:name="encaje-en-cartera"/>
    <w:p>
      <w:pPr>
        <w:pStyle w:val="Heading2"/>
      </w:pPr>
      <w:r>
        <w:t xml:space="preserve">13. Encaje en cartera</w:t>
      </w:r>
    </w:p>
    <w:p>
      <w:pPr>
        <w:numPr>
          <w:ilvl w:val="0"/>
          <w:numId w:val="1011"/>
        </w:numPr>
        <w:pStyle w:val="Compact"/>
      </w:pPr>
      <w:r>
        <w:rPr>
          <w:bCs/>
          <w:b/>
        </w:rPr>
        <w:t xml:space="preserve">Cartera value vigente</w:t>
      </w:r>
      <w:r>
        <w:t xml:space="preserve"> </w:t>
      </w:r>
      <w:r>
        <w:t xml:space="preserve">(</w:t>
      </w:r>
      <w:r>
        <w:rPr>
          <w:rStyle w:val="VerbatimChar"/>
        </w:rPr>
        <w:t xml:space="preserve">informes/cartera-2026-10-14-15h.md</w:t>
      </w:r>
      <w:r>
        <w:t xml:space="preserve">): oro, Edenred, Daiichi Sankyo, Uber, Viscofan, Alphabet, Netflix, SAP, Intuit, Nemetschek, LVMH y Bureau Veritas, con de liquidez comprometida con órdenes con límite hasta el 7-nov.</w:t>
      </w:r>
    </w:p>
    <w:p>
      <w:pPr>
        <w:numPr>
          <w:ilvl w:val="0"/>
          <w:numId w:val="1011"/>
        </w:numPr>
        <w:pStyle w:val="Compact"/>
      </w:pPr>
      <w:r>
        <w:rPr>
          <w:bCs/>
          <w:b/>
        </w:rPr>
        <w:t xml:space="preserve">Bolsillo growth aprobado</w:t>
      </w:r>
      <w:r>
        <w:t xml:space="preserve"> </w:t>
      </w:r>
      <w:r>
        <w:t xml:space="preserve">(</w:t>
      </w:r>
      <w:r>
        <w:rPr>
          <w:rStyle w:val="VerbatimChar"/>
        </w:rPr>
        <w:t xml:space="preserve">informes-growth/cartera-growth.md</w:t>
      </w:r>
      <w:r>
        <w:t xml:space="preserve">): Nu (4 %), argenx (4,9 %), Axon (3,7 %) y Shopify (4 %), ≈ 16 % de la cartera. Antes de Shopify sobraban de liquidez; con su primer tramo, prácticamente nada.</w:t>
      </w:r>
    </w:p>
    <w:p>
      <w:pPr>
        <w:pStyle w:val="FirstParagraph"/>
      </w:pPr>
      <w:r>
        <w:rPr>
          <w:bCs/>
          <w:b/>
        </w:rPr>
        <w:t xml:space="preserve">Wise merecería un hueco del 3,5 %, ≈ 100 acciones a 12,22 USD con 1,16 USD/EUR), pero hoy no entra</w:t>
      </w:r>
      <w:r>
        <w:t xml:space="preserve">, por tres motivos:</w:t>
      </w:r>
      <w:r>
        <w:t xml:space="preserve"> </w:t>
      </w:r>
      <w:r>
        <w:t xml:space="preserve">1.</w:t>
      </w:r>
      <w:r>
        <w:t xml:space="preserve"> </w:t>
      </w:r>
      <w:r>
        <w:rPr>
          <w:bCs/>
          <w:b/>
        </w:rPr>
        <w:t xml:space="preserve">No hay liquidez</w:t>
      </w:r>
      <w:r>
        <w:t xml:space="preserve">: con Wise, el bolsillo growth subiría a ~19,5 % (cabe en el tope del 20 %), pero no hay con qué pagarla sin vender algo. Además, Edenred y el oro no se tocan.</w:t>
      </w:r>
      <w:r>
        <w:t xml:space="preserve"> </w:t>
      </w:r>
      <w:r>
        <w:t xml:space="preserve">2.</w:t>
      </w:r>
      <w:r>
        <w:t xml:space="preserve"> </w:t>
      </w:r>
      <w:r>
        <w:rPr>
          <w:bCs/>
          <w:b/>
        </w:rPr>
        <w:t xml:space="preserve">Es la más floja del bolsillo</w:t>
      </w:r>
      <w:r>
        <w:t xml:space="preserve">: convicción baja, 1/8 señales, ponderada +7,6 % frente a +14,9 % de Shopify o +27 % de Nu, y una compra que desaparece con supuestos algo más prudentes.</w:t>
      </w:r>
      <w:r>
        <w:t xml:space="preserve"> </w:t>
      </w:r>
      <w:r>
        <w:t xml:space="preserve">3.</w:t>
      </w:r>
      <w:r>
        <w:t xml:space="preserve"> </w:t>
      </w:r>
      <w:r>
        <w:rPr>
          <w:bCs/>
          <w:b/>
        </w:rPr>
        <w:t xml:space="preserve">Mañana publica el 2T</w:t>
      </w:r>
      <w:r>
        <w:t xml:space="preserve">: no tiene sentido comprar el día antes de un dato que puede mover la acción un 10 %.</w:t>
      </w:r>
    </w:p>
    <w:p>
      <w:pPr>
        <w:pStyle w:val="BodyText"/>
      </w:pPr>
      <w:r>
        <w:rPr>
          <w:bCs/>
          <w:b/>
        </w:rPr>
        <w:t xml:space="preserve">Propuesta</w:t>
      </w:r>
      <w:r>
        <w:t xml:space="preserve">: en espera. Si tras el 2T (15-oct) y el 1S (12-nov) se mantiene en Comprar al precio del día, y queda liquidez tras las órdenes value que venzan el 7-nov, se compran</w:t>
      </w:r>
      <w:r>
        <w:t xml:space="preserve"> </w:t>
      </w:r>
      <w:r>
        <w:rPr>
          <w:bCs/>
          <w:b/>
        </w:rPr>
        <w:t xml:space="preserve">50 acciones con límite de 12,5 USD</w:t>
      </w:r>
      <w:r>
        <w:t xml:space="preserve"> </w:t>
      </w:r>
      <w:r>
        <w:t xml:space="preserve">(o 950 p en Londres) y otras 50 tras los resultados del 3T FY27 (febrero), si el crecimiento a tipo constante sigue por encima del 15 %.</w:t>
      </w:r>
      <w:r>
        <w:t xml:space="preserve"> </w:t>
      </w:r>
      <w:r>
        <w:t xml:space="preserve">-</w:t>
      </w:r>
      <w:r>
        <w:t xml:space="preserve"> </w:t>
      </w:r>
      <w:r>
        <w:rPr>
          <w:bCs/>
          <w:b/>
        </w:rPr>
        <w:t xml:space="preserve">Motivo de negocio</w:t>
      </w:r>
      <w:r>
        <w:t xml:space="preserve">: la red de pagos internacionales más barata del mundo, que crece más del 20 % con un margen del 26 %, a 3,4x ventas, el múltiplo más bajo de 3 años.</w:t>
      </w:r>
      <w:r>
        <w:t xml:space="preserve"> </w:t>
      </w:r>
      <w:r>
        <w:t xml:space="preserve">-</w:t>
      </w:r>
      <w:r>
        <w:t xml:space="preserve"> </w:t>
      </w:r>
      <w:r>
        <w:rPr>
          <w:bCs/>
          <w:b/>
        </w:rPr>
        <w:t xml:space="preserve">Encaje</w:t>
      </w:r>
      <w:r>
        <w:t xml:space="preserve">: no solapa con nada de la cartera value. Con Nu y Shopify sí comparte factor «fintech/pagos», y añade exposición a los tipos de interés (como Nu). No es juego ni comercio minorista.</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c>
          <w:tcPr/>
          <w:p>
            <w:pPr>
              <w:pStyle w:val="Compact"/>
              <w:jc w:val="left"/>
            </w:pPr>
            <w:r>
              <w:t xml:space="preserve">Ventas 12 m +21,9 % (3), CAGR 2 años ~19,5 % (2), aceleración +5,3 pp (5)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5,3 % (3), tecnología 4, posición 4</w:t>
            </w:r>
          </w:p>
        </w:tc>
      </w:tr>
      <w:tr>
        <w:tc>
          <w:tcPr/>
          <w:p>
            <w:pPr>
              <w:pStyle w:val="Compact"/>
              <w:jc w:val="left"/>
            </w:pPr>
            <w:r>
              <w:t xml:space="preserve">C. Cambio de tendencia</w:t>
            </w:r>
          </w:p>
        </w:tc>
        <w:tc>
          <w:tcPr/>
          <w:p>
            <w:pPr>
              <w:pStyle w:val="Compact"/>
              <w:jc w:val="left"/>
            </w:pPr>
            <w:r>
              <w:t xml:space="preserve">2,5</w:t>
            </w:r>
          </w:p>
        </w:tc>
        <w:tc>
          <w:tcPr/>
          <w:p>
            <w:pPr>
              <w:pStyle w:val="Compact"/>
              <w:jc w:val="left"/>
            </w:pPr>
            <w:r>
              <w:t xml:space="preserve">20</w:t>
            </w:r>
          </w:p>
        </w:tc>
        <w:tc>
          <w:tcPr/>
          <w:p>
            <w:pPr>
              <w:pStyle w:val="Compact"/>
              <w:jc w:val="left"/>
            </w:pPr>
            <w:r>
              <w:t xml:space="preserve">1/8 señales, sin euforia</w:t>
            </w:r>
          </w:p>
        </w:tc>
      </w:tr>
      <w:tr>
        <w:tc>
          <w:tcPr/>
          <w:p>
            <w:pPr>
              <w:pStyle w:val="Compact"/>
              <w:jc w:val="left"/>
            </w:pPr>
            <w:r>
              <w:t xml:space="preserve">D. Economía unitaria</w:t>
            </w:r>
          </w:p>
        </w:tc>
        <w:tc>
          <w:tcPr/>
          <w:p>
            <w:pPr>
              <w:pStyle w:val="Compact"/>
              <w:jc w:val="left"/>
            </w:pPr>
            <w:r>
              <w:t xml:space="preserve">12,0</w:t>
            </w:r>
          </w:p>
        </w:tc>
        <w:tc>
          <w:tcPr/>
          <w:p>
            <w:pPr>
              <w:pStyle w:val="Compact"/>
              <w:jc w:val="left"/>
            </w:pPr>
            <w:r>
              <w:t xml:space="preserve">15</w:t>
            </w:r>
          </w:p>
        </w:tc>
        <w:tc>
          <w:tcPr/>
          <w:p>
            <w:pPr>
              <w:pStyle w:val="Compact"/>
              <w:jc w:val="left"/>
            </w:pPr>
            <w:r>
              <w:t xml:space="preserve">Margen bruto ~79 % (5), regla del 40 = 45,4 (3), FCF positivo y plano (4)</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FCF positivo (5), dilución ~0 % (5)</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4, dirección 3</w:t>
            </w:r>
          </w:p>
        </w:tc>
      </w:tr>
      <w:tr>
        <w:tc>
          <w:tcPr/>
          <w:p>
            <w:pPr>
              <w:pStyle w:val="Compact"/>
              <w:jc w:val="left"/>
            </w:pPr>
            <w:r>
              <w:rPr>
                <w:bCs/>
                <w:b/>
              </w:rPr>
              <w:t xml:space="preserve">Total</w:t>
            </w:r>
          </w:p>
        </w:tc>
        <w:tc>
          <w:tcPr/>
          <w:p>
            <w:pPr>
              <w:pStyle w:val="Compact"/>
              <w:jc w:val="left"/>
            </w:pPr>
            <w:r>
              <w:rPr>
                <w:bCs/>
                <w:b/>
              </w:rPr>
              <w:t xml:space="preserve">62,8</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Comprar (baja)</w:t>
            </w:r>
            <w:r>
              <w:t xml:space="preserve">; cumple todos los requisitos de compra</w:t>
            </w:r>
          </w:p>
        </w:tc>
      </w:tr>
    </w:tbl>
    <w:p>
      <w:pPr>
        <w:pStyle w:val="BodyText"/>
      </w:pPr>
      <w:r>
        <w:rPr>
          <w:bCs/>
          <w:b/>
        </w:rPr>
        <w:t xml:space="preserve">Mejora del método propuesta</w:t>
      </w:r>
      <w:r>
        <w:t xml:space="preserve"> </w:t>
      </w:r>
      <w:r>
        <w:t xml:space="preserve">(no se toca el código; queda para el backtest):</w:t>
      </w:r>
      <w:r>
        <w:t xml:space="preserve"> </w:t>
      </w:r>
      <w:r>
        <w:t xml:space="preserve">1.</w:t>
      </w:r>
      <w:r>
        <w:t xml:space="preserve"> </w:t>
      </w:r>
      <w:r>
        <w:rPr>
          <w:bCs/>
          <w:b/>
        </w:rPr>
        <w:t xml:space="preserve">Partir de la guía cuando la empresa la da en cifras y es menor</w:t>
      </w:r>
      <w:r>
        <w:t xml:space="preserve">: la regla mecánica arranca en ~21 % con datos en dólares, inflados por el dólar débil, mientras la guía a tipo constante es ~17,5 %. Por ejemplo, el crecimiento de partida sería el menor entre el mecánico y el punto medio de la guía. Con dato a tipo constante, se usaría para la aceleración.</w:t>
      </w:r>
      <w:r>
        <w:t xml:space="preserve"> </w:t>
      </w:r>
      <w:r>
        <w:t xml:space="preserve">2.</w:t>
      </w:r>
      <w:r>
        <w:t xml:space="preserve"> </w:t>
      </w:r>
      <w:r>
        <w:rPr>
          <w:bCs/>
          <w:b/>
        </w:rPr>
        <w:t xml:space="preserve">Fintech con ingresos por intereses</w:t>
      </w:r>
      <w:r>
        <w:t xml:space="preserve">: separar en</w:t>
      </w:r>
      <w:r>
        <w:t xml:space="preserve"> </w:t>
      </w:r>
      <w:r>
        <w:rPr>
          <w:rStyle w:val="VerbatimChar"/>
        </w:rPr>
        <w:t xml:space="preserve">datos.json</w:t>
      </w:r>
      <w:r>
        <w:t xml:space="preserve"> </w:t>
      </w:r>
      <w:r>
        <w:t xml:space="preserve">los ingresos por comisiones de los intereses netos, y proyectar los intereses con los tipos implícitos del mercado. Así la regla no extrapola un ingreso que depende de los bancos centrales. Junto con el modo para bancos propuesto con Nu.</w:t>
      </w:r>
      <w:r>
        <w:t xml:space="preserve"> </w:t>
      </w:r>
      <w:r>
        <w:t xml:space="preserve">3.</w:t>
      </w:r>
      <w:r>
        <w:t xml:space="preserve"> </w:t>
      </w:r>
      <w:r>
        <w:rPr>
          <w:bCs/>
          <w:b/>
        </w:rPr>
        <w:t xml:space="preserve">Filtro de valoración para rentables</w:t>
      </w:r>
      <w:r>
        <w:t xml:space="preserve">: el tope de EV/beneficio bruto de 35x no filtra nada en una fintech de margen bruto alto y múltiplo bajo (Wise 4,3x). Para empresas ya rentables, añadir un tope por PER o EV/EBIT frente al crecimiento.</w:t>
      </w:r>
      <w:r>
        <w:t xml:space="preserve"> </w:t>
      </w:r>
      <w:r>
        <w:t xml:space="preserve">4.</w:t>
      </w:r>
      <w:r>
        <w:t xml:space="preserve"> </w:t>
      </w:r>
      <w:r>
        <w:rPr>
          <w:bCs/>
          <w:b/>
        </w:rPr>
        <w:t xml:space="preserve">Probabilidades 35/50/15 por riesgo regulatorio abierto</w:t>
      </w:r>
      <w:r>
        <w:t xml:space="preserve">: incluir entre los supuestos de §2.5 una investigación penal o de un supervisor sobre el negocio principal (blanqueo, licencias). Hoy depende del criterio del analista y cambia la señal de Wise.</w:t>
      </w:r>
    </w:p>
    <w:bookmarkEnd w:id="33"/>
    <w:bookmarkStart w:id="34" w:name="fuentes"/>
    <w:p>
      <w:pPr>
        <w:pStyle w:val="Heading2"/>
      </w:pPr>
      <w:r>
        <w:t xml:space="preserve">Fuentes</w:t>
      </w:r>
    </w:p>
    <w:p>
      <w:pPr>
        <w:pStyle w:val="FirstParagraph"/>
      </w:pPr>
      <w:r>
        <w:t xml:space="preserve">[1] Wise Group plc, 6-K del 16-jul-2026 (SEC), resultados del 1T FY27 y serie trimestral desde el 1T FY25; guía del FY27.</w:t>
      </w:r>
      <w:r>
        <w:t xml:space="preserve"> </w:t>
      </w:r>
      <w:r>
        <w:t xml:space="preserve">[2] Wise Group plc, 6-K del 25-jun-2026, resultados del FY26, recompra y objetivos a medio plazo.</w:t>
      </w:r>
      <w:r>
        <w:t xml:space="preserve"> </w:t>
      </w:r>
      <w:r>
        <w:t xml:space="preserve">[3] Wise Group plc, 20-F del FY26 (SEC, 25-jun-2026) y datos XBRL: cuenta de resultados, balance (caja, deuda pública, fondos debidos a clientes, deuda), pagos en acciones, acciones diluidas, inversiones y política de intereses.</w:t>
      </w:r>
      <w:r>
        <w:t xml:space="preserve"> </w:t>
      </w:r>
      <w:r>
        <w:t xml:space="preserve">[4] Wise, 6-K del 23-jul-2026 (rechazo de la OCC y nueva solicitud bajo la ley GENIUS) y del 1-jun-2026 (respuesta a la fiscalía de Bruselas).</w:t>
      </w:r>
      <w:r>
        <w:t xml:space="preserve"> </w:t>
      </w:r>
      <w:r>
        <w:t xml:space="preserve">[5] Reuters/MarketScreener, Yahoo Finance, ERR, LBC (1-jun-2026): investigación por blanqueo en Wise Europe.</w:t>
      </w:r>
      <w:r>
        <w:t xml:space="preserve"> </w:t>
      </w:r>
      <w:r>
        <w:t xml:space="preserve">[6] Yahoo Finance (chart API): WISE.L, WSE, GBPUSD, FTSE 100 y Nasdaq-100; cierres de 13 y 14-oct-2026; media de 200 sesiones calculada.</w:t>
      </w:r>
      <w:r>
        <w:t xml:space="preserve"> </w:t>
      </w:r>
      <w:r>
        <w:t xml:space="preserve">[7] SEC: formularios 4 (jul-2026), 13G de Orbis, Kristo Käärmann y Baillie Gifford, 6-K de recompras y resultados de la junta (24-sep-2026: acciones clase A y B, autocartera).</w:t>
      </w:r>
      <w:r>
        <w:t xml:space="preserve"> </w:t>
      </w:r>
      <w:r>
        <w:t xml:space="preserve">[8] MarketBeat (LON:WISE, 4-ago-2026 y mar-2026); Investing.com México.</w:t>
      </w:r>
      <w:r>
        <w:t xml:space="preserve"> </w:t>
      </w:r>
      <w:r>
        <w:t xml:space="preserve">[9] StockAnalysis (WSE, 14-oct-2026): cierre anterior 12,22 USD, capitalización 12.360 M, PER adelantado 20,4, objetivo 17,04 USD.</w:t>
      </w:r>
      <w:r>
        <w:t xml:space="preserve"> </w:t>
      </w:r>
      <w:r>
        <w:t xml:space="preserve">[10] StockTwits / Traderfox: JPMorgan (Sobreponderar, 17,50 USD, 6-jul-2026; 1.410 p), Jefferies, Citi.</w:t>
      </w:r>
      <w:r>
        <w:t xml:space="preserve"> </w:t>
      </w:r>
      <w:r>
        <w:t xml:space="preserve">[11] Seeking Alpha (27-jun y 1-jul-2026).</w:t>
      </w:r>
      <w:r>
        <w:t xml:space="preserve"> </w:t>
      </w:r>
      <w:r>
        <w:t xml:space="preserve">[12] Cálculo propio de EV y EV/ingresos netos NTM 2023-2026.</w:t>
      </w:r>
      <w:r>
        <w:t xml:space="preserve"> </w:t>
      </w:r>
      <w:r>
        <w:t xml:space="preserve">[13] StockTwits $WSE (jun-oct 2026); The Banker (jul-2026).</w:t>
      </w:r>
      <w:r>
        <w:t xml:space="preserve"> </w:t>
      </w:r>
      <w:r>
        <w:t xml:space="preserve">[14] Investing.com (foro WISEa); búsquedas sin resultados en Reddit y Rankia.</w:t>
      </w:r>
      <w:r>
        <w:t xml:space="preserve"> </w:t>
      </w:r>
      <w:r>
        <w:t xml:space="preserve">[15] Wise: fechas de resultados (2-sep-2026) y 6-K del 13-oct-2026 (presidente designado).</w:t>
      </w:r>
      <w:r>
        <w:t xml:space="preserve"> </w:t>
      </w:r>
      <w:r>
        <w:t xml:space="preserve">[16]</w:t>
      </w:r>
      <w:r>
        <w:t xml:space="preserve"> </w:t>
      </w:r>
      <w:r>
        <w:rPr>
          <w:bCs/>
          <w:b/>
        </w:rPr>
        <w:t xml:space="preserve">De memoria, sin verificar en esta sesión</w:t>
      </w:r>
      <w:r>
        <w:t xml:space="preserve">: acciones, caja e ingresos de los comparables (múltiplos aproximados con sus precios del 14-oct de Yahoo), y el mercado alcanzable (estimación propia).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2026-10-15T20:45:39Z</dcterms:created>
  <dcterms:modified xsi:type="dcterms:W3CDTF">2026-10-15T20:45:39Z</dcterms:modified>
</cp:coreProperties>
</file>

<file path=docProps/custom.xml><?xml version="1.0" encoding="utf-8"?>
<Properties xmlns="http://schemas.openxmlformats.org/officeDocument/2006/custom-properties" xmlns:vt="http://schemas.openxmlformats.org/officeDocument/2006/docPropsVTypes"/>
</file>