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zscaler-zs-análisis-growth-14-oct-2026"/>
    <w:p>
      <w:pPr>
        <w:pStyle w:val="Heading1"/>
      </w:pPr>
      <w:r>
        <w:t xml:space="preserve">Zscaler (ZS): análisis growth, 14-oct-2026</w:t>
      </w:r>
    </w:p>
    <w:p>
      <w:pPr>
        <w:pStyle w:val="FirstParagraph"/>
      </w:pPr>
      <w:r>
        <w:rPr>
          <w:bCs/>
          <w:b/>
        </w:rPr>
        <w:t xml:space="preserve">Señal (método vigente v11): Comprar (convicción baja)</w:t>
      </w:r>
      <w:r>
        <w:t xml:space="preserve"> </w:t>
      </w:r>
      <w:r>
        <w:t xml:space="preserve">· Puntuación 69,0/100 · Señales de cambio de tendencia 4/8 · EV/ventas NTM 9,2 veces</w:t>
      </w:r>
      <w:r>
        <w:t xml:space="preserve"> </w:t>
      </w:r>
      <w:r>
        <w:t xml:space="preserve">Precio 228,66 USD (fecha del informe) · Objetivo 12 m 256,5 USD · Ponderada +12,2 % · Base +7,2 % · Bajista −42,3 % · Alcista +76,6 % · Compra hasta 244,3 USD</w:t>
      </w:r>
      <w:r>
        <w:t xml:space="preserve"> </w:t>
      </w:r>
      <w:r>
        <w:t xml:space="preserve">Peso orientativo: 3.5 % de la cartera · Por qué: cumple todos los requisitos de compra</w:t>
      </w:r>
      <w:r>
        <w:t xml:space="preserve"> </w:t>
      </w:r>
      <w:r>
        <w:t xml:space="preserve">Cabecera rehecha con la v11 el 15-oct (auditoría de homogeneidad). Antes decía (método v7): Comprar (convicción baja). El texto de abajo puede citar cifras de esa versión anterior; mandan las de esta cabecera.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Zscaler es el líder del acceso «zero trust» en la nube: unos 11.000 clientes, más del 40 % del Forbes Global 2000, margen bruto del 77 % (80 % no GAAP), FCF del 23 % y 3.771 M USD de ARR (+25 %; +20 % sin la compra de Red Canary).</w:t>
      </w:r>
    </w:p>
    <w:p>
      <w:pPr>
        <w:numPr>
          <w:ilvl w:val="0"/>
          <w:numId w:val="1001"/>
        </w:numPr>
        <w:pStyle w:val="Compact"/>
      </w:pPr>
      <w:r>
        <w:t xml:space="preserve">La percepción se hundió y está girando. La acción cayó de 336 USD (nov-2025) a 118 USD (abr-2026), y el 27-may se dejó un 31 % en un día: la guía FY27 del 16-17 % y la salida de dos líderes de ventas. Desde abril sube un 86 %, y un 39 % solo en el último mes, con el día del inversor (6-oct).</w:t>
      </w:r>
    </w:p>
    <w:p>
      <w:pPr>
        <w:numPr>
          <w:ilvl w:val="0"/>
          <w:numId w:val="1001"/>
        </w:numPr>
        <w:pStyle w:val="Compact"/>
      </w:pPr>
      <w:r>
        <w:t xml:space="preserve">A diferencia de CrowdStrike o Cloudflare (~40x), cotiza a</w:t>
      </w:r>
      <w:r>
        <w:t xml:space="preserve"> </w:t>
      </w:r>
      <w:r>
        <w:rPr>
          <w:bCs/>
          <w:b/>
        </w:rPr>
        <w:t xml:space="preserve">9,2x ventas NTM y 11,9x beneficio bruto</w:t>
      </w:r>
      <w:r>
        <w:t xml:space="preserve">, por debajo de su mediana de 3 años (~10,5x). El DCF inverso solo descuenta un 13,6 % anual durante 10 años, menos que la guía (17 %) y que el objetivo FY2031 de la empresa (+17 % anual de ARR orgánico).</w:t>
      </w:r>
    </w:p>
    <w:p>
      <w:pPr>
        <w:numPr>
          <w:ilvl w:val="0"/>
          <w:numId w:val="1001"/>
        </w:numPr>
        <w:pStyle w:val="Compact"/>
      </w:pPr>
      <w:r>
        <w:t xml:space="preserve">El negocio frena: del 25 % publicado al 17 % guiado. Pagos en acciones del 24,5 % de las ventas (en rojo), capex alto hasta FY28 y una rotación comercial que la dirección espera cerrar en el 1S FY27.</w:t>
      </w:r>
    </w:p>
    <w:p>
      <w:pPr>
        <w:numPr>
          <w:ilvl w:val="0"/>
          <w:numId w:val="1001"/>
        </w:numPr>
        <w:pStyle w:val="Compact"/>
      </w:pPr>
      <w:r>
        <w:t xml:space="preserve">Por la regla:</w:t>
      </w:r>
      <w:r>
        <w:t xml:space="preserve"> </w:t>
      </w:r>
      <w:r>
        <w:rPr>
          <w:bCs/>
          <w:b/>
        </w:rPr>
        <w:t xml:space="preserve">Comprar (baja)</w:t>
      </w:r>
      <w:r>
        <w:t xml:space="preserve">, con un margen que depende de la proyección. Con la guía queda en +9,3 % ponderada. No mejora a ninguna growth de la cartera en comparación homogénea, así que queda como</w:t>
      </w:r>
      <w:r>
        <w:t xml:space="preserve"> </w:t>
      </w:r>
      <w:r>
        <w:rPr>
          <w:bCs/>
          <w:b/>
        </w:rPr>
        <w:t xml:space="preserve">primera suplente growth</w:t>
      </w:r>
      <w:r>
        <w:t xml:space="preserve">, con entrada prudente ≤ 212 USD o tras confirmar la ejecución comercial en el 1T FY27 (finales de noviembre).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Zscaler vende la</w:t>
      </w:r>
      <w:r>
        <w:t xml:space="preserve"> </w:t>
      </w:r>
      <w:r>
        <w:rPr>
          <w:bCs/>
          <w:b/>
        </w:rPr>
        <w:t xml:space="preserve">Zero Trust Exchange</w:t>
      </w:r>
      <w:r>
        <w:t xml:space="preserve">, una plataforma de seguridad en línea que funciona como una «centralita»: conecta usuarios, dispositivos, sucursales, cargas de trabajo y, ahora, agentes de IA directamente con la aplicación que necesitan, sin ponerlos en la red. Así elimina el movimiento lateral y sustituye a cortafuegos y VPN. Tiene más de 200 centros de datos y procesa 750.000 millones de transacciones al día [3][4]. Productos: ZIA (acceso a internet), ZPA (acceso privado), ZDX (experiencia digital), seguridad de datos (&gt; 410 M USD de ARR, +31 % anual), operaciones de seguridad (Red Canary, MDR) y seguridad para IA (SPLX, SquareX, Symmetry Systems) [1][3][4]. Vende por suscripción a grandes empresas y administraciones; el 47 % de las ventas es internacional [4].</w:t>
      </w:r>
    </w:p>
    <w:p>
      <w:pPr>
        <w:pStyle w:val="BodyText"/>
      </w:pPr>
      <w:r>
        <w:t xml:space="preserve">Lo nuevo: el</w:t>
      </w:r>
      <w:r>
        <w:t xml:space="preserve"> </w:t>
      </w:r>
      <w:r>
        <w:rPr>
          <w:bCs/>
          <w:b/>
        </w:rPr>
        <w:t xml:space="preserve">modelo Z-Flex</w:t>
      </w:r>
      <w:r>
        <w:t xml:space="preserve"> </w:t>
      </w:r>
      <w:r>
        <w:t xml:space="preserve">(compromiso de gasto para elegir módulos: más de 1.700 M USD de contratos en FY26) y los</w:t>
      </w:r>
      <w:r>
        <w:t xml:space="preserve"> </w:t>
      </w:r>
      <w:r>
        <w:rPr>
          <w:bCs/>
          <w:b/>
        </w:rPr>
        <w:t xml:space="preserve">productos no ligados a puestos</w:t>
      </w:r>
      <w:r>
        <w:t xml:space="preserve"> </w:t>
      </w:r>
      <w:r>
        <w:t xml:space="preserve">(el 30 % del ACV nuevo de FY26). La tesis de la empresa: la IA agéntica multiplica las identidades no humanas que hay que conectar con seguridad [3].</w:t>
      </w:r>
    </w:p>
    <w:p>
      <w:pPr>
        <w:pStyle w:val="BodyText"/>
      </w:pPr>
      <w:r>
        <w:rPr>
          <w:bCs/>
          <w:b/>
        </w:rPr>
        <w:t xml:space="preserve">Tecnología 4/5</w:t>
      </w:r>
      <w:r>
        <w:t xml:space="preserve">: arquitectura de proxy en la nube a escala, difícil de replicar y con datos propios, aunque Palo Alto (Prisma Access), Netskope y Cloudflare ofrecen alternativas serias.</w:t>
      </w:r>
      <w:r>
        <w:t xml:space="preserve"> </w:t>
      </w:r>
      <w:r>
        <w:rPr>
          <w:bCs/>
          <w:b/>
        </w:rPr>
        <w:t xml:space="preserve">Posición 4/5</w:t>
      </w:r>
      <w:r>
        <w:t xml:space="preserve">: pionera y líder en SSE, pero crece menos que el mercado de plataformas y ha cambiado de director comercial dos veces en un año.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(fiscal, 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FY25 (jul-25)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FY26 (oct-25)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788,1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FY26 (ene-26)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FY26 (abr-26)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FY26 (jul-26)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1T FY27 (oct-26)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935-939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 (20 % sin Red Canary)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FY2027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3.908-3.938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16,6-17,5 %</w:t>
            </w:r>
          </w:p>
        </w:tc>
      </w:tr>
    </w:tbl>
    <w:p>
      <w:pPr>
        <w:pStyle w:val="BodyText"/>
      </w:pPr>
      <w:r>
        <w:t xml:space="preserve">Fuentes: [1][5].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Ventas de 12 meses</w:t>
      </w:r>
      <w:r>
        <w:t xml:space="preserve">: 3.352,5 M USD,</w:t>
      </w:r>
      <w:r>
        <w:t xml:space="preserve"> </w:t>
      </w:r>
      <w:r>
        <w:rPr>
          <w:bCs/>
          <w:b/>
        </w:rPr>
        <w:t xml:space="preserve">+25,4 %</w:t>
      </w:r>
      <w:r>
        <w:t xml:space="preserve">.</w:t>
      </w:r>
      <w:r>
        <w:t xml:space="preserve"> </w:t>
      </w:r>
      <w:r>
        <w:rPr>
          <w:bCs/>
          <w:b/>
        </w:rPr>
        <w:t xml:space="preserve">CAGR a 2 años</w:t>
      </w:r>
      <w:r>
        <w:t xml:space="preserve">:</w:t>
      </w:r>
      <w:r>
        <w:t xml:space="preserve"> </w:t>
      </w:r>
      <w:r>
        <w:rPr>
          <w:bCs/>
          <w:b/>
        </w:rPr>
        <w:t xml:space="preserve">24,4 %</w:t>
      </w:r>
      <w:r>
        <w:t xml:space="preserve">.</w:t>
      </w:r>
      <w:r>
        <w:t xml:space="preserve"> </w:t>
      </w:r>
      <w:r>
        <w:rPr>
          <w:bCs/>
          <w:b/>
        </w:rPr>
        <w:t xml:space="preserve">Aceleración</w:t>
      </w:r>
      <w:r>
        <w:t xml:space="preserve">: 4T +24,9 % frente a una media del 24,5 % en los cuatro anteriores,</w:t>
      </w:r>
      <w:r>
        <w:t xml:space="preserve"> </w:t>
      </w:r>
      <w:r>
        <w:rPr>
          <w:bCs/>
          <w:b/>
        </w:rPr>
        <w:t xml:space="preserve">+0,4 pp</w:t>
      </w:r>
      <w:r>
        <w:t xml:space="preserve">. Ojo: las cuatro cifras de FY26 llevan dentro Red Canary (comprada el 1-ago-2025; 141 M USD de ARR), que aporta ~5 pp. </w:t>
      </w:r>
      <w:r>
        <w:rPr>
          <w:bCs/>
          <w:b/>
        </w:rPr>
        <w:t xml:space="preserve">Sin ella, las ventas y el ARR crecen un 20 %</w:t>
      </w:r>
      <w:r>
        <w:t xml:space="preserve">, y el ARR neto nuevo orgánico creció un 7 % en el 2T, un 14 % en el 3T y un 17 % en el 4T [1][5].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Retención</w:t>
      </w:r>
      <w:r>
        <w:t xml:space="preserve">: NRR de ~115 % y retención bruta «mid-90s», según el día del inversor [3].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ventas FY27 de 3.908-3.938 M USD (+17 % en el punto medio); ARR de 4.396-4.426 M USD (+17 %); el 1T llevará solo el ~15 % del ARR neto nuevo del año [1][11]. Zscaler suele batir su guía de ventas en un ~2-2,5 % (1T FY26: 788 frente a 772-774; 4T: 898 frente a 875-878; año: 3.352 frente a 3.265-3.284 iniciales) [1][5].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Largo plazo</w:t>
      </w:r>
      <w:r>
        <w:t xml:space="preserve">: más de 8.000 M USD de ARR orgánico en FY2031 (+17 % anual) y 10.000 M como aspiración con la IA agéntica (+22 %) [3]. RPO de 7.365 M USD, el 45 % a 12 meses [4].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</w:t>
      </w:r>
      <w:r>
        <w:t xml:space="preserve">: la empresa da 62.000 M USD para «zero trust» de usuarios, 220.000 M con toda la plataforma, 24.000 M para seguridad de IA y ~48.000 M para seguridad de datos [3]. Los 220.000 M nos parecen inflados (se solapan y suman mercados adyacentes). Tomamos como alcanzable en FY2028</w:t>
      </w:r>
      <w:r>
        <w:t xml:space="preserve"> </w:t>
      </w:r>
      <w:r>
        <w:rPr>
          <w:bCs/>
          <w:b/>
        </w:rPr>
        <w:t xml:space="preserve">90.000 M USD</w:t>
      </w:r>
      <w:r>
        <w:t xml:space="preserve">: el núcleo de usuarios más una parte de datos e 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Penetración</w:t>
      </w:r>
      <w:r>
        <w:t xml:space="preserve">: 3.352 / 90.000 =</w:t>
      </w:r>
      <w:r>
        <w:t xml:space="preserve"> </w:t>
      </w:r>
      <w:r>
        <w:rPr>
          <w:bCs/>
          <w:b/>
        </w:rPr>
        <w:t xml:space="preserve">3,7 %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Palo Alto Networks (Prisma SASE, plataforma con descuentos), Netskope, Cloudflare (One), Microsoft (Entra Internet/Private Access), Cisco, Fortinet (SASE desde el cortafuegos) y CrowdStrike en operaciones de seguridad.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es nativa en la nube desde 2007 y la de más escala en tráfico en línea. Su punto fuerte es la referencia en grandes cuentas: 4.600 de las ~20.000 organizaciones de más de 1.500 empleados [4].</w:t>
      </w:r>
      <w:r>
        <w:t xml:space="preserve"> </w:t>
      </w:r>
      <w:r>
        <w:rPr>
          <w:bCs/>
          <w:b/>
        </w:rPr>
        <w:t xml:space="preserve">Por qué podría perder</w:t>
      </w:r>
      <w:r>
        <w:t xml:space="preserve">: la «plataformización» de Palo Alto y la integración de red y seguridad (SASE completo) favorecen a quien tiene también la parte de red.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FY27 solo reafirmada el 6-oct, no elevada. Las estimaciones cayeron en mayo (guía del 16-17 %). Tras el día del inversor suben 14 precios objetivo (Wells Fargo 260, Cantor 275, Citi 245; Morgan Stanley 185), pero no consta una subida de estimaciones.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de 228,66 USD frente a una media de 166,0 USD, pero la media aún baja (182,4 hace 40 sesiones; 166,2 hace 5). Girará al alza en semanas.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+86,4 % frente a +18,3 % del Nasdaq-100 y +39,6 % del software (IGV).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~4,9x (10-abr) a ~9,2x (+85 %); aún bajo su mediana de 3 años.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del −4,5 % al −1,7 % en el 4T (+2,8 pp); el margen FCF baja por el capex.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desplome del 27-may (y las investigaciones de bufetes) a 14 subidas de objetivo y +39 % en un mes. El minorista sigue escéptico.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[10][12][13]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 de directivos (muchas para pagar impuestos); BlackRock (5,1 %) es pasivo.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del inversor (primero desde 2021): objetivo de &gt; 8.000 M de ARR en FY2031, seguridad para IA, nuevo CRO. Resultados del 1T a finales de noviembre.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[2][3][8]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Cae un 27 % en 12 meses y el EV/beneficio bruto es de 11,9x.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</w:t>
      </w:r>
      <w:r>
        <w:t xml:space="preserve">: GAAP</w:t>
      </w:r>
      <w:r>
        <w:t xml:space="preserve"> </w:t>
      </w:r>
      <w:r>
        <w:rPr>
          <w:bCs/>
          <w:b/>
        </w:rPr>
        <w:t xml:space="preserve">76,8 %</w:t>
      </w:r>
      <w:r>
        <w:t xml:space="preserve"> </w:t>
      </w:r>
      <w:r>
        <w:t xml:space="preserve">en FY26 (80 % no GAAP); guía del ~80 % no GAAP en FY27 [1].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</w:t>
      </w:r>
      <w:r>
        <w:t xml:space="preserve">: 779,1 M USD en FY26 (</w:t>
      </w:r>
      <w:r>
        <w:rPr>
          <w:bCs/>
          <w:b/>
        </w:rPr>
        <w:t xml:space="preserve">23,2 %</w:t>
      </w:r>
      <w:r>
        <w:t xml:space="preserve">), frente a 726,7 M (27 %) en FY25. Crece en dólares, pero el margen baja por un capex de 277 M USD (218 M solo en el 4T: centros de datos, precios y cadena de suministro). Guía FY27: 23-23,5 %. El capex seguirá alto hasta FY28 y luego bajará a «high single digits» [1][3].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</w:t>
      </w:r>
      <w:r>
        <w:t xml:space="preserve">: 25,4 + 23,2 =</w:t>
      </w:r>
      <w:r>
        <w:t xml:space="preserve"> </w:t>
      </w:r>
      <w:r>
        <w:rPr>
          <w:bCs/>
          <w:b/>
        </w:rPr>
        <w:t xml:space="preserve">48,6</w:t>
      </w:r>
      <w:r>
        <w:t xml:space="preserve"> </w:t>
      </w:r>
      <w:r>
        <w:t xml:space="preserve">(sin Red Canary, ~43).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margen no GAAP del 22 % al 23 % en el año (24 % récord en el 4T; guía FY27 ~23,6 %); GAAP del −4,8 % al −4,0 %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Caja e inversiones</w:t>
      </w:r>
      <w:r>
        <w:t xml:space="preserve">: 3.474,2 M USD.</w:t>
      </w:r>
      <w:r>
        <w:t xml:space="preserve"> </w:t>
      </w:r>
      <w:r>
        <w:rPr>
          <w:bCs/>
          <w:b/>
        </w:rPr>
        <w:t xml:space="preserve">Deuda</w:t>
      </w:r>
      <w:r>
        <w:t xml:space="preserve">: bonos convertibles con vencimiento el 15-jul-2028 por 1.725 M USD, convertibles a 439,52 USD (muy fuera de dinero; con «capped call»). Caja neta: ~1.749 M USD [1][4].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</w:t>
      </w:r>
      <w:r>
        <w:t xml:space="preserve">: FCF positivo; sin quema.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Acciones</w:t>
      </w:r>
      <w:r>
        <w:t xml:space="preserve">: 163,05 M en circulación (27-ago-2026), +3,0 % en 12 meses [4]. Para el cálculo se usan</w:t>
      </w:r>
      <w:r>
        <w:t xml:space="preserve"> </w:t>
      </w:r>
      <w:r>
        <w:rPr>
          <w:bCs/>
          <w:b/>
        </w:rPr>
        <w:t xml:space="preserve">166 M diluidas</w:t>
      </w:r>
      <w:r>
        <w:t xml:space="preserve">: los 170 M de la guía del 1T menos los 3,9 M de los convertibles, que se tratan como deuda porque están fuera de dinero.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Pagos en acciones</w:t>
      </w:r>
      <w:r>
        <w:t xml:space="preserve">: 821,9 M USD,</w:t>
      </w:r>
      <w:r>
        <w:t xml:space="preserve"> </w:t>
      </w:r>
      <w:r>
        <w:rPr>
          <w:bCs/>
          <w:b/>
        </w:rPr>
        <w:t xml:space="preserve">24,5 % de las ventas</w:t>
      </w:r>
      <w:r>
        <w:t xml:space="preserve"> </w:t>
      </w:r>
      <w:r>
        <w:t xml:space="preserve">(25,1 % con cargas sociales).</w:t>
      </w:r>
      <w:r>
        <w:t xml:space="preserve"> </w:t>
      </w:r>
      <w:r>
        <w:rPr>
          <w:bCs/>
          <w:b/>
        </w:rPr>
        <w:t xml:space="preserve">En rojo: supera el 15 %.</w:t>
      </w:r>
      <w:r>
        <w:t xml:space="preserve"> </w:t>
      </w:r>
      <w:r>
        <w:t xml:space="preserve">Medido como FCF menos pagos en acciones, el margen es negativo (~−1 %). La dirección se compromete a llevarlos a la media de sus comparables [3].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(4/5)</w:t>
      </w:r>
      <w:r>
        <w:t xml:space="preserve">: ha batido la guía de ventas en los cuatro trimestres de FY26, en un ~2-2,5 %, y subió la guía anual de ventas y ARR tres veces [5]. No se le da el 5: el ARR neto nuevo orgánico se frenó (+7 % en el 2T) y la guía FY27, dada en mayo, decepcionó con fuerza.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 (3/5)</w:t>
      </w:r>
      <w:r>
        <w:t xml:space="preserve">: el fundador Jay Chaudhry es consejero delegado y presidente, con una participación grande (de memoria, en torno al 15-20 %; no verificado en esta sesión). En contra: mucha rotación (EVP de estrategia en abril, dos líderes de ventas en el 3T, el CRO Mike Rich en septiembre), una reestructuración del 3 % de la plantilla en septiembre, 918 M USD en compras en un año (Red Canary, SPLX, SquareX, Symmetry) y pagos en acciones del 24,5 %. Tras la caída de mayo se anunciaron investigaciones de bufetes por posible fraude de valores; no constan demandas con resultado [1][8][12].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FY2028</w:t>
      </w:r>
      <w:r>
        <w:t xml:space="preserve"> </w:t>
      </w:r>
      <w:r>
        <w:t xml:space="preserve">(ago-2027 a jul-2028), dos años después de los 12 meses a jul-2026, como en el backtest. Dentro de un año, el mercado mirará esas ventas. Métrica:</w:t>
      </w:r>
      <w:r>
        <w:t xml:space="preserve"> </w:t>
      </w:r>
      <w:r>
        <w:rPr>
          <w:bCs/>
          <w:b/>
        </w:rPr>
        <w:t xml:space="preserve">EV/ventas NTM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 de hoy</w:t>
      </w:r>
      <w:r>
        <w:t xml:space="preserve">: 228,66 × 166 + 1.725 − 3.474,2 =</w:t>
      </w:r>
      <w:r>
        <w:t xml:space="preserve"> </w:t>
      </w:r>
      <w:r>
        <w:rPr>
          <w:bCs/>
          <w:b/>
        </w:rPr>
        <w:t xml:space="preserve">36.208 M USD</w:t>
      </w:r>
      <w:r>
        <w:t xml:space="preserve">. Ventas NTM (+18 %: guía más su margen habitual) ≈ 3.956 M →</w:t>
      </w:r>
      <w:r>
        <w:t xml:space="preserve"> </w:t>
      </w:r>
      <w:r>
        <w:rPr>
          <w:bCs/>
          <w:b/>
        </w:rPr>
        <w:t xml:space="preserve">9,2x</w:t>
      </w:r>
      <w:r>
        <w:t xml:space="preserve">; EV/ventas de 12 m pasados, 10,8x;</w:t>
      </w:r>
      <w:r>
        <w:t xml:space="preserve"> </w:t>
      </w:r>
      <w:r>
        <w:rPr>
          <w:bCs/>
          <w:b/>
        </w:rPr>
        <w:t xml:space="preserve">EV/beneficio bruto NTM 11,9x</w:t>
      </w:r>
      <w:r>
        <w:t xml:space="preserve"> </w:t>
      </w:r>
      <w:r>
        <w:t xml:space="preserve">(tope del método: 35x).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3 años ~10,5x NTM; mínimo ~4,9x</w:t>
      </w:r>
      <w:r>
        <w:t xml:space="preserve"> </w:t>
      </w:r>
      <w:r>
        <w:t xml:space="preserve">(abr-2026). Es un cálculo propio con precios mensuales y ventas de la SEC [16].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Comparables ~22x NTM</w:t>
      </w:r>
      <w:r>
        <w:t xml:space="preserve">: CrowdStrike 40x, Cloudflare 40x, Palo Alto ~25x, Fortinet ~16x y SentinelOne ~4x. Son estimaciones propias, marcadas [17]. Por eso el alcista llega al techo (base × 1,6).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18 % frente al 16 % de FY2028 → factor 0,94.</w:t>
      </w:r>
    </w:p>
    <w:p>
      <w:pPr>
        <w:pStyle w:val="FirstParagraph"/>
      </w:pPr>
      <w:r>
        <w:rPr>
          <w:bCs/>
          <w:b/>
        </w:rPr>
        <w:t xml:space="preserve">Regla v7 (manda):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FY2028 (mecánica)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+97,9 %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280,9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+22,9 %</w:t>
            </w:r>
          </w:p>
        </w:tc>
      </w:tr>
    </w:tbl>
    <w:p>
      <w:pPr>
        <w:pStyle w:val="BodyText"/>
      </w:pPr>
      <w:r>
        <w:t xml:space="preserve">Acciones dentro de 12 meses: 171,0 M (+3 %). Asimetría: 2,4. Compra hasta</w:t>
      </w:r>
      <w:r>
        <w:t xml:space="preserve"> </w:t>
      </w:r>
      <w:r>
        <w:rPr>
          <w:bCs/>
          <w:b/>
        </w:rPr>
        <w:t xml:space="preserve">267,1 USD</w:t>
      </w:r>
      <w:r>
        <w:t xml:space="preserve"> </w:t>
      </w:r>
      <w:r>
        <w:t xml:space="preserve">(el límite por EV/beneficio bruto estaría en ~651 USD).</w:t>
      </w:r>
    </w:p>
    <w:p>
      <w:pPr>
        <w:pStyle w:val="BodyText"/>
      </w:pPr>
      <w:r>
        <w:rPr>
          <w:bCs/>
          <w:b/>
        </w:rPr>
        <w:t xml:space="preserve">Con la guía de la empresa como partida (mejora pendiente de la tanda 4; cálculo a mano, sin tocar el código).</w:t>
      </w:r>
      <w:r>
        <w:t xml:space="preserve"> </w:t>
      </w:r>
      <w:r>
        <w:t xml:space="preserve">La regla mecánica parte de un crecimiento del 24,8 %: media entre el pasado, (25,4 + 24,9)/2, y el CAGR (24,4). La guía FY27 es del 17,0 %, mucho menor, y lo es por motivos conocidos: se acaba el efecto de Red Canary y frena el ARR neto nuevo orgánico. Repito la misma regla (decaimiento del 15 % anual, bajista a la mitad, alcista × 1,2, mismos múltiplos 5,2x / 8,7x / 13,9x):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FY2028 (baj. / base / alc.)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(baj. / base / alc.)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Mecánica (24,8 %)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4.165 / 5.064 / 5.448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137,0 / 267,1 / 452,5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(17,0 %)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3.901 / 4.491 / 4.738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129,0 / 238,0 / 394,8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+9,3 %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(baja), justa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+ margen habitual (19,7 %)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3.991 / 4.685 / 4.978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131,7 / 247,9 / 414,3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con 35/50/15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la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</w:tr>
    </w:tbl>
    <w:p>
      <w:pPr>
        <w:pStyle w:val="BodyText"/>
      </w:pPr>
      <w:r>
        <w:t xml:space="preserve">Conclusión: la compra</w:t>
      </w:r>
      <w:r>
        <w:t xml:space="preserve"> </w:t>
      </w:r>
      <w:r>
        <w:rPr>
          <w:bCs/>
          <w:b/>
        </w:rPr>
        <w:t xml:space="preserve">aguanta con la guía, pero la rentabilidad cae a menos de la mitad</w:t>
      </w:r>
      <w:r>
        <w:t xml:space="preserve"> </w:t>
      </w:r>
      <w:r>
        <w:t xml:space="preserve">y depende del escenario alcista (vuelta hacia los múltiplos del sector). Si se trata como dudosa la ejecución comercial (tres salidas en ventas en seis meses), deja de ser compra.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Proyección propia (contraste)</w:t>
      </w:r>
      <w:r>
        <w:t xml:space="preserve">: 4.390 / 4.630 / 4.850 M USD (base: FY27 de ~3.990, batiendo la guía en un 1,7 %, y +16 % en FY28). Es un 9 % menos que la mecánica y un 3 % más que la guía pura.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Consenso</w:t>
      </w:r>
      <w:r>
        <w:t xml:space="preserve">: la media de los 14 precios objetivo publicados tras el día del inversor es de ~245 USD (cálculo propio; rango 185-285) [10]. No hemos encontrado consenso de ventas FY2028 (null).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9,5 %, un margen FCF del 23 % al 28 % y un crecimiento terminal del 4 %, el precio descuenta un</w:t>
      </w:r>
      <w:r>
        <w:t xml:space="preserve"> </w:t>
      </w:r>
      <w:r>
        <w:rPr>
          <w:bCs/>
          <w:b/>
        </w:rPr>
        <w:t xml:space="preserve">~13,6 % anual durante 10 años</w:t>
      </w:r>
      <w:r>
        <w:t xml:space="preserve"> </w:t>
      </w:r>
      <w:r>
        <w:t xml:space="preserve">(ventas de ~12.000 M USD en FY2036). Está por debajo de la guía y del objetivo FY2031.</w:t>
      </w:r>
      <w:r>
        <w:t xml:space="preserve"> </w:t>
      </w:r>
      <w:r>
        <w:rPr>
          <w:bCs/>
          <w:b/>
        </w:rPr>
        <w:t xml:space="preserve">Es razonable</w:t>
      </w:r>
      <w:r>
        <w:t xml:space="preserve">, siempre que se acepte el FCF antes de pagos en acciones.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analistas</w:t>
      </w:r>
      <w:r>
        <w:t xml:space="preserve">: tras el día del inversor, el tono es «mejor de lo temido». Ocho firmas suben el objetivo el mismo día y catorce en total (Cantor: el objetivo FY31 «se puede alcanzar si las ventas ejecutan»). Morgan Stanley sigue en Equal Weight («espera ver crecimiento de clientes»), y BofA y Canaccord leen el caso base (8.000 M) por debajo de la aspiración (10.000 M) [9][10][11].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 / X</w:t>
      </w:r>
      <w:r>
        <w:t xml:space="preserve">: el sentimiento minorista era «bajista» el 7-oct pese a las subidas de objetivo [10]. En los últimos 30 mensajes (11-14 oct) hay 9 alcistas y 2 bajistas, con mucho análisis técnico («segundo ladrillo rojo, vender») y algún «está volviendo» [13]. No hay euforia.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</w:t>
      </w:r>
      <w:r>
        <w:t xml:space="preserve">: noticias sobre el día del inversor centradas en la cautela de Morgan Stanley [9]. No pudimos leer artículos de opinión recientes (laguna).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(r/stocks, r/investing)</w:t>
      </w:r>
      <w:r>
        <w:t xml:space="preserve">: la búsqueda no devolvió hilos indexados y la API de Reddit no respondió.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 castellano</w:t>
      </w:r>
      <w:r>
        <w:t xml:space="preserve">: TIKR en español («perdieron un tercio de su valor en 2026: el crecimiento del ARR cuenta otra historia»); la ficha y el foro de Rankia solo muestran la cotización, sin hilos legibles [18].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la percepción ha pasado del «roto» de mayo al «barato con dudas de ejecución». La subida del último mes (+39 %) es expansión de múltiplo desde mínimos, no estimaciones al alza. El sentimiento minorista sigue más frío que el de los analistas. Para un growth es buen terreno: no hay euforia y el giro aún no está cobrado del todo.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Ejecución comercial</w:t>
      </w:r>
      <w:r>
        <w:t xml:space="preserve">: es el riesgo principal. Hay un nuevo CRO desde el 1-oct, la dirección espera la transición en el 1S FY27 y el 1T solo pesa el 15 % del ARR neto nuevo del año. Un 1T flojo devolvería la acción a 150-170 USD.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Desaceleración estructural</w:t>
      </w:r>
      <w:r>
        <w:t xml:space="preserve">: del 25 % al 17 %. Si la IA reduce puestos de trabajo (precio por usuario) más deprisa de lo que crecen los productos sin puestos, la guía se quedaría corta.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Pagos en acciones del 24,5 % de las ventas</w:t>
      </w:r>
      <w:r>
        <w:t xml:space="preserve">:</w:t>
      </w:r>
      <w:r>
        <w:t xml:space="preserve"> </w:t>
      </w:r>
      <w:r>
        <w:rPr>
          <w:bCs/>
          <w:b/>
        </w:rPr>
        <w:t xml:space="preserve">en rojo</w:t>
      </w:r>
      <w:r>
        <w:t xml:space="preserve">. Diluyen un 3 % al año pese a las ventas de acciones.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Competencia</w:t>
      </w:r>
      <w:r>
        <w:t xml:space="preserve"> </w:t>
      </w:r>
      <w:r>
        <w:t xml:space="preserve">de Palo Alto (plataforma y descuentos), Microsoft (Entra), Cloudflare y Netskope.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Capex y márgenes</w:t>
      </w:r>
      <w:r>
        <w:t xml:space="preserve">: el FCF del 4T fue del 7 %; si el capex no baja en FY28, el margen FCF se estanca.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Investigaciones de bufetes</w:t>
      </w:r>
      <w:r>
        <w:t xml:space="preserve"> </w:t>
      </w:r>
      <w:r>
        <w:t xml:space="preserve">tras mayo: riesgo menor, pero abierto.</w:t>
      </w:r>
    </w:p>
    <w:p>
      <w:pPr>
        <w:pStyle w:val="FirstParagraph"/>
      </w:pPr>
      <w:r>
        <w:rPr>
          <w:bCs/>
          <w:b/>
        </w:rPr>
        <w:t xml:space="preserve">Señales de venta</w:t>
      </w:r>
      <w:r>
        <w:t xml:space="preserve"> </w:t>
      </w:r>
      <w:r>
        <w:t xml:space="preserve">(si se comprase): crecimiento orgánico de ARR por debajo del 15 % dos trimestres seguidos; recorte de la guía FY27; ARR neto nuevo orgánico negativo interanual en el 2S FY27; NRR por debajo del 110 %; otra salida en la cúpula comercial. 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Finales de nov-2026 (por confirmar; el año pasado, 25-nov)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1T FY27 (guía de 935-939 M USD; primer trimestre orgánico tras Red Canary; primero con el nuevo 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 FY27 (hasta ene-2027)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Cargos de reestructuración (30-33 M USD) y transición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/ neutro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Finales de 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2T FY27; ¿sube la guía del año?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FY27 y guía FY28 (¿vuelve al 20 %?)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15-jul-2028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Vencimiento de los convertibles (1.725 M USD; cubiertos con caja)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rPr>
          <w:bCs/>
          <w:b/>
        </w:rPr>
        <w:t xml:space="preserve">Situación</w:t>
      </w:r>
      <w:r>
        <w:t xml:space="preserve">: el bolsillo growth está</w:t>
      </w:r>
      <w:r>
        <w:t xml:space="preserve"> </w:t>
      </w:r>
      <w:r>
        <w:rPr>
          <w:bCs/>
          <w:b/>
        </w:rPr>
        <w:t xml:space="preserve">lleno</w:t>
      </w:r>
      <w:r>
        <w:t xml:space="preserve"> </w:t>
      </w:r>
      <w:r>
        <w:t xml:space="preserve">(~19,5 % de la cartera, tope del 20 %) con Nu (4 %), argenx (4,9 %), Shopify (4 %), Axon (3,7 %) y Duolingo (3,5 %), y no hay liquidez (</w:t>
      </w:r>
      <w:r>
        <w:rPr>
          <w:rStyle w:val="VerbatimChar"/>
        </w:rPr>
        <w:t xml:space="preserve">informes-growth/cartera-growth.md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). Por eso un Comprar nuevo tiene que sustituir a otra growth.</w:t>
      </w:r>
    </w:p>
    <w:p>
      <w:pPr>
        <w:pStyle w:val="BodyText"/>
      </w:pPr>
      <w:r>
        <w:rPr>
          <w:bCs/>
          <w:b/>
        </w:rPr>
        <w:t xml:space="preserve">Comparación con las growth de la cartera</w:t>
      </w:r>
      <w:r>
        <w:t xml:space="preserve"> </w:t>
      </w:r>
      <w:r>
        <w:t xml:space="preserve">(ponderada / base / bajista):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por encima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+40,6 % (+12,5 % con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+34,3 % (+7,0 %)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−25,4 % (−32,8 %)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más débil con guía, pero menos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encima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encima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más baja por la 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Zscaler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+22,9 % (+9,3 % con guía)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+16,8 % (+4,1 %)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−40,1 % (−43,6 %)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 la regla mecánica</w:t>
      </w:r>
      <w:r>
        <w:t xml:space="preserve">, Zscaler (+22,9 %) superaría a Shopify (+14,9 %). Pero la comparación no es homogénea: la cifra de Zscaler lleva ~5 puntos de crecimiento comprado que no se repite. La de Shopify parte de un crecimiento (~30 %) que su propia guía sostiene.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 comparación homogénea, con la guía</w:t>
      </w:r>
      <w:r>
        <w:t xml:space="preserve">, Zscaler da +9,3 %. Queda por debajo de Duolingo con guía (+12,5 %, y con un bajista mucho menor: −32,8 % frente a −43,6 %) y de Shopify (+14,9 %, convicción media y guía al alza).</w:t>
      </w:r>
    </w:p>
    <w:p>
      <w:pPr>
        <w:numPr>
          <w:ilvl w:val="0"/>
          <w:numId w:val="1011"/>
        </w:numPr>
        <w:pStyle w:val="Compact"/>
      </w:pPr>
      <w:r>
        <w:t xml:space="preserve">Rotar costaría comisión y, en Duolingo y Shopify, vender tramos recién comprados. La diferencia no compensa (regla de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: rotar solo si la diferencia a 12 meses supera el coste).</w:t>
      </w:r>
    </w:p>
    <w:p>
      <w:pPr>
        <w:pStyle w:val="FirstParagraph"/>
      </w:pPr>
      <w:r>
        <w:rPr>
          <w:bCs/>
          <w:b/>
        </w:rPr>
        <w:t xml:space="preserve">Decisión propuesta: no sustituir a ninguna hoy.</w:t>
      </w:r>
      <w:r>
        <w:t xml:space="preserve"> </w:t>
      </w:r>
      <w:r>
        <w:t xml:space="preserve">Zscaler pasa a</w:t>
      </w:r>
      <w:r>
        <w:t xml:space="preserve"> </w:t>
      </w:r>
      <w:r>
        <w:rPr>
          <w:bCs/>
          <w:b/>
        </w:rPr>
        <w:t xml:space="preserve">primera suplente growth</w:t>
      </w:r>
      <w:r>
        <w:t xml:space="preserve">, por delante de Datadog (+4,7 % con la guía) y Wise (+7,6 %). Sí aportaría algo que la cartera no tiene: ciberseguridad, con poca correlación de negocio con Shopify o Duolingo, aunque comparte el factor «múltiplo de software».</w:t>
      </w:r>
    </w:p>
    <w:p>
      <w:pPr>
        <w:pStyle w:val="BodyText"/>
      </w:pPr>
      <w:r>
        <w:rPr>
          <w:bCs/>
          <w:b/>
        </w:rPr>
        <w:t xml:space="preserve">Cuándo entraría y a costa de qué</w:t>
      </w:r>
      <w:r>
        <w:t xml:space="preserve">: sustituiría a</w:t>
      </w:r>
      <w:r>
        <w:t xml:space="preserve"> </w:t>
      </w:r>
      <w:r>
        <w:rPr>
          <w:bCs/>
          <w:b/>
        </w:rPr>
        <w:t xml:space="preserve">Duolingo</w:t>
      </w:r>
      <w:r>
        <w:t xml:space="preserve"> </w:t>
      </w:r>
      <w:r>
        <w:t xml:space="preserve">(mismo peso, 3,5 %, y su tramo 2 aún no se ha comprado) si se dan las dos cosas:</w:t>
      </w:r>
      <w:r>
        <w:t xml:space="preserve"> </w:t>
      </w:r>
      <w:r>
        <w:t xml:space="preserve">1. Duolingo sale por debajo de su guía el 3-nov (la cartera ya prevé entonces cancelar su tramo 2) o se rompe su tesis de usuarios.</w:t>
      </w:r>
      <w:r>
        <w:t xml:space="preserve"> </w:t>
      </w:r>
      <w:r>
        <w:t xml:space="preserve">2. El 1T FY27 de Zscaler (finales de noviembre) bate la guía de ventas, con ARR neto nuevo orgánico en línea con el ~15 % del año y sin nuevas salidas comerciales.</w:t>
      </w:r>
    </w:p>
    <w:p>
      <w:pPr>
        <w:pStyle w:val="BodyText"/>
      </w:pPr>
      <w:r>
        <w:t xml:space="preserve">Entonces, 3,5 % (unas 6 acciones, a 212 USD, por encima del mínimo en dos tramos: la mitad con límite</w:t>
      </w:r>
      <w:r>
        <w:t xml:space="preserve"> </w:t>
      </w:r>
      <w:r>
        <w:rPr>
          <w:bCs/>
          <w:b/>
        </w:rPr>
        <w:t xml:space="preserve">≤ 212 USD</w:t>
      </w:r>
      <w:r>
        <w:t xml:space="preserve">, el máximo de compra con la guía y probabilidades 35/50/15, el más prudente; con la guía y 25/50/25 sería ~238. La otra mitad, tras el 2T FY27 (febrero). Si llega liquidez nueva antes (órdenes value que venzan el 7-nov sin ejecutarse), puede entrar con esa liquidez sin sustituir a nadie, con el mismo límite y las mismas condiciones.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+25,4 % (3), CAGR a 2 años 24,4 % (3), aceleración +0,4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3,7 % (4), tecnología 4,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76,8 % (5), regla del 40 = 48,6 (3),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del 3,0 %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Comprar (baja)</w:t>
            </w:r>
            <w:r>
              <w:t xml:space="preserve">; con la guía, Comprar justo; con la guía y 35/50/15, Mantener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Mejoras de método que sugiere este informe</w:t>
      </w:r>
      <w:r>
        <w:t xml:space="preserve"> </w:t>
      </w:r>
      <w:r>
        <w:t xml:space="preserve">(para probar con el backtest, no aplicadas):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Proyección desde la guía</w:t>
      </w:r>
      <w:r>
        <w:t xml:space="preserve"> </w:t>
      </w:r>
      <w:r>
        <w:t xml:space="preserve">(pendiente de la tanda 4, la v8 solo la aplica si la aceleración &lt; −10 pp): aquí no cambia la señal, pero recorta la ponderada de +22,9 % a +9,3 %. Es la tercera empresa (Datadog, Duolingo, Zscaler) en que la mecánica exagera frente a la guía. Conviene probarla ya en el backtest.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Crecimiento orgánico cuando las compras aportan &gt; 3 pp</w:t>
      </w:r>
      <w:r>
        <w:t xml:space="preserve">: el bloque A y la proyección deberían usar el crecimiento sin adquisiciones, como hace la propia empresa al informar. Aquí, con un 20 % orgánico, la puntuación apenas cambia (ventas, CAGR y regla del 40, que pasaría a ~43, siguen en el mismo tramo), pero la proyección caería hacia la de la guía.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Zscaler, nota de resultados del 4T y del FY2026 (3-sep-2026), 8-K de la SEC (ex. 99.1), con la guía del 1T y del FY2027 y el plan de reestructuración (punto 2.05).</w:t>
      </w:r>
      <w:r>
        <w:t xml:space="preserve"> </w:t>
      </w:r>
      <w:r>
        <w:t xml:space="preserve">[2] Zscaler, 8-K del 6-oct-2026 (día del inversor; guía reafirmada).</w:t>
      </w:r>
      <w:r>
        <w:t xml:space="preserve"> </w:t>
      </w:r>
      <w:r>
        <w:t xml:space="preserve">[3] Transcripción del día del inversor 2026 (StockAnalysis): ARR orgánico &gt; 8.000 M USD en FY2031, NRR ~115 %, mercados por segmento, capex, Z-Flex.</w:t>
      </w:r>
      <w:r>
        <w:t xml:space="preserve"> </w:t>
      </w:r>
      <w:r>
        <w:t xml:space="preserve">[4] Zscaler, 10-K del FY2026 (SEC): clientes, RPO, Red Canary, convertibles 2028, acciones en circulación.</w:t>
      </w:r>
      <w:r>
        <w:t xml:space="preserve"> </w:t>
      </w:r>
      <w:r>
        <w:t xml:space="preserve">[5] Zscaler, notas de resultados del 1T, 2T y 3T FY2026 y del 4T FY2025 (8-K de la SEC); XBRL de la SEC (ventas trimestrales y anuales).</w:t>
      </w:r>
      <w:r>
        <w:t xml:space="preserve"> </w:t>
      </w:r>
      <w:r>
        <w:t xml:space="preserve">[6] Yahoo Finance, API de cotizaciones (ZS, QQQ, IGV): cierre del 13-oct-2026 de 228,66 USD; mínimo y máximo de 12 meses; medias de 200 sesiones calculadas.</w:t>
      </w:r>
      <w:r>
        <w:t xml:space="preserve"> </w:t>
      </w:r>
      <w:r>
        <w:t xml:space="preserve">[7] Nasdaq.com, histórico de ZS: cierre del 13-oct-2026 de 228,66 USD.</w:t>
      </w:r>
      <w:r>
        <w:t xml:space="preserve"> </w:t>
      </w:r>
      <w:r>
        <w:t xml:space="preserve">[8] SEC, 8-K del 16-abr-2026 (salida de Raj Judge) y del 24-sep-2026 (Ross Tackett, nuevo CRO).</w:t>
      </w:r>
      <w:r>
        <w:t xml:space="preserve"> </w:t>
      </w:r>
      <w:r>
        <w:t xml:space="preserve">[9] Seeking Alpha (noticia sobre el día del inversor y Morgan Stanley); Yahoo Finance; GuruFocus.</w:t>
      </w:r>
      <w:r>
        <w:t xml:space="preserve"> </w:t>
      </w:r>
      <w:r>
        <w:t xml:space="preserve">[10] Stocktwits News, «ZS stock draws multiple target hikes after Investor Day» (7-oct-2026).</w:t>
      </w:r>
      <w:r>
        <w:t xml:space="preserve"> </w:t>
      </w:r>
      <w:r>
        <w:t xml:space="preserve">[11] 24/7 Wall St., «Wall Street sees 29% upside for Zscaler as eight firms raise price targets» (7-oct-2026).</w:t>
      </w:r>
      <w:r>
        <w:t xml:space="preserve"> </w:t>
      </w:r>
      <w:r>
        <w:t xml:space="preserve">[12] Motley Fool (27-may-2026), Barchart, SentiSense; avisos de investigación de bufetes (Pluang).</w:t>
      </w:r>
      <w:r>
        <w:t xml:space="preserve"> </w:t>
      </w:r>
      <w:r>
        <w:t xml:space="preserve">[13] StockTwits, flujo de mensajes de $ZS (11-14 oct 2026).</w:t>
      </w:r>
      <w:r>
        <w:t xml:space="preserve"> </w:t>
      </w:r>
      <w:r>
        <w:t xml:space="preserve">[14] SEC, formularios 4 de directivos (jun-oct 2026).</w:t>
      </w:r>
      <w:r>
        <w:t xml:space="preserve"> </w:t>
      </w:r>
      <w:r>
        <w:t xml:space="preserve">[15] SEC, Schedule 13G de BlackRock (30-jul-2026).</w:t>
      </w:r>
      <w:r>
        <w:t xml:space="preserve"> </w:t>
      </w:r>
      <w:r>
        <w:t xml:space="preserve">[16] Cálculo propio del EV/ventas NTM mensual (oct-2023 a oct-2026).</w:t>
      </w:r>
      <w:r>
        <w:t xml:space="preserve"> </w:t>
      </w:r>
      <w:r>
        <w:t xml:space="preserve">[17] Comparables: informes growth de este repo (CrowdStrike, Cloudflare) y cálculo propio con XBRL de la SEC y Yahoo (Palo Alto, Fortinet); SentinelOne (Zacks).</w:t>
      </w:r>
      <w:r>
        <w:t xml:space="preserve"> </w:t>
      </w:r>
      <w:r>
        <w:t xml:space="preserve">[18] TIKR en español (2026); Rankia (ficha y foro de ZS); Investing.com México.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2026-10-15T20:45:40Z</dcterms:created>
  <dcterms:modified xsi:type="dcterms:W3CDTF">2026-10-15T20:45:40Z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