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Paylocity Holding Corporation</w:t>
      </w:r>
    </w:p>
    <w:p>
      <w:pPr>
        <w:spacing w:after="60"/>
        <w:rPr>
          <w:color w:val="52514E"/>
          <w:sz w:val="22"/>
          <w:szCs w:val="22"/>
        </w:rPr>
      </w:pPr>
      <w:r>
        <w:rPr>
          <w:color w:val="52514E"/>
          <w:sz w:val="22"/>
          <w:szCs w:val="22"/>
        </w:rPr>
        <w:t xml:space="preserve">PCTY · Nasdaq Global Select Market · ISIN US70438V1061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166,17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198,54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+19,5 % (base +20,6 %)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131,70 USD · mercado 149,88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8.890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Paylocity Holding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PCTY / US70438V1061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Schaumburg (Illinois)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https://www.paylocity.com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166,17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92,99 – 169,09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8.890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8.699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198,54 USD</w:t>
      </w:r>
      <w:r>
        <w:t xml:space="preserve"> frente a 166,17 · Rentabilidad a 12 meses </w:t>
      </w:r>
      <w:r>
        <w:rPr>
          <w:b/>
          <w:bCs/>
        </w:rPr>
        <w:t xml:space="preserve">+19,5 % (base +20,6 %)</w:t>
      </w:r>
      <w:r>
        <w:t xml:space="preserve"> · Valor intrínseco 131,70 USD · con la prima implícita del mercado: 149,88 (-9,8 %) · Alcista / bajista -14,1 % / -51,1 %</w:t>
      </w:r>
    </w:p>
    <w:p>
      <w:pPr>
        <w:spacing w:after="100"/>
      </w:pPr>
      <w:r>
        <w:rPr>
          <w:b/>
        </w:rPr>
        <w:t xml:space="preserve">La recomendación y por qué.</w:t>
      </w:r>
      <w:r>
        <w:t xml:space="preserve"> Mantener, con convicción media. La regla a 12 meses da un objetivo de 198,54 USD (nuestro BPA GAAP de FY2028e × el PER de la regla común), +19,5 % ponderado y +20,6 % el base, que pasarían el umbral de compra; pero el valor intrínseco (131,70 USD) está un 20,7 % bajo el precio de 166,17 USD (cierre del 19-oct-2026), y la regla exige las tres condiciones. La acción ha subido un 59 % desde junio y está en máximos de 52 semanas. La convicción es media porque las dos lecturas chocan: el múltiplo frente a su historia invita a comprar y el flujo de caja no; subiría si la guía de FY2028 vuelve a recurrentes del 10 % o el precio baja hacia el valor intrínseco, y bajaría con más recortes de tipos o plantillas de clientes en caída.</w:t>
      </w:r>
    </w:p>
    <w:p>
      <w:pPr>
        <w:spacing w:after="100"/>
      </w:pPr>
      <w:r>
        <w:rPr>
          <w:b/>
        </w:rPr>
        <w:t xml:space="preserve">El negocio.</w:t>
      </w:r>
      <w:r>
        <w:t xml:space="preserve"> Paylocity vende por suscripción software en la nube de nóminas, impuestos, RR. HH., gastos y tiempo a ≈ 44.400 empresas medianas de EE. UU. (de 10 a 5.000 empleados; media de más de 150), y cobra por empleado al mes [1]. Tiene el 7,3 % de su mercado direccionable (22.500 M USD), una retención del 92 % y ningún cliente con más del 1 % [1]. Gana además intereses por los fondos de nómina de sus clientes que tiene en tránsito (120,0 M en FY2026) [2].</w:t>
      </w:r>
    </w:p>
    <w:p>
      <w:pPr>
        <w:spacing w:after="100"/>
      </w:pPr>
      <w:r>
        <w:rPr>
          <w:b/>
        </w:rPr>
        <w:t xml:space="preserve">Finanzas.</w:t>
      </w:r>
      <w:r>
        <w:t xml:space="preserve"> Ingresos de 1.771,3 M (+11 %), margen EBITDA GAAP del 28,1 % y BPA GAAP de 4,92 USD (+22 %); flujo libre de 427,8 M (24 % de las ventas), sin deuda neta [1, 2]. Dos partidas pesan: los pagos en acciones (138,7 M, 7,8 % de las ventas) y los intereses de fondos, que son ≈ 25 % del EBIT y bajan a ≈ 103 M en FY2027 con los tipos [8]. La guía de FY2027 es de +7 % de ventas.</w:t>
      </w:r>
    </w:p>
    <w:p>
      <w:pPr>
        <w:spacing w:after="100"/>
      </w:pPr>
      <w:r>
        <w:rPr>
          <w:b/>
        </w:rPr>
        <w:t xml:space="preserve">Equipo y gobierno.</w:t>
      </w:r>
      <w:r>
        <w:t xml:space="preserve"> El fundador Steve Sarowitz tiene el 15,6 % y el presidente ejecutivo Steve Beauchamp, consejero delegado hasta 2025, el 3,5 % [21]. La dirección ha batido su guía inicial cuatro años seguidos [2]. Presidente ejecutivo no independiente; voto de remuneración del 93 % [22]. Los directivos vendieron 32,7 M USD en 12 meses, casi todo con planes programados, sin compras [24].</w:t>
      </w:r>
    </w:p>
    <w:p>
      <w:pPr>
        <w:spacing w:after="100"/>
      </w:pPr>
      <w:r>
        <w:rPr>
          <w:b/>
        </w:rPr>
        <w:t xml:space="preserve">Valoración.</w:t>
      </w:r>
      <w:r>
        <w:t xml:space="preserve"> El DCF da 123,12 USD (−25,9 %) con un WACC del 10,0 %; el DCF inverso descuenta un 11,3 % de crecimiento anual durante ocho años frente al 6,5 % de nuestro base y al 7 % de la guía. Con la prima del mercado (4,2 %), 148,05 USD. Los comparables dan 151,89 y las transacciones, con prima de control, 212,81. Calidad alta: ROIC del 26,5 % (≈ 18 % sin el flotante) frente a un WACC del 10,0 %, y crecimiento sostenible (prueba superada).</w:t>
      </w:r>
    </w:p>
    <w:p>
      <w:pPr>
        <w:spacing w:after="100"/>
      </w:pPr>
      <w:r>
        <w:rPr>
          <w:b/>
        </w:rPr>
        <w:t xml:space="preserve">Riesgos y catalizadores.</w:t>
      </w:r>
      <w:r>
        <w:t xml:space="preserve"> El primero es el precio: si el PER vuelve al de junio de 2026 (18 veces), −38 %. Después, la bajada de tipos (100 pb restan ≈ 0,47 USD de BPA, un 7 %), la IA (menos empleados en los clientes y precio del software por usuario, frente a la venta de agentes de IA) y el empleo de EE. UU. Resultados del 1T FY2027 el 5-nov-2026.</w:t>
      </w:r>
    </w:p>
    <w:p>
      <w:pPr>
        <w:spacing w:after="100"/>
      </w:pPr>
      <w:r>
        <w:rPr>
          <w:b/>
        </w:rPr>
        <w:t xml:space="preserve">Qué cambiaría la decisión.</w:t>
      </w:r>
      <w:r>
        <w:t xml:space="preserve"> Comprar por debajo de 131,70 USD (el valor intrínseco), con la rentabilidad a 12 meses muy por encima de los umbrales a ese precio; Vender por encima de 220,60. Una guía de FY2028 con recurrentes al 10 % y pagos en acciones hacia el 5 % subiría el DCF; dos bajadas más de tipos o plantillas en caída reforzarían Mantener.</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198,54 USD</w:t>
      </w:r>
      <w:r>
        <w:t xml:space="preserve"> (rentabilidad +19,5 % (base +20,6 %)) · Valor intrínseco: 131,70 USD (-20,7 % sobre 166,17) · con la prima implícita del mercado: 149,88 (-9,8 %)</w:t>
      </w:r>
    </w:p>
    <w:p>
      <w:pPr>
        <w:spacing w:after="100"/>
      </w:pPr>
      <w:r>
        <w:t xml:space="preserve">Paylocity es un buen negocio, recurrente, con un ROIC del 26 % y sin deuda neta, que sigue ganando cuota en un mercado fragmentado de nóminas y RR. HH. para empresas medianas. El precio, tras subir un 59 % desde junio, ya descuenta más crecimiento del que la empresa guía: el DCF da 123 USD y el precio pide un 11 % anual durante ocho años con dos vientos en contra (la bajada de tipos sobre los intereses de los fondos y la IA sobre las plantillas de los clientes).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 × 5,71 = 102,21 · 29,9x × 6,70 = 200,33 · 40,4x × 7,21 = 291,28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 / 20,6 %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172,60 (nuestro base +16,1 %)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 -51,1 %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10,0 %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131,70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131,70 y 220,60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220,60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131,70 USD: Comprar (ponderada ≥ 15 %, base ≥ 12 % y valor intrínseco por encima del precio).</w:t>
      </w:r>
    </w:p>
    <w:p>
      <w:pPr>
        <w:pStyle w:val="ListParagraph"/>
        <w:numPr>
          <w:ilvl w:val="0"/>
          <w:numId w:val="2"/>
        </w:numPr>
        <w:spacing w:after="60"/>
      </w:pPr>
      <w:r>
        <w:t xml:space="preserve">Precio entre 131,70 y 220,60 USD: Mantener.</w:t>
      </w:r>
    </w:p>
    <w:p>
      <w:pPr>
        <w:pStyle w:val="ListParagraph"/>
        <w:numPr>
          <w:ilvl w:val="0"/>
          <w:numId w:val="2"/>
        </w:numPr>
        <w:spacing w:after="60"/>
      </w:pPr>
      <w:r>
        <w:t xml:space="preserve">Guía de FY2028 (agosto de 2027) con recurrentes ≥ 10 % y pagos en acciones ≤ 6 % de las ventas: revisar el DCF al alza.</w:t>
      </w:r>
    </w:p>
    <w:p>
      <w:pPr>
        <w:pStyle w:val="ListParagraph"/>
        <w:numPr>
          <w:ilvl w:val="0"/>
          <w:numId w:val="2"/>
        </w:numPr>
        <w:spacing w:after="60"/>
      </w:pPr>
      <w:r>
        <w:t xml:space="preserve">Ingresos por intereses de fondos por debajo de 85 M USD o plantillas de clientes en caída dos trimestres: reforzar Mantener o pasar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venta de software por miedo a la IA fue exagerada, que Paylocity cobra la IA en lugar de sufrirla y que el BPA no GAAP crece al 10-11 % (8,74 → 9,72 USD); los analistas esperan 172,60 USD, un 4 % sobre el precio [26].</w:t>
      </w:r>
    </w:p>
    <w:p>
      <w:pPr>
        <w:keepNext/>
        <w:spacing w:after="100"/>
      </w:pPr>
      <w:r>
        <w:rPr>
          <w:b/>
          <w:bCs/>
        </w:rPr>
        <w:t xml:space="preserve">Lo que creemos nosotros.</w:t>
      </w:r>
    </w:p>
    <w:p>
      <w:pPr>
        <w:spacing w:after="100"/>
      </w:pPr>
      <w:r>
        <w:t xml:space="preserve">Coincidimos en el negocio (nuestro BPA GAAP equivale al consenso no GAAP) y discrepamos en el precio: con los pagos en acciones como coste y los intereses de fondos a la baja, el flujo libre del accionista no justifica 27 veces el BPA GAAP de los próximos 12 meses con un crecimiento del 7-8 %.</w:t>
      </w:r>
    </w:p>
    <w:p>
      <w:pPr>
        <w:keepNext/>
        <w:spacing w:after="100"/>
      </w:pPr>
      <w:r>
        <w:rPr>
          <w:b/>
          <w:bCs/>
        </w:rPr>
        <w:t xml:space="preserve">Por qué podemos tener razón.</w:t>
      </w:r>
    </w:p>
    <w:p>
      <w:pPr>
        <w:spacing w:after="100"/>
      </w:pPr>
      <w:r>
        <w:t xml:space="preserve">El rebote desde 93 USD fue de múltiplo, no de beneficios (la guía de FY2027 es la más baja de su historia). La historia del PER que justifica el rebote es la de una empresa que crecía al 20-30 %.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6,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Negocio recurrente y fiel</w:t>
      </w:r>
      <w:r>
        <w:t xml:space="preserve">: retención del 92 %, ningún cliente con más del 1 % de las ventas.</w:t>
      </w:r>
    </w:p>
    <w:p>
      <w:pPr>
        <w:pStyle w:val="ListParagraph"/>
        <w:numPr>
          <w:ilvl w:val="0"/>
          <w:numId w:val="2"/>
        </w:numPr>
        <w:spacing w:after="60"/>
      </w:pPr>
      <w:r>
        <w:rPr>
          <w:b/>
        </w:rPr>
        <w:t xml:space="preserve">ROIC del 26,5 %</w:t>
      </w:r>
      <w:r>
        <w:t xml:space="preserve">: ≈ 18 % sin el flotante; ≈ 8-16 puntos sobre el WACC.</w:t>
      </w:r>
    </w:p>
    <w:p>
      <w:pPr>
        <w:pStyle w:val="ListParagraph"/>
        <w:numPr>
          <w:ilvl w:val="0"/>
          <w:numId w:val="2"/>
        </w:numPr>
        <w:spacing w:after="60"/>
      </w:pPr>
      <w:r>
        <w:rPr>
          <w:b/>
        </w:rPr>
        <w:t xml:space="preserve">Sin deuda neta y recompras</w:t>
      </w:r>
      <w:r>
        <w:t xml:space="preserve">: 398,1 M recomprados en FY2026; ≈ 1.300 M autorizados.</w:t>
      </w:r>
    </w:p>
    <w:p>
      <w:pPr>
        <w:pStyle w:val="ListParagraph"/>
        <w:numPr>
          <w:ilvl w:val="0"/>
          <w:numId w:val="2"/>
        </w:numPr>
        <w:spacing w:after="60"/>
      </w:pPr>
      <w:r>
        <w:rPr>
          <w:b/>
        </w:rPr>
        <w:t xml:space="preserve">Guía cumplida</w:t>
      </w:r>
      <w:r>
        <w:t xml:space="preserve">: cuatro años batiendo la guía inicial de ingresos y EBITDA.</w:t>
      </w:r>
    </w:p>
    <w:p>
      <w:pPr>
        <w:pStyle w:val="ListParagraph"/>
        <w:numPr>
          <w:ilvl w:val="0"/>
          <w:numId w:val="2"/>
        </w:numPr>
        <w:spacing w:after="60"/>
      </w:pPr>
      <w:r>
        <w:rPr>
          <w:b/>
        </w:rPr>
        <w:t xml:space="preserve">Margen al alza</w:t>
      </w:r>
      <w:r>
        <w:t xml:space="preserve">: EBITDA GAAP del 15,8 % en FY2022 al 28,1 % en FY2026.</w:t>
      </w:r>
    </w:p>
    <w:p>
      <w:pPr>
        <w:pStyle w:val="Heading2"/>
      </w:pPr>
      <w:r>
        <w:t xml:space="preserve">En contra</w:t>
      </w:r>
    </w:p>
    <w:p>
      <w:pPr>
        <w:pStyle w:val="ListParagraph"/>
        <w:numPr>
          <w:ilvl w:val="0"/>
          <w:numId w:val="2"/>
        </w:numPr>
        <w:spacing w:after="60"/>
      </w:pPr>
      <w:r>
        <w:rPr>
          <w:b/>
        </w:rPr>
        <w:t xml:space="preserve">Valor intrínseco bajo el precio</w:t>
      </w:r>
      <w:r>
        <w:t xml:space="preserve">: DCF de 123 USD (−26 %); el precio descuenta un 11 % anual.</w:t>
      </w:r>
    </w:p>
    <w:p>
      <w:pPr>
        <w:pStyle w:val="ListParagraph"/>
        <w:numPr>
          <w:ilvl w:val="0"/>
          <w:numId w:val="2"/>
        </w:numPr>
        <w:spacing w:after="60"/>
      </w:pPr>
      <w:r>
        <w:rPr>
          <w:b/>
        </w:rPr>
        <w:t xml:space="preserve">Intereses de fondos</w:t>
      </w:r>
      <w:r>
        <w:t xml:space="preserve">: ≈ 25 % del EBIT y bajan con los tipos (−17 M en FY2027).</w:t>
      </w:r>
    </w:p>
    <w:p>
      <w:pPr>
        <w:pStyle w:val="ListParagraph"/>
        <w:numPr>
          <w:ilvl w:val="0"/>
          <w:numId w:val="2"/>
        </w:numPr>
        <w:spacing w:after="60"/>
      </w:pPr>
      <w:r>
        <w:rPr>
          <w:b/>
        </w:rPr>
        <w:t xml:space="preserve">IA y empleo</w:t>
      </w:r>
      <w:r>
        <w:t xml:space="preserve">: cobro por empleado del cliente con empleo privado al +0,5 %.</w:t>
      </w:r>
    </w:p>
    <w:p>
      <w:pPr>
        <w:pStyle w:val="ListParagraph"/>
        <w:numPr>
          <w:ilvl w:val="0"/>
          <w:numId w:val="2"/>
        </w:numPr>
        <w:spacing w:after="60"/>
      </w:pPr>
      <w:r>
        <w:rPr>
          <w:b/>
        </w:rPr>
        <w:t xml:space="preserve">Pagos en acciones</w:t>
      </w:r>
      <w:r>
        <w:t xml:space="preserve">: 7,8 % de las ventas; los directivos venden (32,7 M USD), no compran.</w:t>
      </w:r>
    </w:p>
    <w:p>
      <w:pPr>
        <w:pStyle w:val="ListParagraph"/>
        <w:numPr>
          <w:ilvl w:val="0"/>
          <w:numId w:val="2"/>
        </w:numPr>
        <w:spacing w:after="60"/>
      </w:pPr>
      <w:r>
        <w:rPr>
          <w:b/>
        </w:rPr>
        <w:t xml:space="preserve">Tras un +59 %</w:t>
      </w:r>
      <w:r>
        <w:t xml:space="preserve">: en máximos de 52 semanas, con avisos P1 y P2.</w:t>
      </w:r>
    </w:p>
    <w:p>
      <w:pPr>
        <w:pStyle w:val="Heading2"/>
      </w:pPr>
      <w:r>
        <w:t xml:space="preserve">Qué tiene que pasar para que la tesis funcione</w:t>
      </w:r>
    </w:p>
    <w:p>
      <w:pPr>
        <w:spacing w:after="100"/>
      </w:pPr>
      <w:r>
        <w:t xml:space="preserve">La tesis depende de que los recurrentes sigan creciendo al 8-9 % con plantillas planas, de que la IA se cobre aparte y de que los intereses de fondos se queden en ≈ 100 M. La señal en contra sería una guía de recurrentes por debajo del 7 % o un ingreso por cliente que deja de crecer.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(crecimiento)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 (FY2026); guía FY2027 +8 %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Intereses de fondos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M USD (FY2026); ≈ 103 M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25 % del EBIT.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690-700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690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 de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real; objetivo del 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Empleo privado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 interanual (sept-2026)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por empleado.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33,8x / 18,4x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Steven Sarowitz fundó Paylocity en 1997 en Illinois como proveedor de nóminas; en 2007 entró Steven Beauchamp, que venía de Paychex, como consejero delegado y llevó la empresa a la nube y a ofrecer HCM completo [1]. Salió al Nasdaq en marzo de 2014 [1]. Creció con un producto propio y compras pequeñas (VidGrid, Samepage, Cloudsnap, Blue Marble) y en 2024 compró Airbase para entrar en finanzas [1]. En 2022 Toby Williams pasó de director financiero a codirector general y en agosto de 2024 a consejero delegado único; Beauchamp es presidente ejecutivo [1]. El fundador conserva ≈ 15 % del capital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Steven Sarowitz funda Paylocity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Steven Beauchamp, de Paychex,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Blue Marble Payroll (nómina internacional) y Cloudsnap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Toby Williams, codirector general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Airbase (finanzas) y primer programa de recompras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largo plazo: 3.000 M de ingresos y EBITDA ajustado del 40-45 %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Ignite AI, compras de Grayscale y Aidora y nueva línea de crédito de 1.750 M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Paylocity vende software en la nube de nóminas y gestión de personal (HCM) a empresas medianas de EE. UU., de 10 a 5.000 empleados, con una media de más de 150 [1]. Sobre una sola base de datos de empleados ofrece nómina e impuestos, control de tiempo, contratación (con Grayscale), formación, rendimiento, beneficios, encuestas y comunicación interna (Community), y desde 2024 finanzas: gastos, cuentas a pagar y tarjetas (Airbase) [1]. Ignite AI, su capa de IA con agentes, va dentro de los flujos de trabajo [1]. Vende con fuerza de ventas propia y una red de recomendadores: asesores de planes 401(k), corredores de seguros y contables [1]. Tiene unos 44.400 clientes y 6.900 empleados, casi todos en EE. UU. [1].</w:t>
      </w:r>
    </w:p>
    <w:p>
      <w:pPr>
        <w:pStyle w:val="Heading2"/>
      </w:pPr>
      <w:r>
        <w:t xml:space="preserve">Cómo gana dinero</w:t>
      </w:r>
    </w:p>
    <w:p>
      <w:pPr>
        <w:spacing w:after="100"/>
      </w:pPr>
      <w:r>
        <w:t xml:space="preserve">El 93 % de los ingresos son cuotas recurrentes que dependen de los módulos contratados y del número de empleados del cliente; cobra por débito directo a la vez que procesa la nómina [1]. El 7 % restante son los intereses del dinero de nóminas e impuestos que tiene en tránsito (120 M USD en FY2026), que no tienen coste y caen directos al beneficio [1]. El margen sale de la escala: el coste de servir sube menos que las cuotas, y ventas y administración bajan en porcentaje (margen EBITDA ajustado del 37 %) [1]. Es estacional: el tercer trimestre fiscal (enero-marzo) concentra altas de clientes y cierres de año [1]. Sensible al empleo de los clientes y a los tipos a corto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Intereses de fondos de clientes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Intereses de fondos de clientes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Unos 44.400 clientes en EE. UU. con una media de más de 150 empleados (de 10 a 5.000); ninguno supera el 1 % de los ingresos [1]. Contratos de suscripción con cuotas mínimas mensuales (237,6 M USD de obligaciones pendientes a 24 meses) y cobro por débito directo [1]. Retención anual de ingresos superior al 92 % en FY2024-FY2026 [1]. Los corredores de beneficios traen más del 25 % de la contratación nueva [8]. El poder de precios se ve en el ingreso por cliente: los recurrentes crecen un 12,2 % con un 7 % más de clientes [1]; la guía de FY2027 supone plantillas planas, así que el crecimiento vendrá de clientes nuevos y módulos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(sin los comprados)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más de 150 empleados por cliente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y otros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FY2027: 1.777-1.792 (+8 %)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anual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en FY2024-FY2026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Intereses de fondos de clientes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implícita FY2027 ≈ 103 M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 sin intereses de fondos (% recurrentes)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largo plazo del EBITDA ajustado total: 40-45 % [2,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largo plazo: 5 % [2,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y los servicios de nóminas y HCM para empresas de 10 a 5.000 empleados en EE. UU. La empresa estima su mercado direccionable «realizado» en ≈ 22.500 M USD: 1,3 millones de empresas con 73 millones de empleados (Census 2022), suponiendo que compran la mitad de su catálogo [1]. La única serie oficial es la del Census de ingresos de las empresas de servicios de nóminas (NAICS 541214), que mide solo el núcleo externalizado y termina en 2022 [12]. Usamos el direccionable de la empresa para la cuota y la serie del Census para el crecimiento histórico.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22.500 M USD de mercado direccionable realizado en 2026 (empresa) [1]; 27.589 M USD de ingresos de las empresas de servicios de nóminas en 2022 (Census)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servicios de nóminas, Cens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privado de EE. UU. (empleados por cliente)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por empleado; empleo privado +0,5 % interanual a sept-2026 [13, 18]; la guía de FY2027 supone plantillas planas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 corto (fondos de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Intereses de fondos de 5,0 M USD en FY2022 frente a 120,0 M en FY2026 [1,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proveedores antiguos y regionales a plataformas en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Paylocity sirve 44.400 de 1,3 millones de empresas objetivo (3,4 %)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módulos por cliente (finanzas, TI,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Recurrentes +12,2 % con clientes +7 % en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que reduce plantillas administrativas y abarata la entrada de rivales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software de 2026 por miedo a la IA («SaaSpocalypse») [19]; la empresa estudia cobrar por uso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con ADP, Paychex-Paycor, Paycom, Dayforce, UKG y Rippling; retención del 92 % [1,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1 % de los ingresos; cambiar de nómina es costoso y arriesgado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pública y bancos para ACH; el coste de ventas es el 31 % de los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Rippling, Deel y Gusto entran con capital riesgo; la complejidad fiscal de miles de jurisdicciones frena [13,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IA y ERP con nómina propia; la nómina es regulada y exige responsabilidad [1, 13].</w:t>
            </w:r>
          </w:p>
        </w:tc>
      </w:tr>
    </w:tbl>
    <w:p>
      <w:pPr>
        <w:spacing w:after="160" w:before="0"/>
      </w:pPr>
    </w:p>
    <w:p>
      <w:pPr>
        <w:pStyle w:val="Heading2"/>
      </w:pPr>
      <w:r>
        <w:t xml:space="preserve">Ciclo</w:t>
      </w:r>
    </w:p>
    <w:p>
      <w:pPr>
        <w:spacing w:after="100"/>
      </w:pPr>
      <w:r>
        <w:t xml:space="preserve">El empleo privado crece poco (+0,5 % interanual a sept-2026) y los tipos a corto siguen en el 4 % (letra a 3 meses 4,27 % el 19-oct-2026), así que los dos motores cíclicos están arriba y pueden bajar [13, 18]. En 2020 los clientes recortaron plantillas: los ingresos de Paylocity crecieron solo un 13 % en FY2021 frente al 20 % de FY2020, y los intereses de fondos cayeron casi a cero [1]. En 2022-2023 la subida de tipos multiplicó por 15 los intereses de fondos [1].</w:t>
      </w:r>
    </w:p>
    <w:p>
      <w:pPr>
        <w:pStyle w:val="Heading2"/>
      </w:pPr>
      <w:r>
        <w:t xml:space="preserve">Regulación</w:t>
      </w:r>
    </w:p>
    <w:p>
      <w:pPr>
        <w:spacing w:after="100"/>
      </w:pPr>
      <w:r>
        <w:t xml:space="preserve">La nómina depende de leyes fiscales y laborales federales, estatales y locales que cambian a menudo (impuestos de nómina, salario mínimo, bajas pagadas, ACA), lo que es a la vez coste y barrera de entrada [1]. Privacidad y ciberseguridad (normas de la SEC sobre incidentes desde 2023) y nuevas leyes de IA en contratación (Nueva York, Colorado) obligan a auditar los algoritmos de selección, que Paylocity vende desde la compra de Grayscale [1, 13].</w:t>
      </w:r>
    </w:p>
    <w:p>
      <w:pPr>
        <w:pStyle w:val="Heading2"/>
      </w:pPr>
      <w:r>
        <w:t xml:space="preserve">Tendencias y disrupción</w:t>
      </w:r>
    </w:p>
    <w:p>
      <w:pPr>
        <w:spacing w:after="100"/>
      </w:pPr>
      <w:r>
        <w:t xml:space="preserve">Tres tendencias: plataformas únicas para RR. HH., finanzas y TI (Paylocity añadió Airbase en 2024 y Rippling compite con ese modelo) [1, 20]; IA con agentes dentro de la nómina y la contratación, que la empresa cobra o cobrará aparte y que puede reducir el número de empleados administrativos de los clientes [8]; y el miedo del mercado a que la IA abarate el software por usuario, que hundió al sector en el primer semestre de 2026 [19]. Paylocity gana con la primera y está expuesta a las otras dos.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Proveedor mediano de HCM en la nube para empresas de 10 a 5.000 empleados en EE. UU.: sus ingresos recurrentes (1.651 M USD) son ≈ 7,3 % de su mercado direccionable realizado de 22.500 M (estimación propia) [1]. Por ingresos, detrás de ADP (21.947 M), Workday (9.552 M), Paychex con Paycor (6.512 M) y Paycom (2.052 M) [14, 15, 16,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Automatic Data Processing (ADP)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todos los tamaños; Workforce Now compite de frente en medianas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 (con Paycor)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Pymes y, con Paycor (2025), medianas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casi idéntico (medianas, cobro por empleado, Beti)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empresas; compite en la parte alta (más de 1.000 empleados)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Dayforce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Excluida de bolsa por Thoma Bravo en 2026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Rippling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con capital riesgo; RR. HH., TI y finanzas en una plataforma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UKG (Ultimate Kronos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(Hellman &amp; Friedman); tiempo y nómina para medianas y grandes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recomendadores (corredores, más del 25 % de las ventas nuevas) y cientos de integraciones, sin efecto de red entre clientes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anual de ingresos superior al 92 % tres años seguidos; cambiar de nómina implica riesgo de errores fiscales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marca reconocida en medianas («Great Place To Work»)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del 37 % frente al 44 % de Paycom y el 46 % de Paychex: no es el más eficiente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Cumplimiento fiscal en miles de jurisdicciones y 44.400 clientes; un entrante necesita años [1].</w:t>
            </w:r>
          </w:p>
        </w:tc>
      </w:tr>
    </w:tbl>
    <w:p>
      <w:pPr>
        <w:spacing w:after="160" w:before="0"/>
      </w:pPr>
    </w:p>
    <w:p>
      <w:pPr>
        <w:pStyle w:val="Heading2"/>
      </w:pPr>
      <w:r>
        <w:t xml:space="preserve">Amenazas</w:t>
      </w:r>
    </w:p>
    <w:p>
      <w:pPr>
        <w:spacing w:after="100"/>
      </w:pPr>
      <w:r>
        <w:t xml:space="preserve">Tres amenazas, de más a menos probable. (1) La IA reduce los empleados administrativos de los clientes y presiona el precio por empleado: probabilidad media, efecto gradual en el volumen [8]. (2) Rivales financiados (Rippling) y los grandes (ADP, Paychex con Paycor) bajan precios en medianas: la retención del 92 % es la señal [1, 20]. (3) Una caída del empleo y de los tipos a la vez, como en 2020, reduciría a la vez cuotas e intereses de fondos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FY2017-FY2026: ingresos </w:t>
      </w:r>
      <w:r>
        <w:rPr>
          <w:b/>
          <w:bCs/>
        </w:rPr>
        <w:t xml:space="preserve">21,8 %</w:t>
      </w:r>
      <w:r>
        <w:t xml:space="preserve">, EBITDA </w:t>
      </w:r>
      <w:r>
        <w:rPr>
          <w:b/>
          <w:bCs/>
        </w:rPr>
        <w:t xml:space="preserve">37,5 %</w:t>
      </w:r>
      <w:r>
        <w:t xml:space="preserve">, BPA </w:t>
      </w:r>
      <w:r>
        <w:rPr>
          <w:b/>
          <w:bCs/>
        </w:rPr>
        <w:t xml:space="preserve">51,1 %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635,6 M USD en FY2021 a 1.771,3 M en FY2026 (TCAC del 22,8 %), pero el ritmo se ha frenado: +38 % en FY2023, +19 % en FY2024, +14 % en FY2025 (con Airbase) y +11 % en FY2026 [1, 4]. Parte del salto de FY2023 fue de tipos: los intereses de los fondos de clientes pasaron de 5,0 M en FY2022 a 76,6 M en FY2023 y 120,8 M en FY2024, y bajaron a 120,0 M en FY2026 (6,8 % de las ventas) [2, 4]. Los ingresos recurrentes crecieron un 12,2 % en FY2026 con un 7 % más de clientes (44.400) y más ingreso por cliente [1]. El margen EBITDA GAAP subió de 15,8 % en FY2022 a 28,1 % en FY2026: apalancamiento en ventas y administración y menos pagos en acciones (del 13,2 % de las ventas en FY2023 al 8,1 % en FY2026) [2, 4].</w:t>
      </w:r>
    </w:p>
    <w:p>
      <w:pPr>
        <w:pStyle w:val="Heading2"/>
      </w:pPr>
      <w:r>
        <w:t xml:space="preserve">Ajustes y partidas no recurrentes</w:t>
      </w:r>
    </w:p>
    <w:p>
      <w:pPr>
        <w:spacing w:after="100"/>
      </w:pPr>
      <w:r>
        <w:t xml:space="preserve">La empresa publica un EBITDA ajustado (654,9 M USD en FY2026, 37,0 % de las ventas) y un BPA no GAAP (8,31 USD) que excluyen los pagos en acciones y sus cotizaciones sociales (144,1 M), la amortización de intangibles comprados (21,3 M) y «otros» (costes de compras e indemnizaciones, 5,8 M), con un efecto fiscal de +14,1 M [2]. Este informe trabaja con cifras GAAP: los pagos en acciones son un coste recurrente (8,1 % de las ventas) y la empresa los compensa con recompras. Desde FY2027 los costes de contratos se amortizan en 8 años en vez de 7, lo que sube el margen EBITDA ajustado de FY2027 en 120-140 puntos básicos sin cambiar la caja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fiscales (el 4T26 es abr-jun 2026); EBITDA GAAP = resultado operativo + amortizaciones y BPA GAAP diluido [2, 5, 6]. El tercer trimestre fiscal es el más fuerte por las altas de enero y los fondos de fin de año [1]. En el 4T26 (4-ago-2026) los ingresos recurrentes crecieron un 12,4 % y el BPA GAAP fue de 1,12 USD frente a 0,86 [2]. Guía de FY2027: ingresos recurrentes de 1.777-1.792 M (+8 %), totales de 1.880-1.895 M (+7 %) y EBITDA ajustado de 690-700 M; sin los intereses de fondos, 587-597 M [2]. En la conferencia, el director financiero situó el saldo medio de fondos de clientes en 3.400-3.500 M con una rentabilidad de ≈ 3 % (≈ 103 M de intereses, −14 %) y una bajada de tipos en enero y otra en marzo; supone plantillas de los clientes planas en FY2027, «una ligera degradación» frente a lo reciente [8]. Sobre la IA: las interacciones casi se duplicaron en el trimestre, los agentes son «una oportunidad incremental de monetización directa» y la empresa está «abierta» a cobrar por uso [8]. Los analistas preguntaron por el equilibrio entre clientes nuevos e ingreso por cliente, la monetización de la IA, Airbase, el cambio de vida útil y la filosofía de la guía; la dirección no concretó el crecimiento de la fuerza de ventas ni dio cifras de contratación nueva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Airbase (gestión de gastos y cuentas a pagar), comprada el 1-oct-2024 por 320 M USD con la línea de crédito: nueve meses en la cuenta de FY2025; el fondo de comercio pasa de 109 a 343 M [1].; FY2022: el activo total crece un 99 % y los ingresos un 34 %).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ligero: el circulante comercial (clientes − proveedores − ingresos diferidos) es casi nulo porque la empresa cobra por débito directo al mismo tiempo que la nómina [1]. El activo grande y no visible en el circulante son los costes de contratos activados (559,2 M USD a 30-jun-2026: comisiones e implantación), que crecen con las ventas y consumen caja (48 M netos en FY2026) [1]. La deuda neta es negativa: 81,3 M de deuda frente a 271,9 M de caja; la caja bajó desde 398,1 M por las recompras de 398,1 M de FY2026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1.723</w:t>
      </w:r>
      <w:r>
        <w:t xml:space="preserve">, conversión </w:t>
      </w:r>
      <w:r>
        <w:rPr>
          <w:b/>
          <w:bCs/>
        </w:rPr>
        <w:t xml:space="preserve">147 %</w:t>
      </w:r>
      <w:r>
        <w:t xml:space="preserve"> del beneficio neto; adquisiciones 485, dividendos 0, recompras 733.</w:t>
      </w:r>
    </w:p>
    <w:p>
      <w:pPr>
        <w:spacing w:after="100"/>
      </w:pPr>
      <w:r>
        <w:t xml:space="preserve">El flujo operativo pasó de 155 M USD en FY2022 a 533,3 M en FY2026 (30,1 % de las ventas) y el flujo libre de la empresa (operativo − software activado − inmovilizado) a 427,8 M (24,2 %); sin los intereses de los fondos, 307,8 M [2]. Dos ajustes hacen falta: el flujo operativo ya resta el aumento de los costes de contratos (47,9 M en FY2026, 62,9 M en FY2025 y 70,3 M en FY2024), y no resta los pagos en acciones (138,7 M), que la empresa compensa con recompras (398,1 M en FY2026) [2]. El capex (inmovilizado + software activado) fue de 105,5 M (6,0 % de las ventas); la mayor parte es desarrollo de producto, que crece con la plataforma [1,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FY2026,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y sencillas (un solo segmento, sin deterioros), pero tres partidas pesan. (1) Pagos en acciones: 138,7 M USD en FY2026 (7,8 % de las ventas; 144,1 M con cotizaciones), por debajo del 13,2 % de FY2023; el objetivo a largo plazo de la empresa es el 5 % [2, 11]. (2) Activaciones: 69,3 M de software y 177,1 M de costes de contratos en FY2026, con una amortización de 70,5 M y 128,8 M; alargar la vida de los contratos de 7 a 8 años sube el margen de FY2027 sin cambiar la caja [1, 2]. (3) Tipo impositivo del 30,4 % en FY2026 (26,5 % en FY2025) por el déficit fiscal de los pagos en acciones al bajar la cotización (beneficio fiscal de −69,3 M) [7]. Los indicadores del motor se leen con cuidado: el activo salta con los fondos de clientes al cierre de cada ejercicio, lo que distorsiona Altman y Beneish.</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7,8 % de las ventas en FY2026; el BPA no GAAP (8,31 USD) casi duplica al GAAP (4,92)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costes de contratos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559,2 M USD en balance; la vida pasa de 7 a 8 años desde FY2027 (+120-140 pb de margen ajustado sin caja)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intereses de fondos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USD en FY2026 (6,8 % de las ventas, casi un tercio del EBIT); dependen de los tipos (5,0 M en FY2022)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activado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69,3 M USD en FY2026; su amortización (70,5 M) va en el coste de ventas y está en línea con lo activado [2,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379 M en FY2026 (el 36 % del capital invertido medio); ha subido más de un 5 % en 7 de 9 años: comprador en serie. ROIC publicado 26,5 %; sin fondo de comercio, 41,1 %.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27,0 % · </w:t>
      </w:r>
      <w:r>
        <w:rPr>
          <w:b/>
          <w:bCs/>
        </w:rPr>
        <w:t xml:space="preserve">WACC</w:t>
      </w:r>
      <w:r>
        <w:t xml:space="preserve">: 10,0 %.</w:t>
      </w:r>
    </w:p>
    <w:p>
      <w:pPr>
        <w:spacing w:after="100"/>
      </w:pPr>
      <w:r>
        <w:t xml:space="preserve">El ROIC del motor es del 26,5 % en FY2026 (NOPAT de 269 M USD sobre un capital invertido de 1.014 M), frente a un WACC del 10,0 %: +16,5 puntos. Hay que restarle el flotante: sin los intereses de los fondos de clientes (120,0 M antes de impuestos), el NOPAT baja a ≈ 185 M y el ROIC a ≈ 18 %, todavía 8 puntos sobre el WACC [1, 2]. El ROIC sin fondo de comercio (41,1 %) muestra que el negocio propio necesita muy poco capital; la compra de Airbase (320 M) bajó el ROIC total de 32,8 % en FY2024 a 26,5 % [1]. El rendimiento del capital incremental (27 % de FY2017 a FY2026) está en línea. Lo que no se ve en el capital invertido es el coste real del crecimiento: los costes de contratos activados (559,2 M en balance; 177,1 M activados en FY2026) y los pagos en acciones, que este análisis trata como gasto [1, 7]. El ROE (22 %) es menor que el ROIC porque la empresa tiene más caja que deuda.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corporativa de 271,9 M USD a 30-jun-2026 y línea de crédito renovada el 17-sep-2026 por 1.750 M USD hasta septiembre de 2031 (ampliable en 875 M), con 81,25 M dispuestos; covenants: deuda neta ≤ 4 veces el EBITDA y cobertura de intereses ≥ 2 veces [1,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(sin bonos emitidos)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fondos de clientes (3.210,5 M USD) y las obligaciones con clientes (3.209,0 M) se compensan: es dinero de nóminas e impuestos en tránsito, no caja de la empresa; si se invierte en bonos, una subida de 100 puntos básicos restaría 16,0 M a su valor de mercado [1]. Arrendamientos operativos de 51,7 M (oficinas). Impuestos diferidos pasivos de 106,3 M, que subieron 73,8 M en FY2026 [1]. Obligaciones de contratos a plazo de 237,6 M en cuotas mínimas [1]. Sin pensiones, sin litigios materiales declarados y sin pagos aplazados de compras relevantes [1].</w:t>
      </w:r>
    </w:p>
    <w:p>
      <w:pPr>
        <w:pStyle w:val="Heading1"/>
      </w:pPr>
      <w:r>
        <w:t xml:space="preserve">12. Asignación de capital</w:t>
      </w:r>
    </w:p>
    <w:p>
      <w:pPr>
        <w:pStyle w:val="Confianza"/>
        <w:spacing w:after="100"/>
      </w:pPr>
      <w:r>
        <w:t xml:space="preserve">Confianza: Alta</w:t>
      </w:r>
    </w:p>
    <w:p>
      <w:pPr>
        <w:spacing w:after="100"/>
      </w:pPr>
      <w:r>
        <w:t xml:space="preserve">Sin dividendo. Prioridades declaradas: inversión en producto (I+D total no GAAP de 256 M USD en FY2026, con lo activado), compras de complemento con caja y recompras: programa de 2.000 M aprobado entre abril de 2024 y abril de 2026, con 697,8 M usados (4,6 M de acciones) y ≈ 1.300 M disponibles tras el 4T26 [1, 2, 8]. Objetivos a largo plazo (4-nov-2025): ingresos de 3.000 M, EBITDA ajustado del 40-45 %, flujo libre del 25-30 % y pagos en acciones del 5 % de las ventas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Airbase (gastos, cuentas a pagar y tarjetas)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crédito (325 M), devuelta en un 75 %</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«Paylocity for Finance»;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Grayscale Labs (contratación con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Comprada el 6-abr-2026; 35,8 M de fondo de comercio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Aidora (gestión de bajas con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en julio de 2026; importe no publicado; resta algo de margen en FY2027 según el director financiero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Cloudsnap y Blue Marble Payroll (nómina internacional, del fundador)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Integradas; Blue Marble era del fundador Sarowitz (operación vinculada) [1, 7].</w:t>
            </w:r>
          </w:p>
        </w:tc>
      </w:tr>
    </w:tbl>
    <w:p>
      <w:pPr>
        <w:spacing w:after="160" w:before="0"/>
      </w:pPr>
    </w:p>
    <w:p>
      <w:pPr>
        <w:spacing w:after="100"/>
      </w:pPr>
      <w:r>
        <w:t xml:space="preserve">La dirección ha sido prudente con el capital: crecimiento casi todo orgánico, compras pequeñas pagadas con caja y sin deterioros, y desde mayo de 2024 un giro a las recompras (150 M en FY2024, 149,6 M en FY2025 y 398,1 M en FY2026, a 144,67 USD de media) que bajan las acciones diluidas de 57,0 M a 54,8 M [1, 2]. Las recompras de FY2026 se hicieron por debajo del precio de hoy; las de FY2025 (190,16 USD de media) por encima [1]. Las recompras compensan con creces la dilución de los pagos en acciones (138,7 M), pero absorben buena parte del flujo libre.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Toby J. Williams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2017 a 2022, codirector general de 2022 a 2024 y consejero delegado único desde agosto de 2024; antes, Ellucian y desarrollo corporativo de Paychex [21]. Con él los ingresos crecieron de 853 a 1.771 M USD y el margen EBITDA ajustado del 28 % al 37 %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R. Beauchamp</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2007 a 2022 (llevó a la empresa de nómina regional a la nube y a la bolsa); antes, vicepresidente de producto de Paychex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Glenn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Paylocity desde 2013 (planificación financiera y relación con inversores); antes, PwC [21]. Ha guiado con prudencia: la guía anual se ha superado en FY2023, FY2025 y FY2026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Joshua Scutt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(ventas)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Veinte años en ADP (vicepresidente sénior de ventas a pymes) y NCR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King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sénior de producto y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Viene de Ellucian (transformación y estrategia de ingresos)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Steven I. Sarowitz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Fundó la empresa en 1997; dirigió Blue Marble Payroll, que Paylocity le compró en 2021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1.087-1.092 M USD y EBITDA ajustado de 314,5-318,5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1.174,6 M y 375,2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1.405-1.410 M y EBITDA ajustado de 464-468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1.402,5 M y 505,6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1.512-1.527 M y EBITDA ajustado de 533-543 M (sin Airbase)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1.595,2 M y 583,0 M (con Airbase)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1.707-1.722 M y EBITDA ajustado de 608,5-618,5 M (subida tres veces)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1.771,3 M y 654,9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1.880-1.895 M y EBITDA ajustado de 690-700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(1T el 5-nov-2026)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formado en casa o en Paychex y ADP: el consejero delegado fue director financiero, el actual director financiero lleva 13 años en la empresa y el presidente ejecutivo fue consejero delegado 15 años [21]. La sucesión de 2022-2024 (codirección y luego Williams en solitario) se anunció y se hizo sin sobresaltos [21]. La guía es prudente: en tres de los cuatro últimos ejercicios los ingresos superaron el rango [2]. El fundador (15,6 %) y el presidente (3,5 %) siguen con mucho capital, aunque los dos venden de forma programada [21, 24].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R. Beauchamp</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Toby J. Williams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I. Sarowitz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Ronald V. Waters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M. Breard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Virginia G. Breen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A. Conway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se presenta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L. Pederson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Andres D. Reiner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Kenneth B. Robinson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FY2026,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35,35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I. Sarowitz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programadas (plan 10b5-1) de 19,2 M USD en 12 meses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Schedule 13G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Schedule 13G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Schedule 13G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Schedule 13G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Steven R. Beauchamp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programadas de 6,9 M USD en 12 meses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Steven I. Sarowitz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Steven R. Beauchamp (presidente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Sarowitz: total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Beauchamp: total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Williams (consejero delegado): total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Glenn (director financiero): total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18,0 M USD en FY2025: 0,68 M de sueldo, 0,95 M de bonus y 16,3 M en acciones; ratio de 164 veces el empleado mediano [21]. El bonus se mide un 60 % por ingresos recurrentes y un 40 % por EBITDA ajustado (pagó el 138 % del objetivo) [21]. El variable a largo plazo mezcla acciones por tiempo, PSU ligadas a ingresos recurrentes y MSU ligadas a la rentabilidad para el accionista frente al Russell 3000 (objetivo en el percentil 60) [21]. Premia crecer con margen, no la rentabilidad sobre el capital; hay cláusula de recuperación (clawback) desde 2023 [21]. Voto consultivo de 2025: 93,1 % a favor y 6,7 % en contra [22].</w:t>
      </w:r>
    </w:p>
    <w:p>
      <w:pPr>
        <w:pStyle w:val="Heading2"/>
      </w:pPr>
      <w:r>
        <w:t xml:space="preserve">Operaciones vinculadas, estructura de control y defensas</w:t>
      </w:r>
    </w:p>
    <w:p>
      <w:pPr>
        <w:spacing w:after="100"/>
      </w:pPr>
      <w:r>
        <w:t xml:space="preserve">Sin accionista de control: el fundador tiene el 15,6 % y los directivos y consejeros juntos el 19,4 % [21]. Una acción, un voto; consejo elegido cada año (sin consejo escalonado) [21]. El presidente es ejecutivo (Beauchamp, antiguo consejero delegado), compensado con un consejero coordinador independiente (Waters) y comisiones de auditoría, remuneración y nombramientos solo con independientes [21]. Operación vinculada histórica: compra de Blue Marble Payroll, del fundador, en 2021 [21]. Exclusividad de los tribunales de Delaware para pleitos de accionistas [1].</w:t>
      </w:r>
    </w:p>
    <w:p>
      <w:pPr>
        <w:pStyle w:val="Heading2"/>
      </w:pPr>
      <w:r>
        <w:t xml:space="preserve">Señales de alerta</w:t>
      </w:r>
    </w:p>
    <w:p>
      <w:pPr>
        <w:pStyle w:val="ListParagraph"/>
        <w:numPr>
          <w:ilvl w:val="0"/>
          <w:numId w:val="2"/>
        </w:numPr>
        <w:spacing w:after="60"/>
      </w:pPr>
      <w:r>
        <w:t xml:space="preserve">Ventas programadas y continuas del fundador y del presidente ejecutivo (26,1 M USD en 12 meses entre los dos), sin compras de ningún directivo [24].</w:t>
      </w:r>
    </w:p>
    <w:p>
      <w:pPr>
        <w:pStyle w:val="ListParagraph"/>
        <w:numPr>
          <w:ilvl w:val="0"/>
          <w:numId w:val="2"/>
        </w:numPr>
        <w:spacing w:after="60"/>
      </w:pPr>
      <w:r>
        <w:t xml:space="preserve">Craig Conway deja el consejo en la junta del 3-dic-2026, sin desacuerdo declarado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(a 30-jun-2027), dada el 4-ago-2026: ingresos recurrentes de 1.777-1.792 M USD (+8 %), ingresos totales de 1.880-1.895 M (+7 %), EBITDA ajustado de 690-700 M y, sin los intereses de fondos, 587-597 M [2]. Incluye ≈ 103 M de intereses de fondos (saldo medio de 3.400-3.500 M al ≈ 3 %, con bajadas de tipos en enero y marzo), plantillas de clientes planas y +120-140 pb de margen por alargar la vida de los costes de contratos [2]. Para el 1T FY2027: ingresos de 439,5-444,5 M y EBITDA ajustado de 152-156 M; resultados el 5-nov-2026 [2, 31]. Objetivos a largo plazo (nov-2025): 3.000 M de ingresos, EBITDA ajustado del 40-45 %, flujo libre del 25-30 % y pagos en acciones del 5 %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19 analistas; BPA no GAAP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19 analistas; BPA no GAAP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128,00 – 250,00</w:t>
            </w:r>
          </w:p>
        </w:tc>
      </w:tr>
    </w:tbl>
    <w:p>
      <w:pPr>
        <w:spacing w:after="160" w:before="0"/>
      </w:pPr>
    </w:p>
    <w:p>
      <w:pPr>
        <w:pStyle w:val="Heading2"/>
      </w:pPr>
      <w:r>
        <w:t xml:space="preserve">Revisiones de estimaciones</w:t>
      </w:r>
    </w:p>
    <w:p>
      <w:pPr>
        <w:spacing w:after="100"/>
      </w:pPr>
      <w:r>
        <w:t xml:space="preserve">El BPA no GAAP de FY2027 del consenso apenas se ha movido: 8,69 USD hace 90 días y 8,74 hoy; el de FY2028, de 9,64 a 9,72 [26]. Los objetivos de precio suben con la acción: TD Cowen de 168 a 177 USD (20-ago), Citi «comprar» (13-ago), Bank of America reitera «comprar» (29-sep), BMO mantiene «comprar» (10-oct) y Barclays «mantener» (14-oct); en mayo Jefferies había bajado el suyo de 150 a 135 [27, 33]. Es un consenso que sigue al precio, no a cambios de beneficio. El BPA del consenso es no GAAP: excluye pagos en acciones (≈ 2,6 USD por acción antes de impuestos en FY2026) y amortización de intangibles comprados [2].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bl>
    <w:p>
      <w:pPr>
        <w:spacing w:after="160" w:before="0"/>
      </w:pPr>
    </w:p>
    <w:p>
      <w:pPr>
        <w:spacing w:after="100"/>
      </w:pPr>
      <w:r>
        <w:t xml:space="preserve">La acción ha ido muy por detrás del mercado: −10,6 % anual en cinco años y −5,4 % en tres frente a +12,7 % y +23,1 % del S&amp;P 500 (SPY), con una caída máxima del 68,9 % entre noviembre de 2021 y abril de 2026 [25]. Lo explica el múltiplo: el PER sobre el BPA GAAP del año siguiente pasó de más de 100 veces en 2020-2021 a ≈ 18 en junio de 2026, mientras el beneficio se multiplicaba [2, 25]. En 2026 el miedo a que la IA abarate el software por usuario («SaaSpocalypse») la llevó a un mínimo de 92,99 USD el 10-abr; desde entonces ha subido un 79 % con la rotación hacia el software, la recomendación de Citi y unos resultados que batieron [19, 25, 33]. Beta mensual de cinco años de 0,46 (poco fiable, R² bajo); la semanal de cinco años es 1,14 y la de dos, 0,72 [25].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 / +41,0 % / +64,4 % / +13,3 %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+79,1 %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software por miedo a la IA («SaaSpocalypse»): −6,1 % el 29-ene y el 3-feb y −7,2 % el 6-feb pese a batir en el 2T26 (BPA GAAP de 0,92 USD, 0,09 sobre lo esperado) y subir la guía [19, 25, 32]. Variación aproximada del tramo, estimación propia con los cierres de Yahoo.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Continuación de la venta del sector (−5,9 % el 24-mar, −7,1 % el 9-abr) hasta el mínimo de 92,99 USD el 10-abr; sin noticia propia de la empresa [25, 32]. Variación aproximada, estimación propia.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 semiconductores a software «castigado» (IGV +7 % en ocho sesiones a primeros de julio), compra de Aidora (9-jul) y Citi la elige como su favorita del software de RR. HH. antes de resultados (28-jul): de 104,53 USD el 30-jun a ≈ 137 a fin de julio [19, 32,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los resultados de FY2026 (4-ago: BPA GAAP del 4T de 1,12 USD frente a 0,86) y la nueva línea de crédito, sube en octubre a máximos de 52 semanas con reiteraciones de «comprar» (BofA, BMO) [2,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 el 5-nov-2026 tras el cierre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programadas (planes 10b5-1) del fundador Sarowitz (2,9 M USD el 16-oct; 19,2 M en 12 meses) y del presidente ejecutivo Beauchamp (2,5 M; 6,9 M en 12 meses); 32,7 M USD vendidos por directivos en 12 meses y ninguna compra [24, 27]. Es ≈ 1,7 % de la participación del fundador al precio de hoy.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Barclays mantiene «mantener»; BMO (10-oct) y Bank of America (29-sep) reiteran «comprar»; objetivo medio de 20 analistas de 172,60 USD (128-250) [26,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de crédito renovada y ampliada a 1.750 M USD hasta 2031; 81,25 M dispuestos; sin emisión de acciones ni convertibles [1,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por encima de la guía; guía de FY2027 con ingresos +7 % («algo floja» según la prensa) y menos intereses de fondos [2,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elige a Paylocity como su favorita del software de RR. HH. por la mejora del sentimiento y la bajada de las posiciones cortas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Aidora (gestión de bajas con IA), pagada con caja, importe no publicado; antes, Grayscale (abril, 50 M USD) [1,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baja su objetivo de 150 a 135 USD y mantiene «comprar» al revisar el software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subido un 79 % desde el mínimo de abril y está en máximos de 52 semanas (avisos P1 y P2), aunque aún un 44 % por debajo de su máximo de 2021 [25]. La subida tiene causa conocida: el rebote de todo el software de RR. HH. tras la venta por miedo a la IA del primer semestre, una recomendación de Citi y unos resultados de FY2026 que batieron la guía [2, 19, 33]. No hay hechos pendientes que puedan mover el precio más de un 5 % en contra aparte de los resultados del 5-nov, que no retrasan (regla 11). Las ventas de directivos son programadas y pequeñas frente a sus participaciones: no descartan.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ejercicio (30 de junio) de Yahoo [25]. FY2017 y FY2018 se excluyen: BPA GAAP de 0,12 y 0,70 USD (este con un beneficio fiscal) dan PER de cientos de veces. El PER sobre el BPA GAAP de los últimos 12 meses bajó de 151 veces en junio de 2021 a 21 en junio de 2026, y sobre el del año siguiente (la base de la regla a 12 meses) de 118 a 18: el mercado dejó de pagar el crecimiento del 30 % de 2019-2023 cuando bajó al 11 % y llegó el miedo a la IA [2, 25].</w:t>
      </w:r>
    </w:p>
    <w:p>
      <w:pPr>
        <w:pStyle w:val="Heading1"/>
      </w:pPr>
      <w:r>
        <w:t xml:space="preserve">18. Comparables cotizados</w:t>
      </w:r>
    </w:p>
    <w:p>
      <w:pPr>
        <w:pStyle w:val="Confianza"/>
        <w:spacing w:after="100"/>
      </w:pPr>
      <w:r>
        <w:t xml:space="preserve">Confianza: Media</w:t>
      </w:r>
    </w:p>
    <w:p>
      <w:pPr>
        <w:spacing w:after="100"/>
      </w:pPr>
      <w:r>
        <w:t xml:space="preserve">Las seis cotizadas de EE. UU. de nóminas, HCM y PEO de la ficha sectorial: Paycom (el modelo más parecido: medianas y cobro por empleado), Paychex y ADP (nómina y fondos de clientes), Workday (HCM de grandes empresas), Intuit (nómina de microempresas) y TriNet (PEO) [30]. Insperity queda fuera (margen EBITDA ≈ 0,4 % y EV/EBITDA de 64x) y Dayforce dejó de cotizar en 2026 (va en transacciones). El PER es el del consenso en base no GAAP, la misma que publica cada empresa; en GAAP los de Paycom, Workday e Intuit serían más altos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Automatic Data Processing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Paycom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14,1x / 16,8x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16,8x / 18,5x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 / 4,8x / 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Paylocity cotiza a ≈ 18,4x el BPA no GAAP de los próximos 12 meses del consenso, por debajo de la mediana de sus comparables (16,8x) y de ADP (22,8x), con más crecimiento esperado (7-8 % frente a 6-7 % de ADP y Paychex) pero menos margen [26, 30]. El descuento se explica por los pagos en acciones (en GAAP el PER sube a ≈ 27 veces) y por el miedo a que la IA reduzca el empleo administrativo de las medianas, el mismo que pesa sobre Paycom [26]. Usaríamos el PER y el EV/EBITDA de los próximos 12 meses: el EBITDA de Yahoo de los comparables no siempre resta los pagos en acciones.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la guía de 2025 (sin pagos en acciones); cerrada en febrero de 2026 [34,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medianas; sobre «más de 650 M» de ingresos recurrentes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Ultimate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Consorcio de Hellman &amp; Friedman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EV/ventas sobre «más de 1.100 M» de ingresos de 2018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Airbase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Paylocity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gastos sin ingresos publicados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Grayscale Labs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Contratación con IA; sin ingresos publicados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212,64 – 273,73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HCM de 2025 se pagaron a unas 6,3 veces las ventas, con primas del 19-32 %, y la opinión de Evercore para Dayforce da una mediana de 19,1 veces el EBITDA ajustado de las operaciones del sector desde 2019 [34, 35, 36]. Paylocity vale hoy ≈ 4,8 veces sus ventas de FY2026: por debajo de esos precios de control. Sin accionista de control y con un consejo elegido cada año, sería comprable (el fundador tiene el 15,6 %), pero no hay ninguna señal de operación: las transacciones son referencia de valor, no catalizador.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(+6,6 %) es el centro de la guía de ingresos totales (1.880-1.895 M USD, +7 %) con un punto menos de intereses de fondos: recurrentes +8 % y fondos de 120,0 a ≈ 103 M por dos bajadas de tipos [2, 8]. El consenso espera 1.894 M [26]. FY2028e-FY2029e +8 %: recurrentes al 9 % (clientes +5-6 %, ingreso por cliente +2,5-3 % con módulos, Airbase y agentes de IA) y fondos planos; después baja hasta el 4 % en FY2034e. Es la mitad del crecimiento histórico (21,8 % anual) porque el mercado direccionable crece al 4,7 % y la empresa ya tiene el 7,3 % [1, 12].</w:t>
      </w:r>
    </w:p>
    <w:p>
      <w:pPr>
        <w:keepNext/>
        <w:spacing w:after="100"/>
      </w:pPr>
      <w:r>
        <w:rPr>
          <w:b/>
          <w:bCs/>
        </w:rPr>
        <w:t xml:space="preserve">Márgenes.</w:t>
      </w:r>
    </w:p>
    <w:p>
      <w:pPr>
        <w:spacing w:after="100"/>
      </w:pPr>
      <w:r>
        <w:t xml:space="preserve">Margen EBITDA GAAP (con los pagos en acciones como gasto) del 28,9 % en FY2027e: guía de EBITDA ajustado de 690-700 M menos ≈ 145 M de pagos en acciones con cotizaciones y ≈ 5 M de otros ajustes [2]. Incluye ≈ 1,3 puntos de la nueva vida de 8 años de los costes de contratos, que no cambia la caja (el DCF lo resta en la inversión) [2]. Sube hasta el 35,5 % en FY2033e por el apalancamiento en ventas y administración y porque los pagos en acciones bajan del 7,8 % al 5 % de las ventas que se fija la empresa; equivale a un EBITDA ajustado del ≈ 40,5 %, el extremo bajo del objetivo de la empresa (40-45 %) [11].</w:t>
      </w:r>
    </w:p>
    <w:p>
      <w:pPr>
        <w:keepNext/>
        <w:spacing w:after="100"/>
      </w:pPr>
      <w:r>
        <w:rPr>
          <w:b/>
          <w:bCs/>
        </w:rPr>
        <w:t xml:space="preserve">Inversión y circulante.</w:t>
      </w:r>
    </w:p>
    <w:p>
      <w:pPr>
        <w:spacing w:after="100"/>
      </w:pPr>
      <w:r>
        <w:t xml:space="preserve">«Capex» del 10,0 % de las ventas en FY2027e, que baja al 7,4 %: inmovilizado (≈ 2 %), software activado (69,3 M en FY2026, 3,9 %) y el aumento neto de los costes de contratos activados (47,9 M en FY2026, 2,7 %; ≈ 4 % en FY2027e porque la vida más larga baja la amortización y sube el saldo) [1, 2]. Amortización del 6,3 % de las ventas (111,8 M en FY2026). Circulante del −1 % de las ventas: la empresa cobra por débito al pagar la nómina y tiene ingresos diferidos [1].</w:t>
      </w:r>
    </w:p>
    <w:p>
      <w:pPr>
        <w:keepNext/>
        <w:spacing w:after="100"/>
      </w:pPr>
      <w:r>
        <w:rPr>
          <w:b/>
          <w:bCs/>
        </w:rPr>
        <w:t xml:space="preserve">Coste del capital.</w:t>
      </w:r>
    </w:p>
    <w:p>
      <w:pPr>
        <w:spacing w:after="100"/>
      </w:pPr>
      <w:r>
        <w:t xml:space="preserve">Tasa libre del 5,15 % (bono del Tesoro a 10 años, 19-oct-2026 [28]); beta de 0,90, la media de las medidas (0,64 ajustada mensual a 5 años, 1,09 ajustada semanal a 5 años, 0,72 semanal a 2 años [25]) y la usada para Paycom [39]; prima del 5,5 %; sin prima adicional (medio, líquido, sin riesgo país). Coste de la deuda del 6 % (SOFR + 1,00-1,625 % de la línea [10]) con un peso del 1 %: deuda de 81,3 M frente a 8.890 M de capitalización. WACC del 10,04 %.</w:t>
      </w:r>
    </w:p>
    <w:p>
      <w:pPr>
        <w:keepNext/>
        <w:spacing w:after="100"/>
      </w:pPr>
      <w:r>
        <w:rPr>
          <w:b/>
          <w:bCs/>
        </w:rPr>
        <w:t xml:space="preserve">Valor terminal.</w:t>
      </w:r>
    </w:p>
    <w:p>
      <w:pPr>
        <w:spacing w:after="100"/>
      </w:pPr>
      <w:r>
        <w:t xml:space="preserve">Crecimiento a perpetuidad del 3,0 %, el mismo que en Paycom [39]: el empleo y los salarios nominales crecen ≈ 3-4 % y la empresa aún gana cuota. El múltiplo de salida implícito es de ≈ 8 veces el EBITDA, bajo para software, porque el WACC del 10 % es exigente; con la prima del mercado (4,2 %) el DCF sube a 148,05 USD.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149,95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(reinvierte el 42 %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 (histórico: 27,0 %)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 frente al 6,5 %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FY2031e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(hoy: 7,3 %)</w:t>
            </w:r>
          </w:p>
        </w:tc>
      </w:tr>
    </w:tbl>
    <w:p>
      <w:pPr>
        <w:spacing w:after="160" w:before="0"/>
      </w:pPr>
    </w:p>
    <w:p>
      <w:pPr>
        <w:spacing w:after="100"/>
      </w:pPr>
      <w:r>
        <w:t xml:space="preserve">La proyección apenas necesita inversión neta de la amortización (reinversión acumulada de 433 M, el 11 % del NOPAT, con un capex bruto medio del 8,6 % de las ventas). En un negocio de activos ligeros, el crecimiento medio del 6,5 % tiene que salir de subir precios y de ganar volumen sin capital nuevo, y la prueba es el poder de precios y la cuota (9,0 % del mercado en FY2031e, frente al 7,3 %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 8]: recurrentes +8 % (clientes nuevos ≈ 5,5 %, ingreso por cliente ≈ 2 %, con plantillas de clientes planas) y −1 punto por los intereses de fondos (120,0 → ≈ 103 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+5,5 % y precio y módulos +2,5 %; intereses de fondos planos (tipos ya bajados).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FY2028e: Airbase, agentes de IA y venta cruzada sostienen el ingreso por cliente.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menos clientes nuevos en un mercado del que ya tiene el 8 %.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4,5 % y precio del 2,5 %; cuota implícita del 9,0 % del mercado direccionable.</w:t>
            </w:r>
          </w:p>
        </w:tc>
      </w:tr>
    </w:tbl>
    <w:p>
      <w:pPr>
        <w:spacing w:after="160" w:before="0"/>
      </w:pPr>
    </w:p>
    <w:p>
      <w:pPr>
        <w:spacing w:after="100"/>
      </w:pPr>
      <w:r>
        <w:t xml:space="preserve">El crecimiento proyectado (6,5 % medio en FY2027e-FY2034e) es menos de un tercio del histórico (21,8 % anual) y algo mayor que el del mercado (4,7 % del Census [12]); la cuota sube del 7,3 % al 9,0 % en FY2031e, 1,2 veces la actual, con una retención del 92 % y un 25 % de ventas nuevas por corredores y asesores [1, 8]. El negocio no necesita capital nuevo para crecer: la reinversión bruta (capex + circulante) del 42 % del NOPAT financia un 11,1 % al ROIC actual, y la proyección supone un rendimiento del 22,2 % frente al 27 % histórico. La parte frágil no es la reinversión sino dos ingresos que no dependen de la empresa: los intereses de los fondos (≈ 6 % de las ventas, ≈ 25 % del EBIT) y el número de empleados de los clientes (cobro por empleado).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(base: 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44,9 % (base: 35,5 %)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10,0 %)</w:t>
            </w:r>
          </w:p>
        </w:tc>
      </w:tr>
    </w:tbl>
    <w:p>
      <w:pPr>
        <w:spacing w:after="160" w:before="0"/>
      </w:pPr>
    </w:p>
    <w:p>
      <w:pPr>
        <w:spacing w:after="100"/>
      </w:pPr>
      <w:r>
        <w:t xml:space="preserve">El DCF da 123,12 USD por acción, un 25,9 % bajo el precio, con un WACC del 10,04 % y un valor terminal que pesa el 65 %. El DCF inverso dice que el precio descuenta un crecimiento del 11,3 % anual durante ocho años con nuestros márgenes (o un margen EBITDA final del 44,9 % con nuestro crecimiento), frente al 6,5 % de nuestro base y al 7 % de la guía de FY2027: la rentabilidad implícita en el precio es del 8,3 %, menos que el WACC. Con la prima implícita del mercado (4,2 %, WACC 8,9 %) el DCF sube a 148,05 USD, todavía un 10,9 % bajo el precio. El rango del DCF (WACC y crecimiento ± 0,5) va de 110,10 a 140,38.</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Reserva Federal baja los tipos a corto al 2 % y los intereses de los fondos caen ≈ 70 M; la IA y un empleo plano reducen los empleados por cliente, y Rippling, ADP y Paychex-Paycor presionan precios: 3 puntos menos de crecimiento y de margen y un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cumplida (+7 %), recurrentes al 8-9 % dos años y desaceleración hasta el 4 %; margen EBITDA GAAP del 28,9 % al 35,5 % con menos pagos en acciones; intereses de fondos ≈ 103 M y planos.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se cobran aparte, Airbase y la venta cruzada suben el ingreso por cliente y los tipos se quedan donde están: 1,5 puntos más de crecimiento y de margen (EBITDA ajustado ≈ 42 %, dentro del objetivo de la empresa).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66,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117,58 USD (-29,2 %).</w:t>
      </w:r>
    </w:p>
    <w:p>
      <w:pPr>
        <w:spacing w:after="100"/>
      </w:pPr>
      <w:r>
        <w:t xml:space="preserve">Los tres escenarios del DCF quedan bajo el precio: el alcista vale 142,82 USD (−14,1 %) y el bajista 81,27 (−51,1 %). Para que el valor intrínseco llegue a 166 USD hace falta a la vez un WACC del 9 % y un crecimiento a perpetuidad del 3,5 % (153 USD) o el EBITDA ajustado del 45 %, el techo del objetivo de la empresa. El precio no paga el negocio de hoy sino el éxito del plan a largo plazo.</w:t>
      </w:r>
    </w:p>
    <w:p>
      <w:pPr>
        <w:pStyle w:val="Heading1"/>
      </w:pPr>
      <w:r>
        <w:t xml:space="preserve">22. Suma de partes</w:t>
      </w:r>
    </w:p>
    <w:p>
      <w:pPr>
        <w:pStyle w:val="Confianza"/>
        <w:spacing w:after="100"/>
      </w:pPr>
      <w:r>
        <w:t xml:space="preserve">Confianza: Alta</w:t>
      </w:r>
    </w:p>
    <w:p>
      <w:pPr>
        <w:spacing w:after="100"/>
      </w:pPr>
      <w:r>
        <w:t xml:space="preserve">No aplica: un solo segmento (software de nóminas y RR. HH. en la nube) [1]. Los intereses de los fondos de clientes no son un negocio separable: nacen de la misma nómina y se valoran dentro del DCF con su sensibilidad a los tipos (sección 22).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66,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131,70 USD (-20,7 % sobre 166,17).</w:t>
      </w:r>
    </w:p>
    <w:p>
      <w:pPr>
        <w:spacing w:after="100"/>
      </w:pPr>
      <w:r>
        <w:t xml:space="preserve">Pesos: DCF 45 %, escenarios 30 %, comparables 20 % y transacciones 5 %. El DCF es el método más fiable para un negocio estable de cobro recurrente, con dos ajustes que lo hacen exigente: los pagos en acciones como coste (7,8 % de las ventas hoy, 5 % a largo plazo) y la bajada de tipos en los intereses de fondos. Los comparables (151,89 USD con el PER no GAAP de los próximos 12 meses, mediana de 16,8 veces: ADP, Paychex, Paycom, Workday, Intuit y TriNet [30]) dan más porque el sector cotiza barato tras la venta de 2026, pero Paylocity cotiza con prima (≈ 18-19 veces el BPA no GAAP). Las transacciones (212,81 USD: Dayforce, Paycor, Ultimate a 6,3-10 veces las ventas [34, 35, 36, 37]) incluyen prima de control y pesan poco: no hay ninguna oferta y el fundador tiene el 15,6 % [21]. Síntesis: 131,70 USD (−20,7 %); con la prima del mercado, 149,88 (−9,8 %).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(27.2x) × 1.1 (tope: la mediana de 5 años, 36.8x,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+75,3 %</w:t>
            </w:r>
          </w:p>
        </w:tc>
      </w:tr>
    </w:tbl>
    <w:p>
      <w:pPr>
        <w:spacing w:after="160" w:before="0"/>
      </w:pPr>
    </w:p>
    <w:p>
      <w:pPr>
        <w:spacing w:after="100"/>
      </w:pPr>
      <w:r>
        <w:rPr>
          <w:b/>
          <w:bCs/>
        </w:rPr>
        <w:t xml:space="preserve">Objetivo a 12 meses (ponderado):</w:t>
      </w:r>
      <w:r>
        <w:t xml:space="preserve"> 198,54 USD · rentabilidad +19,5 % (base +20,6 %) · señal Mantener.</w:t>
      </w:r>
    </w:p>
    <w:p>
      <w:pPr>
        <w:spacing w:after="100"/>
      </w:pPr>
      <w:r>
        <w:t xml:space="preserve">Para comparar, con la regla v2 (historia al cierre, mismo precio): 21,2x / 27,2x / 35,4x, 11,4 % Mantener; con el tope anterior del base (×1,3, 14-oct mediodía): 25,4 %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El consenso (8,74 USD en FY2027 y 9,72 en FY2028 [26]) es BPA no GAAP: excluye los pagos en acciones (≈ 145 M), la amortización de intangibles comprados (≈ 21 M) y otros ajustes, con un impuesto normalizado. Nuestro BPA GAAP de FY2027e (5,84) equivale a ≈ 8,6-8,7 USD no GAAP, en línea con el consenso; el de FY2028e (6,70) a ≈ 9,6. Coincidimos en el negocio; la diferencia es de base contable. El objetivo medio de los analistas (172,60 USD) está un 14 % bajo nuestro base a 12 meses (200,33), porque la regla aplica un PER GAAP de 29,9 veces, por debajo de su historia.</w:t>
      </w:r>
    </w:p>
    <w:p>
      <w:pPr>
        <w:keepNext/>
        <w:spacing w:after="100"/>
      </w:pPr>
      <w:r>
        <w:rPr>
          <w:b/>
          <w:bCs/>
        </w:rPr>
        <w:t xml:space="preserve">Del valor intrínseco al objetivo a 12 meses.</w:t>
      </w:r>
    </w:p>
    <w:p>
      <w:pPr>
        <w:spacing w:after="100"/>
      </w:pPr>
      <w:r>
        <w:t xml:space="preserve">El objetivo a 12 meses (198,54 USD, ponderado) queda un 19,5 % sobre el precio y el base (200,33 USD) un 20,6 %: pasan los umbrales de la regla (15 % y 12 %). No es Comprar porque falla la tercera condición: el valor intrínseco (131,70 USD) está un 20,7 % bajo el precio. La regla a 12 meses mira el rebote del múltiplo frente a su propia historia (el PER adelantado era de 33-51 veces en FY2023-FY2025) y el DCF mira el flujo de caja: los dos no pueden tener razón a la vez durante mucho tiempo. La historia del PER es de una empresa que crecía al 20-30 %; hoy crece al 7-8 % y la mediana de cinco años está inflada por la burbuja de 2021-2022. El bajista (102,21 USD, −38,5 %) muestra lo que pasa si el múltiplo vuelve al de junio de 2026.</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ingresos (1.880-1.895 M USD) y de EBITDA ajustado (690-700 M); primera lectura de plantillas, intereses de fondos y agentes de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consejero Craig Conway; voto de remuneración (93 % a favor en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 y 2027-03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Bajadas de tipos de la Reserva Federal (las dos de la guía)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9 M USD menos de intereses de fondos por cada 25 pb al año, ≈ 0,12 USD de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y altas de enero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tercer trimestre fiscal es el más fuerte: lectura de ventas nuevas y del cobro de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recurrentes vuelve al 9-10 %, el DCF sube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 1.300 M USD autorizados; 398,1 M en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+3-4 % de BPA al año si mantiene el ritmo de FY2026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Empleo privado de EE. UU. (+0,5 % interanual a septiembre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por empleado: un empleo en caída resta ingresos sin perder clientes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2095"/>
        <w:gridCol w:w="942"/>
        <w:gridCol w:w="628"/>
        <w:gridCol w:w="733"/>
        <w:gridCol w:w="1047"/>
        <w:gridCol w:w="1885"/>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el precio descuenta un 11,3 % de crecimiento anual durante ocho años frente al 7 % de la guía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hasta el DCF; −38 % si el PER vuelve al mínimo de junio de 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regla a 12 meses da +20 % por el rebote del múltiplo; el consenso no GAAP sube.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los intereses de los fondos de clientes (120,0 M USD en FY2026, ≈ 25 % del EBIT) bajan con el tipo a corto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−0,47 USD de BPA por cada 100 pb (−7 %); −1,41 USD (−24 %) con tipos a cero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incluye dos bajadas (≈ 103 M); parte de los fondos está invertida a plazo [1,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menos empleados en los clientes (cobro por empleado) y presión sobre el precio del software por usuario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 a 3-5 años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Cobra por todos los empleados del cliente, no por usuarios de RR. HH., y la mayoría son de planta, sanidad y servicios; vende agentes de IA aparte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de EE. UU.: plantillas de clientes planas o en caída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de ingresos en una recesión como la de 2020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supone plantillas planas; la retención es del 92 % [1,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ADP, Paychex-Paycor, Paycom, Dayforce (Thoma Bravo) y Rippling en empresas medianas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puntos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(cuota del 7,3 %); corredores aportan &gt; 25 % de las ventas nuevas [1,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y ventas de 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 de las ventas; 32,7 M USD vendidos en 12 meses, ninguna compra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5 % y recompras de 398,1 M en FY2026 [11, 24].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Seguridad de datos y fraude en los fondos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Pérdida de clientes y multas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ISO 27001, SOC 1/SOC 2; sin incidentes materiales declarados [1].</w:t>
            </w:r>
          </w:p>
        </w:tc>
      </w:tr>
    </w:tbl>
    <w:p>
      <w:pPr>
        <w:spacing w:after="160" w:before="0"/>
      </w:pPr>
    </w:p>
    <w:p>
      <w:pPr>
        <w:pStyle w:val="Heading2"/>
      </w:pPr>
      <w:r>
        <w:t xml:space="preserve">Pre-mortem</w:t>
      </w:r>
    </w:p>
    <w:p>
      <w:pPr>
        <w:spacing w:after="100"/>
      </w:pPr>
      <w:r>
        <w:t xml:space="preserve">Octubre de 2027: la acción ha perdido un 35 %. No fue un mal año de producto sino de precio y de ciclo: la Reserva Federal bajó tres veces en lugar de dos, los intereses de los fondos cayeron a ≈ 85 M, y los clientes medianos recortaron plantillas administrativas con la IA mientras el empleo privado se quedaba plano. La guía de FY2028 llegó con recurrentes al 6 %, el mercado volvió a vender el software por usuario como en febrero de 2026 y el PER GAAP volvió a 18-20 veces. El valor intrínseco que el DCF marcaba (123 USD) resultó ser el suelo, no el techo.</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a +5 % a 3-5 años</w:t>
      </w:r>
    </w:p>
    <w:p>
      <w:pPr>
        <w:spacing w:after="100"/>
      </w:pPr>
      <w:r>
        <w:t xml:space="preserve">La IA corta en los dos sentidos. En contra: Paylocity cobra por empleado del cliente al mes, así que todo lo que reduzca plantillas en sus clientes (atención al cliente, contabilidad, administración) le quita ingresos sin perder clientes; y el mercado teme que agentes de IA y herramientas más baratas abaraten el software de RR. HH. por usuario: ese miedo hundió la acción un 45 % entre enero y abril de 2026 (−7,2 % el 6-feb pese a batir resultados) [19, 25]. Rivales nuevos con capital riesgo (Rippling) construyen sobre una base de datos de empleado única que encaja bien con la IA [20]. A favor: el 80-90 % de los empleados de sus clientes trabaja en planta, sanidad, comercio y servicios, donde la IA quita menos puestos; la nómina y los impuestos son un servicio con responsabilidad legal que la IA no elimina sino que automatiza dentro de la plataforma; y la empresa vende agentes de IA aparte («monetización directa incremental»), está abierta a cobrar por uso, compró Aidora (gestión de bajas con IA) y las interacciones con su IA casi se duplicaron en el 4T26 [8, 32]. La guía de FY2027 ya supone plantillas planas. Nuestro bajista (−3 puntos de crecimiento y de margen) es el caso en que la IA resta empleados y precio a la vez; el alcista es el caso en que la cobra.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seguridad de los datos: la empresa guarda datos fiscales, bancarios y personales de millones de empleados de sus clientes y mueve 3.200 M USD de fondos; declara incidentes no materiales en el pasado y certificación ISO 27001 y SOC 1/SOC 2 [1]. Segundo, la IA en contratación, con leyes que exigen auditar sesgos [1]. Tercero, el capital humano: 6.900 empleados y pagos en acciones del 7,8 % de las ventas [1].</w:t>
      </w:r>
    </w:p>
    <w:p>
      <w:pPr>
        <w:pStyle w:val="Heading2"/>
      </w:pPr>
      <w:r>
        <w:t xml:space="preserve">Controversias</w:t>
      </w:r>
    </w:p>
    <w:p>
      <w:pPr>
        <w:spacing w:after="100"/>
      </w:pPr>
      <w:r>
        <w:t xml:space="preserve">Sin sanciones ni litigios materiales en los tres últimos años según el 10-K FY2026; ciberincidentes pasados no materiales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de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3.400-3.500 M USD de saldo medio está invertida a plazo fijo y a qué rentabilidad, y cuánto bajan los intereses por cada 25 pb de recorte?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 25 % del EBIT; 100 pb son ≈ 0,47 USD de BPA [8, 40].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plantillas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empleados por cliente se facturaron en FY2026 frente a FY2025, y qué parte de los clientes ha reducido plantilla administrativa?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efecto de la IA del ciclo del empleo.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dan ya los agentes de IA y con qué modelo de precio (por empleado, por uso)?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convierte el riesgo de IA en 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contratos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alarga la vida de 7 a 8 años y cuál es la duración media real de un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margen GAAP 1,2-1,4 puntos sin cambiar la caja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llegará al 5 % de las ventas desde el 7,8 % y cuánto de la recompra solo compensa la dilución?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diferencia entre el BPA GAAP y el ajustado.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ha cambiado la tasa de victorias frente a Paychex-Paycor, Dayforce y Rippling en el último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medio se ha concentrado en 2025 con dos compras grandes [34, 35].</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($PCTY)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mensajes alcistas y uno bajista: en mayo-junio se hablaba de «zona de carga» por debajo de 100 USD; en octubre dominan los avisos de ruptura técnica y algún objetivo exagerado; se lee junto a Paycom porque las dos cobran por empleado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alcistas tras los resultados («aplasta otra vez», «el rendimiento acabará premiado», «infravalorada con potencial de rebote» en febrero); la guía de FY2027 se lee como prudente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de máximos y de ventas de directivos (fundador y presidente) en la misma semana, sin debate de fondo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Rebote del software tras el miedo a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el precio (+79 % desde abril), pero el negocio no cambió tanto: la guía de FY2027 es la más baja en años (+7 %)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al flujo de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en base no GAAP (≈ 17-18x el BPA ajustado); con los pagos en acciones como coste el PER es ≈ 27x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amenaza al cobro por empleado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es real a varios años; hoy las plantillas de los clientes aún crecen y la empresa ya cobra módulos de IA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directivos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Programadas (10b5-1) y pequeñas frente a sus participaciones [27].</w:t>
            </w:r>
          </w:p>
        </w:tc>
      </w:tr>
    </w:tbl>
    <w:p>
      <w:pPr>
        <w:spacing w:after="160" w:before="0"/>
      </w:pPr>
    </w:p>
    <w:p>
      <w:pPr>
        <w:spacing w:after="100"/>
      </w:pPr>
      <w:r>
        <w:t xml:space="preserve">El sentimiento ha pasado del pesimismo de abril («zona de carga» bajo 100 USD) a un tono alcista y técnico en octubre, con la acción en máximos de 52 semanas [33]. No es euforia, pero sí un cambio rápido que ya está en el precio. Los foros no recogen el efecto de la bajada de tipos sobre los intereses de los fondos ni la diferencia entre el BPA ajustado y el GAAP, que son los dos puntos en los que este informe es más prudente que el mercado. No anticipa ningún riesgo que el informe no tenga.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40 (25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99 % y los ingresos un 34 %: si hubo una compra cerca del cierre, decláralo en financieros.cambios_perimetro y explícalo. Explicación: No es una compra: el activo total salta de 2.414,9 a 4.809,0 M USD porque los fondos de clientes al cierre pasaron de ≈ 1.830 a ≈ 4.090 M (activo corriente sin caja) [1]. Ese saldo depende del día en que cae el 30 de junio dentro del calendario de nóminas e impuestos y se compensa casi al céntimo con las obligaciones con clientes del pasivo; en FY2023 volvió a ≈ 2.760 M. Las compras de FY2022 (107,6 M; el fondo de comercio pasó de 33,7 a 101,9 M) añadieron poco a los ingresos, que crecieron un 34 % sobre todo por clientes nuevos y la vuelta del empleo tras la pandemia [1, 4]. Por lo mismo, Altman Z (2,49, zona gris) no mide aquí la solvencia: el activo y el pasivo corriente están inflados por los fondos y la deuda neta es negativa.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9,0 % en FY2031e frente al 7,3 %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-1,0 % frente a -0,2 % real: genera una variación de circulante de -15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8.890, publicada 9.200: revisa acciones y precio. Explicación: La calculada (8.890 M USD) usa el cierre del 19-oct (166,17 USD) y 53,5 M de acciones diluidas (53,06 M en circulación el 29-jul-2026 más la dilución) [1]; la publicada por Yahoo (9.200 M) usa el precio de la sesión del 20-oct (170,32 USD) y ≈ 54 M de acciones [26]. Con el mismo precio la diferencia es del 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Propia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aumento de los costes de contratos activados antes de 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company facts (sin concepto anual de variación); 2) notas de resultados FY2022-FY2023 (solo FY2024-FY2026 en la de FY2026); 3) 10-K FY2026 (tabla de FY2025-FY2026)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capex histórico va sin ellos y el DCF los suma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(no citan calificaciones); 2) web de inversores (informe de impacto sin calificación de terceros); 3) búsqueda de MSCI/Sustainalytics (sin acceso gratuito a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independiente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Census y BLS (sin previsión); 2) ficha sectorial del repo (n.d.); 3) estudios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consenso y BPA de FY2029e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dos ejercicios y sin EBITDA); 2) MarketBeat (año en curso y siguiente);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variación exacta de los tramos de ene-feb y mar-abr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movimiento.mjs (mayores caídas diarias); 2) bolsa.mjs (rentabilidades por periodos fijos); 3) titulares de Seeking Alpha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FY2026 (cerrado el 30-jun-2026): cuentas, clientes, retención, competencia, fondos de clientes, recompras, contratos diferidos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Paylocity Holding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https://www.sec.gov/Archives/edgar/data/1591698/000159169826000069/pcty-20260630.htm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Paylocity Announces Fourth Quarter and Fiscal 2026 Financial Results (conciliación GAAP-ajustado, guía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Paylocity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https://www.sec.gov/Archives/edgar/data/1591698/000159169826000066/pcty-20260804xex991.htm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Announces Fourth Quarter and Fiscal 2025 Financial Results (guía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https://www.sec.gov/Archives/edgar/data/1591698/000159169825000086/pcty-20250805xex991.htm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anuales FY2022, FY2023 y FY2024 (intereses de fondos de clientes, pagos en acciones, guías)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https://www.sec.gov/Archives/edgar/data/1591698/000159169824000149/pcty-20240801xex991.htm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 2T y 3T FY2026 (4-nov-2025, 5-feb-2026, 7-may-2026; objetivos a largo plazo del 4-nov-2025)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https://www.sec.gov/Archives/edgar/data/1591698/000159169826000036/pcty-20260507xex991.htm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 2T y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https://www.sec.gov/Archives/edgar/data/1591698/000159169825000049/pcty-20250501xex991.htm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Paylocity (software activado, pagos en acciones, costes de contratos)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https://data.sec.gov/api/xbrl/companyfacts/CIK0001591698.json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(PCTY) Q4 2026 Earnings Call Transcript (saldo medio de fondos 3.400-3.500 M, rentabilidad ≈ 3 %, bajadas de tipos en la guía, plantillas planas)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(transcripción)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https://www.webull.com/news/15386993148584960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 FY2026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https://www.sec.gov/Archives/edgar/data/1591698/000159169826000037/pcty-20260331.htm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línea de crédito renovada de 1.750 M USD hasta septiembre de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https://www.sec.gov/Archives/edgar/data/1591698/000159169826000131/pcty-20260917.htm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Announces First Quarter Fiscal 2026 Results (objetivos financieros a largo plazo actualizados)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https://www.sec.gov/Archives/edgar/data/1591698/000159169825000112/pcty-20251104xex991.htm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Revenue for Payroll Services, Employer Firms (REVEF541214TAXABL), Census Bureau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(St. Louis Fed)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https://fred.stlouisfed.org/series/REVEF541214TAXABL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Nóminas, HCM y PEO (EE. UU.): ficha sectorial corta (empleo, flotante, cobro por empleado, márgenes,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(sectores/nominas-rrhh-2026-10-15.md)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sectores/nominas-rrhh-2026-10-15.md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Form 10-K FY2026 y nota de resultados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https://www.sec.gov/Archives/edgar/data/8670/000000867026000030/adp-20260630.htm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Form 10-K del ejercicio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https://www.sec.gov/Archives/edgar/data/723531/000119312526307785/payx-20260531.htm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Form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https://www.sec.gov/Archives/edgar/data/1590955/000119312526059372/payc-20251231.htm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datos XBRL del Form 10-K de FY2026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https://data.sec.gov/api/xbrl/companyfacts/CIK0001327811.json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Employees, Total Private (USPRIV)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https://fred.stlouisfed.org/series/USPRIV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PagerDuty and Paylocity Shares Are Soaring (rotación hacia el software tras el «SaaSpocalypse»)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 MarketMinute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https://kttc.marketminute.com/article/stockstory-2026-7-7-pagerduty-and-paylocity-shares-are-soaring-what-you-need-to-know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vs. Rippling: Comparing Payroll and HR Systems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https://www.paycom.com/compare/paycom-vs-rippling/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 2025 (DEF 14A): consejo, comisiones, remuneración,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Holding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https://www.sec.gov/Archives/edgar/data/1591698/000159169825000102/pcty-20251021.htm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4-dic-2025 (consejeros, voto consultivo de remuneración, plan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https://www.sec.gov/Archives/edgar/data/1591698/000159169825000132/pcty-20251204.htm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Craig Conway no se presenta a la reelección (junta prevista el 3-dic-2026)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https://www.sec.gov/Archives/edgar/data/1591698/000159169826000127/pcty-20260820.htm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(form4.mjs), 20-oct-2025 a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https://www.sec.gov/cgi-bin/browse-edgar?action=getcompany&amp;CIK=0001591698&amp;type=4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PCTY, SPY e IGV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https://finance.yahoo.com/quote/PCTY/history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PCTY y comparables (BPA y ventas, objetivos, recomendaciones; sesión del 20-oct a las 11:44 de Nueva York):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https://finance.yahoo.com/quote/PCTY/analysis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titulares y alertas (recomendaciones, ventas de directivos, resultados),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https://www.marketbeat.com/stocks/NASDAQ/PCTY/news/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5,15 % el 19-oct-2026; 3 meses: 4,27 %)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nóminas, HCM y PEO (14-oct-2026), llevados al cierre del 19-oct con la capitalización de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(sectores/nominas-rrhh-2026-10-15-comparables.json) y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sectores/nominas-rrhh-2026-10-15-comparables.json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Announces Q1 FY27 Earnings Conference Call (5-nov-2026, 16:00 hora central)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(GlobeNewswire,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https://finviz.com/news/402034/paylocity-announces-q1-fy27-earnings-conference-call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PCTY (RSS, feb-oct 2026: resultados, Grayscale, Aidora,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https://seekingalpha.com/api/sa/combined/PCTY.xml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$PCTY (Citi elige a Paylocity como su favorita del software de RR. HH., 28-jul-2026; TD Cowen sube el objetivo a 177 USD; Jefferies lo baja a 135 en mayo)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https://api.stocktwits.com/api/2/streams/symbol/PCTY.json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US$12.3 Billion Definitive Agreement with Thoma Bravo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to Acquire Paycor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proxy definitivo de la fusión (DEFM14A), con la opinión de Evercore (mediana de 19,1x EBITDA ajustado en HCM desde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https://www.sec.gov/Archives/edgar/data/1725057/000114036125036413/ny20054883x2_defm14a.htm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 to Be Acquired by Investor Group Led by Hellman &amp; Friedman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https://www.sec.gov/Archives/edgar/data/1016125/000089968119000030/p19-0028_ex991.htm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sobre PCTY («Paylocity Crushes Another Earnings Result, As Bull Case Forms Around Platform Growth», 12-ago-2026; «Stellar Performance Will Eventually Be Rewarded», 19-may-2026)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https://seekingalpha.com/symbol/PCTY/analysis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ADP y Paychex: análisis value del 15-oct, 15-oct y 12-oct-2026 (mismo sector; base GAAP, comparables, riesgos de IA y de tipos)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(informes/paycom-2026-10-15, informes/adp-2026-10-15, informes/paychex-2026-10-12)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informes/paycom-2026-10-15/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Sensibilidad propia de los intereses de fondos de clientes a los tipos (saldo medio 3.400-3.500 M USD [A8] × variación del tipo a corto, después del 27 % de impuesto y ÷ 53,5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90,0 %</w:t>
      </w:r>
      <w:r>
        <w:t xml:space="preserve"> · Secciones con menos del 60 % de campos cubiertos: </w:t>
      </w:r>
      <w:r>
        <w:rPr>
          <w:b/>
          <w:bCs/>
        </w:rPr>
        <w:t xml:space="preserve">ninguna</w:t>
      </w:r>
      <w:r>
        <w:t xml:space="preserve"> · Generado el 20 oct 2026.</w:t>
      </w:r>
    </w:p>
    <w:p>
      <w:pPr>
        <w:pStyle w:val="Nota"/>
        <w:spacing w:after="100"/>
      </w:pPr>
      <w:r>
        <w:t xml:space="preserve">Cifras en millones de USD, ejercicio a 30 de junio etiquetado por el año en que termina (FY2026 = jul-25 a jun-26). El último ejercicio real es FY2026 y no hay trimestres posteriores: el LTM es FY2026 (el 1T FY2027 se publica el 5-nov-2026 [31]). Precio: cierre del 19-oct-2026 (166,17 USD); la sesión del 20-oct estaba abierta al hacer el análisis (170,32 USD a las 11:44 de Nueva York [26]) y la decisión se comprueba con ese precio en las pruebas de robustez. Todo el análisis está en BPA GAAP, con los pagos en acciones (138,7 M USD en FY2026, 7,8 % de las ventas) como coste real, como en el informe de Paycom [39]; el consenso de Yahoo (8,74 USD en FY2027) es BPA no GAAP y solo sirve de contraste. Los fondos de clientes (3.210,5 M) y sus obligaciones (3.209,0 M) quedan fuera de la caja y del puente: son dinero de nóminas en tránsito [1]. Los intereses que cobra por ellos (120,0 M en FY2026) sí son ingresos de la empresa y se proyectan con la bajada de tipos de la guía (≈ 103 M en FY2027 [8]). El PER actual de la regla usa el BPA de los próximos 12 meses (8,3 meses de FY2027e y 3,7 de FY2028e), la misma base que la historia. Calificación crediticia: no tiene (solo una línea bancaria). Precio de una acción en EUR: ≈ 148 EUR, un 0,5 %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Paylocity Holding Corporation (PCTY)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166,17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(92,99 – 169,09)</c:v>
                </c:pt>
                <c:pt idx="1">
                  <c:v>Precio objetivo de los analistas (128,00 – 250,00)</c:v>
                </c:pt>
                <c:pt idx="2">
                  <c:v>Comparables: PER NTM (130,65 – 167,04)</c:v>
                </c:pt>
                <c:pt idx="3">
                  <c:v>Transacciones precedentes (EV/ventas) (212,64 – 273,73)</c:v>
                </c:pt>
                <c:pt idx="4">
                  <c:v>DCF (WACC y g ± 0,5) (110,10 – 140,38)</c:v>
                </c:pt>
                <c:pt idx="5">
                  <c:v>Escenarios (bajista – alcista) (81,27 – 142,82)</c:v>
                </c:pt>
                <c:pt idx="6">
                  <c:v>DCF con la prima implícita del mercado (4,2 %)</c:v>
                </c:pt>
                <c:pt idx="7">
                  <c:v>Precio actual (166,17)</c:v>
                </c:pt>
              </c:strCache>
            </c:strRef>
          </c:cat>
          <c:val>
            <c:numRef>
              <c:f>Hoja1!$B$2:$B$9</c:f>
              <c:numCache>
                <c:formatCode>#,##0</c:formatCode>
                <c:ptCount val="8"/>
                <c:pt idx="0">
                  <c:v>92.99</c:v>
                </c:pt>
                <c:pt idx="1">
                  <c:v>128</c:v>
                </c:pt>
                <c:pt idx="2">
                  <c:v>130.65</c:v>
                </c:pt>
                <c:pt idx="3">
                  <c:v>212.64</c:v>
                </c:pt>
                <c:pt idx="4">
                  <c:v>110.1</c:v>
                </c:pt>
                <c:pt idx="5">
                  <c:v>81.27</c:v>
                </c:pt>
                <c:pt idx="6">
                  <c:v>136.17</c:v>
                </c:pt>
                <c:pt idx="7">
                  <c:v>165.34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(92,99 – 169,09)</c:v>
                </c:pt>
                <c:pt idx="1">
                  <c:v>Precio objetivo de los analistas (128,00 – 250,00)</c:v>
                </c:pt>
                <c:pt idx="2">
                  <c:v>Comparables: PER NTM (130,65 – 167,04)</c:v>
                </c:pt>
                <c:pt idx="3">
                  <c:v>Transacciones precedentes (EV/ventas) (212,64 – 273,73)</c:v>
                </c:pt>
                <c:pt idx="4">
                  <c:v>DCF (WACC y g ± 0,5) (110,10 – 140,38)</c:v>
                </c:pt>
                <c:pt idx="5">
                  <c:v>Escenarios (bajista – alcista) (81,27 – 142,82)</c:v>
                </c:pt>
                <c:pt idx="6">
                  <c:v>DCF con la prima implícita del mercado (4,2 %)</c:v>
                </c:pt>
                <c:pt idx="7">
                  <c:v>Precio actual (166,17)</c:v>
                </c:pt>
              </c:strCache>
            </c:strRef>
          </c:cat>
          <c:val>
            <c:numRef>
              <c:f>Hoja1!$C$2:$C$9</c:f>
              <c:numCache>
                <c:formatCode>#,##0</c:formatCode>
                <c:ptCount val="8"/>
                <c:pt idx="0">
                  <c:v>76.10000000000001</c:v>
                </c:pt>
                <c:pt idx="1">
                  <c:v>122</c:v>
                </c:pt>
                <c:pt idx="2">
                  <c:v>36.389999999999986</c:v>
                </c:pt>
                <c:pt idx="3">
                  <c:v>61.09000000000003</c:v>
                </c:pt>
                <c:pt idx="4">
                  <c:v>30.28</c:v>
                </c:pt>
                <c:pt idx="5">
                  <c:v>61.55</c:v>
                </c:pt>
                <c:pt idx="6">
                  <c:v>26</c:v>
                </c:pt>
                <c:pt idx="7">
                  <c:v>1.6599999999999966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Ingresos recurrentes y otros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847.7</c:v>
                </c:pt>
                <c:pt idx="1">
                  <c:v>1098</c:v>
                </c:pt>
                <c:pt idx="2">
                  <c:v>1281.7</c:v>
                </c:pt>
                <c:pt idx="3">
                  <c:v>1471.8</c:v>
                </c:pt>
                <c:pt idx="4">
                  <c:v>1651.4</c:v>
                </c:pt>
              </c:numCache>
            </c:numRef>
          </c:val>
        </c:ser>
        <c:ser>
          <c:idx val="1"/>
          <c:order val="1"/>
          <c:tx>
            <c:strRef>
              <c:f>Hoja1!$C$1</c:f>
              <c:strCache>
                <c:ptCount val="1"/>
                <c:pt idx="0">
                  <c:v>Intereses de fondos de clientes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5</c:v>
                </c:pt>
                <c:pt idx="1">
                  <c:v>76.6</c:v>
                </c:pt>
                <c:pt idx="2">
                  <c:v>120.8</c:v>
                </c:pt>
                <c:pt idx="3">
                  <c:v>123.4</c:v>
                </c:pt>
                <c:pt idx="4">
                  <c:v>120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Ingresos recurrentes y otros</c:v>
                </c:pt>
                <c:pt idx="1">
                  <c:v>Intereses de fondos de clientes</c:v>
                </c:pt>
              </c:strCache>
            </c:strRef>
          </c:cat>
          <c:val>
            <c:numRef>
              <c:f>Hoja1!$B$2:$B$3</c:f>
              <c:numCache>
                <c:formatCode>General</c:formatCode>
                <c:ptCount val="2"/>
                <c:pt idx="0">
                  <c:v>93.2</c:v>
                </c:pt>
                <c:pt idx="1">
                  <c:v>6.8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Estados Unidos</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servicios de nóminas, Census))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2017</c:v>
                </c:pt>
                <c:pt idx="1">
                  <c:v>2018</c:v>
                </c:pt>
                <c:pt idx="2">
                  <c:v>2019</c:v>
                </c:pt>
                <c:pt idx="3">
                  <c:v>2020</c:v>
                </c:pt>
                <c:pt idx="4">
                  <c:v>2021</c:v>
                </c:pt>
                <c:pt idx="5">
                  <c:v>2022</c:v>
                </c:pt>
              </c:strCache>
            </c:strRef>
          </c:cat>
          <c:val>
            <c:numRef>
              <c:f>Hoja1!$B$2:$B$7</c:f>
              <c:numCache>
                <c:formatCode>#,##0</c:formatCode>
                <c:ptCount val="6"/>
                <c:pt idx="0">
                  <c:v>21946</c:v>
                </c:pt>
                <c:pt idx="1">
                  <c:v>21794</c:v>
                </c:pt>
                <c:pt idx="2">
                  <c:v>23929</c:v>
                </c:pt>
                <c:pt idx="3">
                  <c:v>24637</c:v>
                </c:pt>
                <c:pt idx="4">
                  <c:v>26729</c:v>
                </c:pt>
                <c:pt idx="5">
                  <c:v>27589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1</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Paylocity</c:v>
                </c:pt>
                <c:pt idx="1">
                  <c:v>Automatic Data Processing (ADP)</c:v>
                </c:pt>
                <c:pt idx="2">
                  <c:v>Paychex (con Paycor)</c:v>
                </c:pt>
                <c:pt idx="3">
                  <c:v>Paycom Software</c:v>
                </c:pt>
                <c:pt idx="4">
                  <c:v>Workday</c:v>
                </c:pt>
                <c:pt idx="5">
                  <c:v>Dayforce</c:v>
                </c:pt>
                <c:pt idx="6">
                  <c:v>Rippling</c:v>
                </c:pt>
                <c:pt idx="7">
                  <c:v>UKG (Ultimate Kronos Group)</c:v>
                </c:pt>
              </c:strCache>
            </c:strRef>
          </c:cat>
          <c:val>
            <c:numRef>
              <c:f>Hoja1!$B$2:$B$9</c:f>
              <c:numCache>
                <c:formatCode>0.0"%"</c:formatCode>
                <c:ptCount val="8"/>
                <c:pt idx="0">
                  <c:v>21.8</c:v>
                </c:pt>
                <c:pt idx="1">
                  <c:v>26.1</c:v>
                </c:pt>
                <c:pt idx="2">
                  <c:v>38.6</c:v>
                </c:pt>
                <c:pt idx="3">
                  <c:v>27.6</c:v>
                </c:pt>
                <c:pt idx="4">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2</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300</c:v>
                </c:pt>
                <c:pt idx="1">
                  <c:v>377.5</c:v>
                </c:pt>
                <c:pt idx="2">
                  <c:v>467.6</c:v>
                </c:pt>
                <c:pt idx="3">
                  <c:v>561.3</c:v>
                </c:pt>
                <c:pt idx="4">
                  <c:v>635.6</c:v>
                </c:pt>
                <c:pt idx="5">
                  <c:v>852.7</c:v>
                </c:pt>
                <c:pt idx="6">
                  <c:v>1174.6</c:v>
                </c:pt>
                <c:pt idx="7">
                  <c:v>1402.5</c:v>
                </c:pt>
                <c:pt idx="8">
                  <c:v>1595.2</c:v>
                </c:pt>
                <c:pt idx="9">
                  <c:v>1771.3</c:v>
                </c:pt>
                <c:pt idx="10">
                  <c:v>1888</c:v>
                </c:pt>
                <c:pt idx="11">
                  <c:v>2039</c:v>
                </c:pt>
                <c:pt idx="12">
                  <c:v>2202</c:v>
                </c:pt>
                <c:pt idx="13">
                  <c:v>2368</c:v>
                </c:pt>
                <c:pt idx="14">
                  <c:v>2533</c:v>
                </c:pt>
                <c:pt idx="15">
                  <c:v>2685</c:v>
                </c:pt>
                <c:pt idx="16">
                  <c:v>2820</c:v>
                </c:pt>
                <c:pt idx="17">
                  <c:v>2932</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28.3</c:v>
                </c:pt>
                <c:pt idx="1">
                  <c:v>46.1</c:v>
                </c:pt>
                <c:pt idx="2">
                  <c:v>90.8</c:v>
                </c:pt>
                <c:pt idx="3">
                  <c:v>104.1</c:v>
                </c:pt>
                <c:pt idx="4">
                  <c:v>101</c:v>
                </c:pt>
                <c:pt idx="5">
                  <c:v>134.8</c:v>
                </c:pt>
                <c:pt idx="6">
                  <c:v>215.9</c:v>
                </c:pt>
                <c:pt idx="7">
                  <c:v>336.5</c:v>
                </c:pt>
                <c:pt idx="8">
                  <c:v>403.6</c:v>
                </c:pt>
                <c:pt idx="9">
                  <c:v>497.8</c:v>
                </c:pt>
                <c:pt idx="10">
                  <c:v>546</c:v>
                </c:pt>
                <c:pt idx="11">
                  <c:v>622</c:v>
                </c:pt>
                <c:pt idx="12">
                  <c:v>705</c:v>
                </c:pt>
                <c:pt idx="13">
                  <c:v>788</c:v>
                </c:pt>
                <c:pt idx="14">
                  <c:v>869</c:v>
                </c:pt>
                <c:pt idx="15">
                  <c:v>940</c:v>
                </c:pt>
                <c:pt idx="16">
                  <c:v>1001</c:v>
                </c:pt>
                <c:pt idx="17">
                  <c:v>1041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58.7</c:v>
                </c:pt>
                <c:pt idx="1">
                  <c:v>60.5</c:v>
                </c:pt>
                <c:pt idx="2">
                  <c:v>67.1</c:v>
                </c:pt>
                <c:pt idx="3">
                  <c:v>67.6</c:v>
                </c:pt>
                <c:pt idx="4">
                  <c:v>65.5</c:v>
                </c:pt>
                <c:pt idx="5">
                  <c:v>66.3</c:v>
                </c:pt>
                <c:pt idx="6">
                  <c:v>68.8</c:v>
                </c:pt>
                <c:pt idx="7">
                  <c:v>68.5</c:v>
                </c:pt>
                <c:pt idx="8">
                  <c:v>68.8</c:v>
                </c:pt>
                <c:pt idx="9">
                  <c:v>69.2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9.4</c:v>
                </c:pt>
                <c:pt idx="1">
                  <c:v>12.2</c:v>
                </c:pt>
                <c:pt idx="2">
                  <c:v>19.4</c:v>
                </c:pt>
                <c:pt idx="3">
                  <c:v>18.5</c:v>
                </c:pt>
                <c:pt idx="4">
                  <c:v>15.9</c:v>
                </c:pt>
                <c:pt idx="5">
                  <c:v>15.8</c:v>
                </c:pt>
                <c:pt idx="6">
                  <c:v>18.4</c:v>
                </c:pt>
                <c:pt idx="7">
                  <c:v>24</c:v>
                </c:pt>
                <c:pt idx="8">
                  <c:v>25.3</c:v>
                </c:pt>
                <c:pt idx="9">
                  <c:v>28.1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2.4</c:v>
                </c:pt>
                <c:pt idx="1">
                  <c:v>4.2</c:v>
                </c:pt>
                <c:pt idx="2">
                  <c:v>12</c:v>
                </c:pt>
                <c:pt idx="3">
                  <c:v>11.8</c:v>
                </c:pt>
                <c:pt idx="4">
                  <c:v>9.1</c:v>
                </c:pt>
                <c:pt idx="5">
                  <c:v>9.9</c:v>
                </c:pt>
                <c:pt idx="6">
                  <c:v>13.2</c:v>
                </c:pt>
                <c:pt idx="7">
                  <c:v>18.5</c:v>
                </c:pt>
                <c:pt idx="8">
                  <c:v>19.1</c:v>
                </c:pt>
                <c:pt idx="9">
                  <c:v>21.8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2.2</c:v>
                </c:pt>
                <c:pt idx="1">
                  <c:v>10.2</c:v>
                </c:pt>
                <c:pt idx="2">
                  <c:v>11.5</c:v>
                </c:pt>
                <c:pt idx="3">
                  <c:v>11.5</c:v>
                </c:pt>
                <c:pt idx="4">
                  <c:v>11.1</c:v>
                </c:pt>
                <c:pt idx="5">
                  <c:v>10.6</c:v>
                </c:pt>
                <c:pt idx="6">
                  <c:v>12</c:v>
                </c:pt>
                <c:pt idx="7">
                  <c:v>14.7</c:v>
                </c:pt>
                <c:pt idx="8">
                  <c:v>14.2</c:v>
                </c:pt>
                <c:pt idx="9">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14</c:v>
                </c:pt>
                <c:pt idx="1">
                  <c:v>16</c:v>
                </c:pt>
                <c:pt idx="2">
                  <c:v>13</c:v>
                </c:pt>
                <c:pt idx="3">
                  <c:v>12</c:v>
                </c:pt>
                <c:pt idx="4">
                  <c:v>12.5</c:v>
                </c:pt>
                <c:pt idx="5">
                  <c:v>10.4</c:v>
                </c:pt>
                <c:pt idx="6">
                  <c:v>10.5</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c:v>
                </c:pt>
                <c:pt idx="1">
                  <c:v>3</c:v>
                </c:pt>
                <c:pt idx="2">
                  <c:v>3</c:v>
                </c:pt>
                <c:pt idx="3">
                  <c:v>3</c:v>
                </c:pt>
                <c:pt idx="4">
                  <c:v>4</c:v>
                </c:pt>
                <c:pt idx="5">
                  <c:v>7</c:v>
                </c:pt>
                <c:pt idx="6">
                  <c:v>8</c:v>
                </c:pt>
                <c:pt idx="7">
                  <c:v>9</c:v>
                </c:pt>
                <c:pt idx="8">
                  <c:v>10</c:v>
                </c:pt>
                <c:pt idx="9">
                  <c:v>10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6</c:v>
                </c:pt>
                <c:pt idx="1">
                  <c:v>7</c:v>
                </c:pt>
                <c:pt idx="2">
                  <c:v>9</c:v>
                </c:pt>
                <c:pt idx="3">
                  <c:v>4</c:v>
                </c:pt>
                <c:pt idx="4">
                  <c:v>7</c:v>
                </c:pt>
                <c:pt idx="5">
                  <c:v>11</c:v>
                </c:pt>
                <c:pt idx="6">
                  <c:v>6</c:v>
                </c:pt>
                <c:pt idx="7">
                  <c:v>7</c:v>
                </c:pt>
                <c:pt idx="8">
                  <c:v>13</c:v>
                </c:pt>
                <c:pt idx="9">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27.1</c:v>
                </c:pt>
                <c:pt idx="1">
                  <c:v>60.60000000000001</c:v>
                </c:pt>
                <c:pt idx="2">
                  <c:v>83.6</c:v>
                </c:pt>
                <c:pt idx="3">
                  <c:v>70.4</c:v>
                </c:pt>
                <c:pt idx="4">
                  <c:v>86.80000000000001</c:v>
                </c:pt>
                <c:pt idx="5">
                  <c:v>102.5</c:v>
                </c:pt>
                <c:pt idx="6">
                  <c:v>215.79999999999998</c:v>
                </c:pt>
                <c:pt idx="7">
                  <c:v>306</c:v>
                </c:pt>
                <c:pt idx="8">
                  <c:v>342.7</c:v>
                </c:pt>
                <c:pt idx="9">
                  <c:v>427.79999999999995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6.7</c:v>
                </c:pt>
                <c:pt idx="1">
                  <c:v>38.6</c:v>
                </c:pt>
                <c:pt idx="2">
                  <c:v>53.8</c:v>
                </c:pt>
                <c:pt idx="3">
                  <c:v>64.5</c:v>
                </c:pt>
                <c:pt idx="4">
                  <c:v>70.8</c:v>
                </c:pt>
                <c:pt idx="5">
                  <c:v>90.8</c:v>
                </c:pt>
                <c:pt idx="6">
                  <c:v>140.8</c:v>
                </c:pt>
                <c:pt idx="7">
                  <c:v>206.8</c:v>
                </c:pt>
                <c:pt idx="8">
                  <c:v>227.1</c:v>
                </c:pt>
                <c:pt idx="9">
                  <c:v>269.7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15</c:v>
                </c:pt>
                <c:pt idx="1">
                  <c:v>26.6</c:v>
                </c:pt>
                <c:pt idx="2">
                  <c:v>41.5</c:v>
                </c:pt>
                <c:pt idx="3">
                  <c:v>30.4</c:v>
                </c:pt>
                <c:pt idx="4">
                  <c:v>22.5</c:v>
                </c:pt>
                <c:pt idx="5">
                  <c:v>22.6</c:v>
                </c:pt>
                <c:pt idx="6">
                  <c:v>26.8</c:v>
                </c:pt>
                <c:pt idx="7">
                  <c:v>32.8</c:v>
                </c:pt>
                <c:pt idx="8">
                  <c:v>27.4</c:v>
                </c:pt>
                <c:pt idx="9">
                  <c:v>26.5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10</c:v>
                </c:pt>
                <c:pt idx="1">
                  <c:v>10</c:v>
                </c:pt>
                <c:pt idx="2">
                  <c:v>10</c:v>
                </c:pt>
                <c:pt idx="3">
                  <c:v>10</c:v>
                </c:pt>
                <c:pt idx="4">
                  <c:v>10</c:v>
                </c:pt>
                <c:pt idx="5">
                  <c:v>10</c:v>
                </c:pt>
                <c:pt idx="6">
                  <c:v>10</c:v>
                </c:pt>
                <c:pt idx="7">
                  <c:v>10</c:v>
                </c:pt>
                <c:pt idx="8">
                  <c:v>10</c:v>
                </c:pt>
                <c:pt idx="9">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4.5</c:v>
                </c:pt>
                <c:pt idx="1">
                  <c:v>21.4</c:v>
                </c:pt>
                <c:pt idx="2">
                  <c:v>20.7</c:v>
                </c:pt>
                <c:pt idx="3">
                  <c:v>18.4</c:v>
                </c:pt>
                <c:pt idx="4">
                  <c:v>16.3</c:v>
                </c:pt>
                <c:pt idx="5">
                  <c:v>16.7</c:v>
                </c:pt>
                <c:pt idx="6">
                  <c:v>19.3</c:v>
                </c:pt>
                <c:pt idx="7">
                  <c:v>22</c:v>
                </c:pt>
                <c:pt idx="8">
                  <c:v>20</c:v>
                </c:pt>
                <c:pt idx="9">
                  <c:v>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-3.66</c:v>
                </c:pt>
                <c:pt idx="1">
                  <c:v>-2.98</c:v>
                </c:pt>
                <c:pt idx="2">
                  <c:v>-1.46</c:v>
                </c:pt>
                <c:pt idx="3">
                  <c:v>-1.45</c:v>
                </c:pt>
                <c:pt idx="4">
                  <c:v>-2</c:v>
                </c:pt>
                <c:pt idx="5">
                  <c:v>-1.04</c:v>
                </c:pt>
                <c:pt idx="6">
                  <c:v>-1.34</c:v>
                </c:pt>
                <c:pt idx="7">
                  <c:v>-1.19</c:v>
                </c:pt>
                <c:pt idx="8">
                  <c:v>-0.58</c:v>
                </c:pt>
                <c:pt idx="9">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FY2032</c:v>
                </c:pt>
              </c:strCache>
            </c:strRef>
          </c:cat>
          <c:val>
            <c:numRef>
              <c:f>Hoja1!$B$2</c:f>
              <c:numCache>
                <c:formatCode>#,##0</c:formatCode>
                <c:ptCount val="1"/>
                <c:pt idx="0">
                  <c:v>81.3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6.7</c:v>
                </c:pt>
                <c:pt idx="2">
                  <c:v>0</c:v>
                </c:pt>
                <c:pt idx="3">
                  <c:v>16.7</c:v>
                </c:pt>
                <c:pt idx="4">
                  <c:v>15</c:v>
                </c:pt>
                <c:pt idx="5">
                  <c:v>107.6</c:v>
                </c:pt>
                <c:pt idx="6">
                  <c:v>0</c:v>
                </c:pt>
                <c:pt idx="7">
                  <c:v>12</c:v>
                </c:pt>
                <c:pt idx="8">
                  <c:v>277.9</c:v>
                </c:pt>
                <c:pt idx="9">
                  <c:v>49.2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0</c:v>
                </c:pt>
                <c:pt idx="1">
                  <c:v>0</c:v>
                </c:pt>
                <c:pt idx="2">
                  <c:v>35</c:v>
                </c:pt>
                <c:pt idx="3">
                  <c:v>0</c:v>
                </c:pt>
                <c:pt idx="4">
                  <c:v>0</c:v>
                </c:pt>
                <c:pt idx="5">
                  <c:v>0</c:v>
                </c:pt>
                <c:pt idx="6">
                  <c:v>0</c:v>
                </c:pt>
                <c:pt idx="7">
                  <c:v>150</c:v>
                </c:pt>
                <c:pt idx="8">
                  <c:v>149.6</c:v>
                </c:pt>
                <c:pt idx="9">
                  <c:v>398.1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Steven I. Sarowitz (fundador)</c:v>
                </c:pt>
                <c:pt idx="1">
                  <c:v>BlackRock</c:v>
                </c:pt>
                <c:pt idx="2">
                  <c:v>The Vanguard Group</c:v>
                </c:pt>
                <c:pt idx="3">
                  <c:v>T. Rowe Price Associates</c:v>
                </c:pt>
                <c:pt idx="4">
                  <c:v>T. Rowe Price Investment Management</c:v>
                </c:pt>
                <c:pt idx="5">
                  <c:v>Steven R. Beauchamp</c:v>
                </c:pt>
              </c:strCache>
            </c:strRef>
          </c:cat>
          <c:val>
            <c:numRef>
              <c:f>Hoja1!$B$2:$B$7</c:f>
              <c:numCache>
                <c:formatCode>0.0"%"</c:formatCode>
                <c:ptCount val="6"/>
                <c:pt idx="0">
                  <c:v>15.6</c:v>
                </c:pt>
                <c:pt idx="1">
                  <c:v>8.1</c:v>
                </c:pt>
                <c:pt idx="2">
                  <c:v>7.6</c:v>
                </c:pt>
                <c:pt idx="3">
                  <c:v>7.6</c:v>
                </c:pt>
                <c:pt idx="4">
                  <c:v>7.4</c:v>
                </c:pt>
                <c:pt idx="5">
                  <c:v>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c:v>
                </c:pt>
                <c:pt idx="1">
                  <c:v>57.1</c:v>
                </c:pt>
                <c:pt idx="2">
                  <c:v>27.7</c:v>
                </c:pt>
                <c:pt idx="3">
                  <c:v>100.7</c:v>
                </c:pt>
                <c:pt idx="4">
                  <c:v>70.4</c:v>
                </c:pt>
                <c:pt idx="5">
                  <c:v>14.7</c:v>
                </c:pt>
                <c:pt idx="6">
                  <c:v>-17.7</c:v>
                </c:pt>
                <c:pt idx="7">
                  <c:v>-15.1</c:v>
                </c:pt>
                <c:pt idx="8">
                  <c:v>21</c:v>
                </c:pt>
                <c:pt idx="9">
                  <c:v>-23.5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82.7</c:v>
                </c:pt>
                <c:pt idx="1">
                  <c:v>67.1</c:v>
                </c:pt>
                <c:pt idx="2">
                  <c:v>55.8</c:v>
                </c:pt>
                <c:pt idx="3">
                  <c:v>76.8</c:v>
                </c:pt>
                <c:pt idx="4">
                  <c:v>104.4</c:v>
                </c:pt>
                <c:pt idx="5">
                  <c:v>71.9</c:v>
                </c:pt>
                <c:pt idx="6">
                  <c:v>47</c:v>
                </c:pt>
                <c:pt idx="7">
                  <c:v>21.1</c:v>
                </c:pt>
                <c:pt idx="8">
                  <c:v>24.8</c:v>
                </c:pt>
                <c:pt idx="9">
                  <c:v>11.1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51.4</c:v>
                </c:pt>
                <c:pt idx="1">
                  <c:v>51.4</c:v>
                </c:pt>
                <c:pt idx="2">
                  <c:v>51.4</c:v>
                </c:pt>
                <c:pt idx="3">
                  <c:v>51.4</c:v>
                </c:pt>
                <c:pt idx="4">
                  <c:v>51.4</c:v>
                </c:pt>
                <c:pt idx="5">
                  <c:v>51.4</c:v>
                </c:pt>
                <c:pt idx="6">
                  <c:v>51.4</c:v>
                </c:pt>
                <c:pt idx="7">
                  <c:v>51.4</c:v>
                </c:pt>
                <c:pt idx="8">
                  <c:v>51.4</c:v>
                </c:pt>
                <c:pt idx="9">
                  <c:v>51.4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Paylocity</c:v>
                </c:pt>
                <c:pt idx="1">
                  <c:v>Automatic Data Processing</c:v>
                </c:pt>
                <c:pt idx="2">
                  <c:v>Workday</c:v>
                </c:pt>
                <c:pt idx="3">
                  <c:v>Intuit</c:v>
                </c:pt>
                <c:pt idx="4">
                  <c:v>TriNet</c:v>
                </c:pt>
                <c:pt idx="5">
                  <c:v>Paychex</c:v>
                </c:pt>
                <c:pt idx="6">
                  <c:v>Paycom Software</c:v>
                </c:pt>
              </c:strCache>
            </c:strRef>
          </c:cat>
          <c:val>
            <c:numRef>
              <c:f>Hoja1!$B$2:$B$8</c:f>
              <c:numCache>
                <c:formatCode>0.0"x"</c:formatCode>
                <c:ptCount val="7"/>
                <c:pt idx="1">
                  <c:v>16</c:v>
                </c:pt>
                <c:pt idx="2">
                  <c:v>23.2</c:v>
                </c:pt>
                <c:pt idx="3">
                  <c:v>10.1</c:v>
                </c:pt>
                <c:pt idx="4">
                  <c:v>10.9</c:v>
                </c:pt>
                <c:pt idx="5">
                  <c:v>13</c:v>
                </c:pt>
                <c:pt idx="6">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Automatic Data Processing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6.7</c:v>
                </c:pt>
              </c:numCache>
            </c:numRef>
          </c:xVal>
          <c:yVal>
            <c:numRef>
              <c:f>Hoja1!$C$2</c:f>
              <c:numCache>
                <c:formatCode>0.0"x"</c:formatCode>
                <c:ptCount val="1"/>
                <c:pt idx="0">
                  <c:v>16</c:v>
                </c:pt>
              </c:numCache>
            </c:numRef>
          </c:yVal>
          <c:smooth val="0"/>
        </c:ser>
        <c:ser>
          <c:idx val="1"/>
          <c:order val="1"/>
          <c:tx>
            <c:strRef>
              <c:f>Hoja1!$A$3</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10.5</c:v>
                </c:pt>
              </c:numCache>
            </c:numRef>
          </c:xVal>
          <c:yVal>
            <c:numRef>
              <c:f>Hoja1!$C$3</c:f>
              <c:numCache>
                <c:formatCode>0.0"x"</c:formatCode>
                <c:ptCount val="1"/>
                <c:pt idx="0">
                  <c:v>23.2</c:v>
                </c:pt>
              </c:numCache>
            </c:numRef>
          </c:yVal>
          <c:smooth val="0"/>
        </c:ser>
        <c:ser>
          <c:idx val="2"/>
          <c:order val="2"/>
          <c:tx>
            <c:strRef>
              <c:f>Hoja1!$A$4</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9.2</c:v>
                </c:pt>
              </c:numCache>
            </c:numRef>
          </c:xVal>
          <c:yVal>
            <c:numRef>
              <c:f>Hoja1!$C$4</c:f>
              <c:numCache>
                <c:formatCode>0.0"x"</c:formatCode>
                <c:ptCount val="1"/>
                <c:pt idx="0">
                  <c:v>10.1</c:v>
                </c:pt>
              </c:numCache>
            </c:numRef>
          </c:yVal>
          <c:smooth val="0"/>
        </c:ser>
        <c:ser>
          <c:idx val="3"/>
          <c:order val="3"/>
          <c:tx>
            <c:strRef>
              <c:f>Hoja1!$A$5</c:f>
              <c:strCache>
                <c:ptCount val="1"/>
                <c:pt idx="0">
                  <c:v>TriNet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c:v>
                </c:pt>
              </c:numCache>
            </c:numRef>
          </c:xVal>
          <c:yVal>
            <c:numRef>
              <c:f>Hoja1!$C$5</c:f>
              <c:numCache>
                <c:formatCode>0.0"x"</c:formatCode>
                <c:ptCount val="1"/>
                <c:pt idx="0">
                  <c:v>10.9</c:v>
                </c:pt>
              </c:numCache>
            </c:numRef>
          </c:yVal>
          <c:smooth val="0"/>
        </c:ser>
        <c:ser>
          <c:idx val="4"/>
          <c:order val="4"/>
          <c:tx>
            <c:strRef>
              <c:f>Hoja1!$A$6</c:f>
              <c:strCache>
                <c:ptCount val="1"/>
                <c:pt idx="0">
                  <c:v>Paychex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13</c:v>
                </c:pt>
              </c:numCache>
            </c:numRef>
          </c:yVal>
          <c:smooth val="0"/>
        </c:ser>
        <c:ser>
          <c:idx val="5"/>
          <c:order val="5"/>
          <c:tx>
            <c:strRef>
              <c:f>Hoja1!$A$7</c:f>
              <c:strCache>
                <c:ptCount val="1"/>
                <c:pt idx="0">
                  <c:v>Paycom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7.1</c:v>
                </c:pt>
              </c:numCache>
            </c:numRef>
          </c:xVal>
          <c:yVal>
            <c:numRef>
              <c:f>Hoja1!$C$7</c:f>
              <c:numCache>
                <c:formatCode>0.0"x"</c:formatCode>
                <c:ptCount val="1"/>
                <c:pt idx="0">
                  <c:v>11.9</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Dayforce</c:v>
                </c:pt>
                <c:pt idx="1">
                  <c:v>Paycor HCM</c:v>
                </c:pt>
                <c:pt idx="2">
                  <c:v>Ultimate Software</c:v>
                </c:pt>
                <c:pt idx="3">
                  <c:v>Airbase</c:v>
                </c:pt>
                <c:pt idx="4">
                  <c:v>Grayscale Labs</c:v>
                </c:pt>
              </c:strCache>
            </c:strRef>
          </c:cat>
          <c:val>
            <c:numRef>
              <c:f>Hoja1!$B$2:$B$6</c:f>
              <c:numCache>
                <c:formatCode>0.0"x"</c:formatCode>
                <c:ptCount val="5"/>
                <c:pt idx="0">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257</c:v>
                </c:pt>
                <c:pt idx="1">
                  <c:v>297</c:v>
                </c:pt>
                <c:pt idx="2">
                  <c:v>350</c:v>
                </c:pt>
                <c:pt idx="3">
                  <c:v>408</c:v>
                </c:pt>
                <c:pt idx="4">
                  <c:v>462</c:v>
                </c:pt>
                <c:pt idx="5">
                  <c:v>517</c:v>
                </c:pt>
                <c:pt idx="6">
                  <c:v>563</c:v>
                </c:pt>
                <c:pt idx="7">
                  <c:v>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2253</c:v>
                </c:pt>
                <c:pt idx="1">
                  <c:v>4143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166,17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81.27</c:v>
                </c:pt>
                <c:pt idx="1">
                  <c:v>123.12</c:v>
                </c:pt>
                <c:pt idx="2">
                  <c:v>142.82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166,17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(92,99 – 169,09)</c:v>
                </c:pt>
                <c:pt idx="1">
                  <c:v>Precio objetivo de los analistas (128,00 – 250,00)</c:v>
                </c:pt>
                <c:pt idx="2">
                  <c:v>Comparables: PER NTM (130,65 – 167,04)</c:v>
                </c:pt>
                <c:pt idx="3">
                  <c:v>Transacciones precedentes (EV/ventas) (212,64 – 273,73)</c:v>
                </c:pt>
                <c:pt idx="4">
                  <c:v>DCF (WACC y g ± 0,5) (110,10 – 140,38)</c:v>
                </c:pt>
                <c:pt idx="5">
                  <c:v>Escenarios (bajista – alcista) (81,27 – 142,82)</c:v>
                </c:pt>
                <c:pt idx="6">
                  <c:v>DCF con la prima implícita del mercado (4,2 %)</c:v>
                </c:pt>
                <c:pt idx="7">
                  <c:v>Precio actual (166,17)</c:v>
                </c:pt>
              </c:strCache>
            </c:strRef>
          </c:cat>
          <c:val>
            <c:numRef>
              <c:f>Hoja1!$B$2:$B$9</c:f>
              <c:numCache>
                <c:formatCode>#,##0</c:formatCode>
                <c:ptCount val="8"/>
                <c:pt idx="0">
                  <c:v>92.99</c:v>
                </c:pt>
                <c:pt idx="1">
                  <c:v>128</c:v>
                </c:pt>
                <c:pt idx="2">
                  <c:v>130.65</c:v>
                </c:pt>
                <c:pt idx="3">
                  <c:v>212.64</c:v>
                </c:pt>
                <c:pt idx="4">
                  <c:v>110.1</c:v>
                </c:pt>
                <c:pt idx="5">
                  <c:v>81.27</c:v>
                </c:pt>
                <c:pt idx="6">
                  <c:v>136.17</c:v>
                </c:pt>
                <c:pt idx="7">
                  <c:v>165.34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(92,99 – 169,09)</c:v>
                </c:pt>
                <c:pt idx="1">
                  <c:v>Precio objetivo de los analistas (128,00 – 250,00)</c:v>
                </c:pt>
                <c:pt idx="2">
                  <c:v>Comparables: PER NTM (130,65 – 167,04)</c:v>
                </c:pt>
                <c:pt idx="3">
                  <c:v>Transacciones precedentes (EV/ventas) (212,64 – 273,73)</c:v>
                </c:pt>
                <c:pt idx="4">
                  <c:v>DCF (WACC y g ± 0,5) (110,10 – 140,38)</c:v>
                </c:pt>
                <c:pt idx="5">
                  <c:v>Escenarios (bajista – alcista) (81,27 – 142,82)</c:v>
                </c:pt>
                <c:pt idx="6">
                  <c:v>DCF con la prima implícita del mercado (4,2 %)</c:v>
                </c:pt>
                <c:pt idx="7">
                  <c:v>Precio actual (166,17)</c:v>
                </c:pt>
              </c:strCache>
            </c:strRef>
          </c:cat>
          <c:val>
            <c:numRef>
              <c:f>Hoja1!$C$2:$C$9</c:f>
              <c:numCache>
                <c:formatCode>#,##0</c:formatCode>
                <c:ptCount val="8"/>
                <c:pt idx="0">
                  <c:v>76.10000000000001</c:v>
                </c:pt>
                <c:pt idx="1">
                  <c:v>122</c:v>
                </c:pt>
                <c:pt idx="2">
                  <c:v>36.389999999999986</c:v>
                </c:pt>
                <c:pt idx="3">
                  <c:v>61.09000000000003</c:v>
                </c:pt>
                <c:pt idx="4">
                  <c:v>30.28</c:v>
                </c:pt>
                <c:pt idx="5">
                  <c:v>61.55</c:v>
                </c:pt>
                <c:pt idx="6">
                  <c:v>26</c:v>
                </c:pt>
                <c:pt idx="7">
                  <c:v>1.6599999999999966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