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84e03d0e14a04a2e107c156ea078b9fd6e9510"/>
    <w:p>
      <w:pPr>
        <w:pStyle w:val="Heading1"/>
      </w:pPr>
      <w:r>
        <w:t xml:space="preserve">Boston Scientific (BSX): análisis growth, 14-oct-2026</w:t>
      </w:r>
    </w:p>
    <w:p>
      <w:pPr>
        <w:pStyle w:val="FirstParagraph"/>
      </w:pPr>
      <w:r>
        <w:rPr>
          <w:bCs/>
          <w:b/>
        </w:rPr>
        <w:t xml:space="preserve">Señal (método v9, vigente): Vender / no comprar</w:t>
      </w:r>
      <w:r>
        <w:t xml:space="preserve"> </w:t>
      </w:r>
      <w:r>
        <w:t xml:space="preserve">· Puntuación 46,0/100 · Señales de cambio de tendencia 2/8 · EV/beneficio bruto 4,9x</w:t>
      </w:r>
      <w:r>
        <w:t xml:space="preserve"> </w:t>
      </w:r>
      <w:r>
        <w:t xml:space="preserve">Precio 43,31 USD (cierre del 13-oct) · Objetivo 12 m 38,9 USD (ponderada −10,2 %, base −4,0 %, bajista −52,6 %, alcista +68,0 %) · Compra hasta 37,0 USD (solo si la puntuación llegara a 60)</w:t>
      </w:r>
      <w:r>
        <w:t xml:space="preserve"> </w:t>
      </w:r>
      <w:r>
        <w:rPr>
          <w:bCs/>
          <w:b/>
        </w:rPr>
        <w:t xml:space="preserve">Referencia v7</w:t>
      </w:r>
      <w:r>
        <w:t xml:space="preserve">: Vender (puntuación &lt; 50) · objetivo 45,5 USD (ponderada +5,1 %, base +13,2 %, bajista −47,6 %, alcista +101,5 %) · compra hasta 43,4 USD</w:t>
      </w:r>
      <w:r>
        <w:t xml:space="preserve"> </w:t>
      </w:r>
      <w:r>
        <w:t xml:space="preserve">Peso orientativo:</w:t>
      </w:r>
      <w:r>
        <w:t xml:space="preserve"> </w:t>
      </w:r>
      <w:r>
        <w:rPr>
          <w:bCs/>
          <w:b/>
        </w:rPr>
        <w:t xml:space="preserve">no entra</w:t>
      </w:r>
      <w:r>
        <w:t xml:space="preserve"> </w:t>
      </w:r>
      <w:r>
        <w:t xml:space="preserve">· Por qué: puntuación &lt; 50 (con las dos versiones); con v9, además, ponderada ≤ −10 %</w:t>
      </w:r>
      <w:r>
        <w:t xml:space="preserve"> </w:t>
      </w:r>
      <w:r>
        <w:rPr>
          <w:bCs/>
          <w:b/>
        </w:rPr>
        <w:t xml:space="preserve">Al precio actual</w:t>
      </w:r>
      <w:r>
        <w:t xml:space="preserve"> </w:t>
      </w:r>
      <w:r>
        <w:t xml:space="preserve">(42,50 USD, 14-oct a las 16:56 UTC, sesión abierta), con el objetivo del informe fijo: ponderada 38,9 ÷ 42,50 − 1 =</w:t>
      </w:r>
      <w:r>
        <w:t xml:space="preserve"> </w:t>
      </w:r>
      <w:r>
        <w:rPr>
          <w:bCs/>
          <w:b/>
        </w:rPr>
        <w:t xml:space="preserve">−8,5 %</w:t>
      </w:r>
      <w:r>
        <w:t xml:space="preserve">; base 41,6 ÷ 42,50 − 1 = −2,1 %. No cambia nada.</w:t>
      </w:r>
    </w:p>
    <w:p>
      <w:pPr>
        <w:pStyle w:val="BlockText"/>
      </w:pPr>
      <w:r>
        <w:rPr>
          <w:bCs/>
          <w:b/>
        </w:rPr>
        <w:t xml:space="preserve">Valorado por EV/EBITDA ajustado de los 12 meses siguientes</w:t>
      </w:r>
      <w:r>
        <w:t xml:space="preserve">, porque Boston Scientific gana dinero de forma estable (margen operativo ajustado del ~28 %, FCF positivo desde hace décadas), igual que Dexcom e Insulet. Múltiplos: 6,4x / 10,7x / 17,1x.</w:t>
      </w:r>
      <w:r>
        <w:t xml:space="preserve"> </w:t>
      </w:r>
      <w:r>
        <w:rPr>
          <w:bCs/>
          <w:b/>
        </w:rPr>
        <w:t xml:space="preserve">Crecimiento en orgánico</w:t>
      </w:r>
      <w:r>
        <w:t xml:space="preserve"> </w:t>
      </w:r>
      <w:r>
        <w:t xml:space="preserve">(sin divisas ni compras), porque las compras aportaron más de 3 pp en 2025 (publicado +19,9 %, orgánico +15,8 %). Con v9 la proyección parte del</w:t>
      </w:r>
      <w:r>
        <w:t xml:space="preserve"> </w:t>
      </w:r>
      <w:r>
        <w:rPr>
          <w:bCs/>
          <w:b/>
        </w:rPr>
        <w:t xml:space="preserve">+3,7 %</w:t>
      </w:r>
      <w:r>
        <w:t xml:space="preserve"> </w:t>
      </w:r>
      <w:r>
        <w:t xml:space="preserve">(la guía implícita del 2S26, +2,7 %, más el +1,0 pp que suele batirla), no del +11,7 % mecánico de v7: es la diferencia entre las dos versiones. La guía es tan baja por dos cosas: el frenazo de Farapulse y Watchman en EE. UU. y el ciberataque de agosto, que paró fábricas y envíos. Por eso la v9 aquí es</w:t>
      </w:r>
      <w:r>
        <w:t xml:space="preserve"> </w:t>
      </w:r>
      <w:r>
        <w:rPr>
          <w:bCs/>
          <w:b/>
        </w:rPr>
        <w:t xml:space="preserve">dura</w:t>
      </w:r>
      <w:r>
        <w:t xml:space="preserve">: con la guía anual (+5,5 %) en vez de la del semestre y probabilidades 25/50/25, la ponderada sería +8,1 % (sección 9).</w:t>
      </w:r>
      <w:r>
        <w:t xml:space="preserve"> </w:t>
      </w:r>
      <w:r>
        <w:rPr>
          <w:bCs/>
          <w:b/>
        </w:rPr>
        <w:t xml:space="preserve">Ninguna variante cambia la señal</w:t>
      </w:r>
      <w:r>
        <w:t xml:space="preserve">: la puntuación (46) está por debajo de 50 en todas.</w:t>
      </w:r>
    </w:p>
    <w:bookmarkStart w:id="20" w:name="la-tesis-en-cinco-líneas"/>
    <w:p>
      <w:pPr>
        <w:pStyle w:val="Heading2"/>
      </w:pPr>
      <w:r>
        <w:t xml:space="preserve">1. La tesis en cinco líneas</w:t>
      </w:r>
    </w:p>
    <w:p>
      <w:pPr>
        <w:numPr>
          <w:ilvl w:val="0"/>
          <w:numId w:val="1001"/>
        </w:numPr>
        <w:pStyle w:val="Compact"/>
      </w:pPr>
      <w:r>
        <w:t xml:space="preserve">Boston Scientific fue la gran growth de la tecnología médica en 2023-2025:</w:t>
      </w:r>
      <w:r>
        <w:t xml:space="preserve"> </w:t>
      </w:r>
      <w:r>
        <w:rPr>
          <w:bCs/>
          <w:b/>
        </w:rPr>
        <w:t xml:space="preserve">Farapulse</w:t>
      </w:r>
      <w:r>
        <w:t xml:space="preserve"> </w:t>
      </w:r>
      <w:r>
        <w:t xml:space="preserve">(ablación de la fibrilación auricular por campo pulsado) y</w:t>
      </w:r>
      <w:r>
        <w:t xml:space="preserve"> </w:t>
      </w:r>
      <w:r>
        <w:rPr>
          <w:bCs/>
          <w:b/>
        </w:rPr>
        <w:t xml:space="preserve">Watchman</w:t>
      </w:r>
      <w:r>
        <w:t xml:space="preserve"> </w:t>
      </w:r>
      <w:r>
        <w:t xml:space="preserve">(cierre de la orejuela izquierda) crecían al 30-100 % y la empresa al 15-18 % orgánico. Llegó a 108 USD (sep-2025) y a 27x EV/EBITDA.</w:t>
      </w:r>
    </w:p>
    <w:p>
      <w:pPr>
        <w:numPr>
          <w:ilvl w:val="0"/>
          <w:numId w:val="1001"/>
        </w:numPr>
        <w:pStyle w:val="Compact"/>
      </w:pPr>
      <w:r>
        <w:t xml:space="preserve">En 2026 la tesis se ha roto por dentro:</w:t>
      </w:r>
      <w:r>
        <w:t xml:space="preserve"> </w:t>
      </w:r>
      <w:r>
        <w:rPr>
          <w:bCs/>
          <w:b/>
        </w:rPr>
        <w:t xml:space="preserve">el campo pulsado ya es el 80-85 % de las ablaciones en EE. UU.</w:t>
      </w:r>
      <w:r>
        <w:t xml:space="preserve"> </w:t>
      </w:r>
      <w:r>
        <w:t xml:space="preserve">y Medtronic, J&amp;J y Abbott le quitan cuota (EP EE. UU.</w:t>
      </w:r>
      <w:r>
        <w:t xml:space="preserve"> </w:t>
      </w:r>
      <w:r>
        <w:rPr>
          <w:bCs/>
          <w:b/>
        </w:rPr>
        <w:t xml:space="preserve">+3 %</w:t>
      </w:r>
      <w:r>
        <w:t xml:space="preserve"> </w:t>
      </w:r>
      <w:r>
        <w:t xml:space="preserve">en el 2T26), y Watchman aislado cae (EE. UU. +3 %, el 2S en caída). La guía orgánica de 2026 pasó de</w:t>
      </w:r>
      <w:r>
        <w:t xml:space="preserve"> </w:t>
      </w:r>
      <w:r>
        <w:rPr>
          <w:bCs/>
          <w:b/>
        </w:rPr>
        <w:t xml:space="preserve">10-11 % a 6,5-8 %, a 5-6 % y a «no se cumplirá»</w:t>
      </w:r>
      <w:r>
        <w:t xml:space="preserve"> </w:t>
      </w:r>
      <w:r>
        <w:t xml:space="preserve">tras un ciberataque (25-ago) que paró producción y envíos.</w:t>
      </w:r>
    </w:p>
    <w:p>
      <w:pPr>
        <w:numPr>
          <w:ilvl w:val="0"/>
          <w:numId w:val="1001"/>
        </w:numPr>
        <w:pStyle w:val="Compact"/>
      </w:pPr>
      <w:r>
        <w:t xml:space="preserve">La acción ha caído un</w:t>
      </w:r>
      <w:r>
        <w:t xml:space="preserve"> </w:t>
      </w:r>
      <w:r>
        <w:rPr>
          <w:bCs/>
          <w:b/>
        </w:rPr>
        <w:t xml:space="preserve">54 % en 12 meses</w:t>
      </w:r>
      <w:r>
        <w:t xml:space="preserve"> </w:t>
      </w:r>
      <w:r>
        <w:t xml:space="preserve">(de 94,95 a 43,31 USD) y cotiza a</w:t>
      </w:r>
      <w:r>
        <w:t xml:space="preserve"> </w:t>
      </w:r>
      <w:r>
        <w:rPr>
          <w:bCs/>
          <w:b/>
        </w:rPr>
        <w:t xml:space="preserve">~11,7x EV/EBITDA NTM</w:t>
      </w:r>
      <w:r>
        <w:t xml:space="preserve">, su mínimo de 3 años (mediana ~22x) y por debajo de Medtronic (~13x) y Stryker (~16x). El DCF inverso solo descuenta un</w:t>
      </w:r>
      <w:r>
        <w:t xml:space="preserve"> </w:t>
      </w:r>
      <w:r>
        <w:rPr>
          <w:bCs/>
          <w:b/>
        </w:rPr>
        <w:t xml:space="preserve">~5 % anual</w:t>
      </w:r>
      <w:r>
        <w:t xml:space="preserve"> </w:t>
      </w:r>
      <w:r>
        <w:t xml:space="preserve">durante 10 años. Es barata.</w:t>
      </w:r>
    </w:p>
    <w:p>
      <w:pPr>
        <w:numPr>
          <w:ilvl w:val="0"/>
          <w:numId w:val="1001"/>
        </w:numPr>
        <w:pStyle w:val="Compact"/>
      </w:pPr>
      <w:r>
        <w:t xml:space="preserve">Pero el método no compra suelos:</w:t>
      </w:r>
      <w:r>
        <w:t xml:space="preserve"> </w:t>
      </w:r>
      <w:r>
        <w:rPr>
          <w:bCs/>
          <w:b/>
        </w:rPr>
        <w:t xml:space="preserve">2 de 8 señales</w:t>
      </w:r>
      <w:r>
        <w:t xml:space="preserve"> </w:t>
      </w:r>
      <w:r>
        <w:t xml:space="preserve">(las compras del consejero delegado, 9 M USD a 48,33, y un catalizador débil), revisiones a la baja, precio bajo una media de 200 que cae y la empresa dice que 2027 tendrá poco crecimiento del beneficio. Además, cierra la compra de</w:t>
      </w:r>
      <w:r>
        <w:t xml:space="preserve"> </w:t>
      </w:r>
      <w:r>
        <w:rPr>
          <w:bCs/>
          <w:b/>
        </w:rPr>
        <w:t xml:space="preserve">Penumbra</w:t>
      </w:r>
      <w:r>
        <w:t xml:space="preserve"> </w:t>
      </w:r>
      <w:r>
        <w:t xml:space="preserve">(14.500 M, ~11.000 M en efectivo y deuda) en plena tormenta.</w:t>
      </w:r>
    </w:p>
    <w:p>
      <w:pPr>
        <w:numPr>
          <w:ilvl w:val="0"/>
          <w:numId w:val="1001"/>
        </w:numPr>
        <w:pStyle w:val="Compact"/>
      </w:pPr>
      <w:r>
        <w:t xml:space="preserve">Conclusión:</w:t>
      </w:r>
      <w:r>
        <w:t xml:space="preserve"> </w:t>
      </w:r>
      <w:r>
        <w:rPr>
          <w:bCs/>
          <w:b/>
        </w:rPr>
        <w:t xml:space="preserve">Vender / no comprar</w:t>
      </w:r>
      <w:r>
        <w:t xml:space="preserve"> </w:t>
      </w:r>
      <w:r>
        <w:t xml:space="preserve">(puntuación 46 &lt; 50). Hoy no es una growth: crece al 3-7 %. Es un posible caso</w:t>
      </w:r>
      <w:r>
        <w:t xml:space="preserve"> </w:t>
      </w:r>
      <w:r>
        <w:rPr>
          <w:bCs/>
          <w:b/>
        </w:rPr>
        <w:t xml:space="preserve">value</w:t>
      </w:r>
      <w:r>
        <w:t xml:space="preserve"> </w:t>
      </w:r>
      <w:r>
        <w:t xml:space="preserve">de recuperación (PER adelantado ~13x) que se debería mirar con ese método, no aquí.</w:t>
      </w:r>
    </w:p>
    <w:bookmarkEnd w:id="20"/>
    <w:bookmarkStart w:id="21" w:name="negocio-y-tecnología"/>
    <w:p>
      <w:pPr>
        <w:pStyle w:val="Heading2"/>
      </w:pPr>
      <w:r>
        <w:t xml:space="preserve">2. Negocio y tecnología</w:t>
      </w:r>
    </w:p>
    <w:p>
      <w:pPr>
        <w:pStyle w:val="FirstParagraph"/>
      </w:pPr>
      <w:r>
        <w:t xml:space="preserve">Boston Scientific vende dispositivos para procedimientos mínimamente invasivos: 20.995 M USD en 12 meses, 65 % en EE. UU. En el 2T26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Negocio</w:t>
            </w:r>
          </w:p>
        </w:tc>
        <w:tc>
          <w:tcPr/>
          <w:p>
            <w:pPr>
              <w:pStyle w:val="Compact"/>
              <w:jc w:val="left"/>
            </w:pPr>
            <w:r>
              <w:t xml:space="preserve">2T26 (M USD)</w:t>
            </w:r>
          </w:p>
        </w:tc>
        <w:tc>
          <w:tcPr/>
          <w:p>
            <w:pPr>
              <w:pStyle w:val="Compact"/>
              <w:jc w:val="left"/>
            </w:pPr>
            <w:r>
              <w:t xml:space="preserve">Crec.</w:t>
            </w:r>
          </w:p>
        </w:tc>
        <w:tc>
          <w:tcPr/>
          <w:p>
            <w:pPr>
              <w:pStyle w:val="Compact"/>
              <w:jc w:val="left"/>
            </w:pPr>
            <w:r>
              <w:t xml:space="preserve">Qué es</w:t>
            </w:r>
          </w:p>
        </w:tc>
      </w:tr>
      <w:tr>
        <w:tc>
          <w:tcPr/>
          <w:p>
            <w:pPr>
              <w:pStyle w:val="Compact"/>
              <w:jc w:val="left"/>
            </w:pPr>
            <w:r>
              <w:t xml:space="preserve">Cardiología intervencionista y vascular</w:t>
            </w:r>
          </w:p>
        </w:tc>
        <w:tc>
          <w:tcPr/>
          <w:p>
            <w:pPr>
              <w:pStyle w:val="Compact"/>
              <w:jc w:val="left"/>
            </w:pPr>
            <w:r>
              <w:t xml:space="preserve">1.333</w:t>
            </w:r>
          </w:p>
        </w:tc>
        <w:tc>
          <w:tcPr/>
          <w:p>
            <w:pPr>
              <w:pStyle w:val="Compact"/>
              <w:jc w:val="left"/>
            </w:pPr>
            <w:r>
              <w:t xml:space="preserve">+13 %</w:t>
            </w:r>
          </w:p>
        </w:tc>
        <w:tc>
          <w:tcPr/>
          <w:p>
            <w:pPr>
              <w:pStyle w:val="Compact"/>
              <w:jc w:val="left"/>
            </w:pPr>
            <w:r>
              <w:t xml:space="preserve">Balón farmacoactivo AGENT, litotricia (Bolt, SEISMIQ), trombectomía (AngioJet, EKOS; Penumbra en camino)</w:t>
            </w:r>
          </w:p>
        </w:tc>
      </w:tr>
      <w:tr>
        <w:tc>
          <w:tcPr/>
          <w:p>
            <w:pPr>
              <w:pStyle w:val="Compact"/>
              <w:jc w:val="left"/>
            </w:pPr>
            <w:r>
              <w:t xml:space="preserve">Electrofisiología (EP)</w:t>
            </w:r>
          </w:p>
        </w:tc>
        <w:tc>
          <w:tcPr/>
          <w:p>
            <w:pPr>
              <w:pStyle w:val="Compact"/>
              <w:jc w:val="left"/>
            </w:pPr>
            <w:r>
              <w:t xml:space="preserve">916</w:t>
            </w:r>
          </w:p>
        </w:tc>
        <w:tc>
          <w:tcPr/>
          <w:p>
            <w:pPr>
              <w:pStyle w:val="Compact"/>
              <w:jc w:val="left"/>
            </w:pPr>
            <w:r>
              <w:t xml:space="preserve">+9 % (EE. UU. +3 %)</w:t>
            </w:r>
          </w:p>
        </w:tc>
        <w:tc>
          <w:tcPr/>
          <w:p>
            <w:pPr>
              <w:pStyle w:val="Compact"/>
              <w:jc w:val="left"/>
            </w:pPr>
            <w:r>
              <w:rPr>
                <w:bCs/>
                <w:b/>
              </w:rPr>
              <w:t xml:space="preserve">Farapulse</w:t>
            </w:r>
            <w:r>
              <w:t xml:space="preserve">, FARAPOINT, mapeo Opal/Rhythmia</w:t>
            </w:r>
          </w:p>
        </w:tc>
      </w:tr>
      <w:tr>
        <w:tc>
          <w:tcPr/>
          <w:p>
            <w:pPr>
              <w:pStyle w:val="Compact"/>
              <w:jc w:val="left"/>
            </w:pPr>
            <w:r>
              <w:t xml:space="preserve">Endoscopia</w:t>
            </w:r>
          </w:p>
        </w:tc>
        <w:tc>
          <w:tcPr/>
          <w:p>
            <w:pPr>
              <w:pStyle w:val="Compact"/>
              <w:jc w:val="left"/>
            </w:pPr>
            <w:r>
              <w:t xml:space="preserve">793</w:t>
            </w:r>
          </w:p>
        </w:tc>
        <w:tc>
          <w:tcPr/>
          <w:p>
            <w:pPr>
              <w:pStyle w:val="Compact"/>
              <w:jc w:val="left"/>
            </w:pPr>
            <w:r>
              <w:t xml:space="preserve">+8 %</w:t>
            </w:r>
          </w:p>
        </w:tc>
        <w:tc>
          <w:tcPr/>
          <w:p>
            <w:pPr>
              <w:pStyle w:val="Compact"/>
              <w:jc w:val="left"/>
            </w:pPr>
            <w:r>
              <w:t xml:space="preserve">Endoscopios desechables, stents</w:t>
            </w:r>
          </w:p>
        </w:tc>
      </w:tr>
      <w:tr>
        <w:tc>
          <w:tcPr/>
          <w:p>
            <w:pPr>
              <w:pStyle w:val="Compact"/>
              <w:jc w:val="left"/>
            </w:pPr>
            <w:r>
              <w:t xml:space="preserve">Urología</w:t>
            </w:r>
          </w:p>
        </w:tc>
        <w:tc>
          <w:tcPr/>
          <w:p>
            <w:pPr>
              <w:pStyle w:val="Compact"/>
              <w:jc w:val="left"/>
            </w:pPr>
            <w:r>
              <w:t xml:space="preserve">684</w:t>
            </w:r>
          </w:p>
        </w:tc>
        <w:tc>
          <w:tcPr/>
          <w:p>
            <w:pPr>
              <w:pStyle w:val="Compact"/>
              <w:jc w:val="left"/>
            </w:pPr>
            <w:r>
              <w:t xml:space="preserve">+1 %</w:t>
            </w:r>
          </w:p>
        </w:tc>
        <w:tc>
          <w:tcPr/>
          <w:p>
            <w:pPr>
              <w:pStyle w:val="Compact"/>
              <w:jc w:val="left"/>
            </w:pPr>
            <w:r>
              <w:t xml:space="preserve">Axonics (vejiga), Rezum, piedras</w:t>
            </w:r>
          </w:p>
        </w:tc>
      </w:tr>
      <w:tr>
        <w:tc>
          <w:tcPr/>
          <w:p>
            <w:pPr>
              <w:pStyle w:val="Compact"/>
              <w:jc w:val="left"/>
            </w:pPr>
            <w:r>
              <w:t xml:space="preserve">Ritmo cardiaco (CRM)</w:t>
            </w:r>
          </w:p>
        </w:tc>
        <w:tc>
          <w:tcPr/>
          <w:p>
            <w:pPr>
              <w:pStyle w:val="Compact"/>
              <w:jc w:val="left"/>
            </w:pPr>
            <w:r>
              <w:t xml:space="preserve">585</w:t>
            </w:r>
          </w:p>
        </w:tc>
        <w:tc>
          <w:tcPr/>
          <w:p>
            <w:pPr>
              <w:pStyle w:val="Compact"/>
              <w:jc w:val="left"/>
            </w:pPr>
            <w:r>
              <w:t xml:space="preserve">−1 %</w:t>
            </w:r>
          </w:p>
        </w:tc>
        <w:tc>
          <w:tcPr/>
          <w:p>
            <w:pPr>
              <w:pStyle w:val="Compact"/>
              <w:jc w:val="left"/>
            </w:pPr>
            <w:r>
              <w:t xml:space="preserve">Marcapasos y desfibriladores</w:t>
            </w:r>
          </w:p>
        </w:tc>
      </w:tr>
      <w:tr>
        <w:tc>
          <w:tcPr/>
          <w:p>
            <w:pPr>
              <w:pStyle w:val="Compact"/>
              <w:jc w:val="left"/>
            </w:pPr>
            <w:r>
              <w:rPr>
                <w:bCs/>
                <w:b/>
              </w:rPr>
              <w:t xml:space="preserve">Watchman</w:t>
            </w:r>
          </w:p>
        </w:tc>
        <w:tc>
          <w:tcPr/>
          <w:p>
            <w:pPr>
              <w:pStyle w:val="Compact"/>
              <w:jc w:val="left"/>
            </w:pPr>
            <w:r>
              <w:t xml:space="preserve">507</w:t>
            </w:r>
          </w:p>
        </w:tc>
        <w:tc>
          <w:tcPr/>
          <w:p>
            <w:pPr>
              <w:pStyle w:val="Compact"/>
              <w:jc w:val="left"/>
            </w:pPr>
            <w:r>
              <w:t xml:space="preserve">+4 % (EE. UU. +3 %)</w:t>
            </w:r>
          </w:p>
        </w:tc>
        <w:tc>
          <w:tcPr/>
          <w:p>
            <w:pPr>
              <w:pStyle w:val="Compact"/>
              <w:jc w:val="left"/>
            </w:pPr>
            <w:r>
              <w:t xml:space="preserve">Cierre de la orejuela izquierda</w:t>
            </w:r>
          </w:p>
        </w:tc>
      </w:tr>
      <w:tr>
        <w:tc>
          <w:tcPr/>
          <w:p>
            <w:pPr>
              <w:pStyle w:val="Compact"/>
              <w:jc w:val="left"/>
            </w:pPr>
            <w:r>
              <w:t xml:space="preserve">Neuromodulación</w:t>
            </w:r>
          </w:p>
        </w:tc>
        <w:tc>
          <w:tcPr/>
          <w:p>
            <w:pPr>
              <w:pStyle w:val="Compact"/>
              <w:jc w:val="left"/>
            </w:pPr>
            <w:r>
              <w:t xml:space="preserve">341</w:t>
            </w:r>
          </w:p>
        </w:tc>
        <w:tc>
          <w:tcPr/>
          <w:p>
            <w:pPr>
              <w:pStyle w:val="Compact"/>
              <w:jc w:val="left"/>
            </w:pPr>
            <w:r>
              <w:t xml:space="preserve">+13 %</w:t>
            </w:r>
          </w:p>
        </w:tc>
        <w:tc>
          <w:tcPr/>
          <w:p>
            <w:pPr>
              <w:pStyle w:val="Compact"/>
              <w:jc w:val="left"/>
            </w:pPr>
            <w:r>
              <w:t xml:space="preserve">Dolor crónico (Nalu), Parkinson</w:t>
            </w:r>
          </w:p>
        </w:tc>
      </w:tr>
      <w:tr>
        <w:tc>
          <w:tcPr/>
          <w:p>
            <w:pPr>
              <w:pStyle w:val="Compact"/>
              <w:jc w:val="left"/>
            </w:pPr>
            <w:r>
              <w:t xml:space="preserve">Oncología intervencionista y embolización</w:t>
            </w:r>
          </w:p>
        </w:tc>
        <w:tc>
          <w:tcPr/>
          <w:p>
            <w:pPr>
              <w:pStyle w:val="Compact"/>
              <w:jc w:val="left"/>
            </w:pPr>
            <w:r>
              <w:t xml:space="preserve">283</w:t>
            </w:r>
          </w:p>
        </w:tc>
        <w:tc>
          <w:tcPr/>
          <w:p>
            <w:pPr>
              <w:pStyle w:val="Compact"/>
              <w:jc w:val="left"/>
            </w:pPr>
            <w:r>
              <w:t xml:space="preserve">+13 %</w:t>
            </w:r>
          </w:p>
        </w:tc>
        <w:tc>
          <w:tcPr/>
          <w:p>
            <w:pPr>
              <w:pStyle w:val="Compact"/>
              <w:jc w:val="left"/>
            </w:pPr>
            <w:r>
              <w:t xml:space="preserve">TheraSphere, microcatéteres</w:t>
            </w:r>
          </w:p>
        </w:tc>
      </w:tr>
    </w:tbl>
    <w:p>
      <w:pPr>
        <w:pStyle w:val="BodyText"/>
      </w:pPr>
      <w:r>
        <w:rPr>
          <w:bCs/>
          <w:b/>
        </w:rPr>
        <w:t xml:space="preserve">Lo que tiene de nuevo</w:t>
      </w:r>
      <w:r>
        <w:t xml:space="preserve">:</w:t>
      </w:r>
      <w:r>
        <w:t xml:space="preserve"> </w:t>
      </w:r>
      <w:r>
        <w:t xml:space="preserve">-</w:t>
      </w:r>
      <w:r>
        <w:t xml:space="preserve"> </w:t>
      </w:r>
      <w:r>
        <w:rPr>
          <w:bCs/>
          <w:b/>
        </w:rPr>
        <w:t xml:space="preserve">Farapulse</w:t>
      </w:r>
      <w:r>
        <w:t xml:space="preserve">: el primer sistema de ablación por campo pulsado que se vendió a escala. Mata el tejido del corazón con pulsos eléctricos en vez de calor, más rápido y sin dañar el esófago. Tiene la mejor base clínica (ADVENT, ADVENT LTO a 4 años, AVANT GUARD en FA persistente como primer tratamiento) [1][3]. Prepara FARAFLEX (mapeo y ablación en un catéter), FARAWAVE Ultra y su entrada en la ecografía intracardiaca para el 2S27 [8].</w:t>
      </w:r>
      <w:r>
        <w:t xml:space="preserve"> </w:t>
      </w:r>
      <w:r>
        <w:t xml:space="preserve">-</w:t>
      </w:r>
      <w:r>
        <w:t xml:space="preserve"> </w:t>
      </w:r>
      <w:r>
        <w:rPr>
          <w:bCs/>
          <w:b/>
        </w:rPr>
        <w:t xml:space="preserve">Watchman</w:t>
      </w:r>
      <w:r>
        <w:t xml:space="preserve">: el único cierre de orejuela con indicación amplia.</w:t>
      </w:r>
      <w:r>
        <w:t xml:space="preserve"> </w:t>
      </w:r>
      <w:r>
        <w:rPr>
          <w:bCs/>
          <w:b/>
        </w:rPr>
        <w:t xml:space="preserve">CHAMPION-AF</w:t>
      </w:r>
      <w:r>
        <w:t xml:space="preserve"> </w:t>
      </w:r>
      <w:r>
        <w:t xml:space="preserve">(ACC, mar-2026) lo compara con los anticoagulantes en pacientes generales con FA y cumple todos sus objetivos (menos sangrados, eficacia similar). La empresa pedirá a la FDA ampliar la etiqueta y a los CMS ampliar la cobertura, sin fecha y no antes de 2027 [3][8].</w:t>
      </w:r>
      <w:r>
        <w:t xml:space="preserve"> </w:t>
      </w:r>
      <w:r>
        <w:t xml:space="preserve">-</w:t>
      </w:r>
      <w:r>
        <w:t xml:space="preserve"> </w:t>
      </w:r>
      <w:r>
        <w:rPr>
          <w:bCs/>
          <w:b/>
        </w:rPr>
        <w:t xml:space="preserve">Tecnología 4/5</w:t>
      </w:r>
      <w:r>
        <w:t xml:space="preserve">: sigue siendo la referencia clínica en campo pulsado y orejuela. No es 5 porque el campo pulsado ya lo tienen los tres grandes rivales (Medtronic PulseSelect y Affera Sphere-9; J&amp;J Varipulse; Abbott Volt) [9][20].</w:t>
      </w:r>
      <w:r>
        <w:t xml:space="preserve"> </w:t>
      </w:r>
      <w:r>
        <w:t xml:space="preserve">-</w:t>
      </w:r>
      <w:r>
        <w:t xml:space="preserve"> </w:t>
      </w:r>
      <w:r>
        <w:rPr>
          <w:bCs/>
          <w:b/>
        </w:rPr>
        <w:t xml:space="preserve">Posición 4/5</w:t>
      </w:r>
      <w:r>
        <w:t xml:space="preserve">: líder en campo pulsado y en orejuela en el mundo, pero perdiendo cuota en EE. UU. («our share has come down») [9].</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Publicado</w:t>
            </w:r>
          </w:p>
        </w:tc>
        <w:tc>
          <w:tcPr/>
          <w:p>
            <w:pPr>
              <w:pStyle w:val="Compact"/>
              <w:jc w:val="left"/>
            </w:pPr>
            <w:r>
              <w:t xml:space="preserve">Orgánico</w:t>
            </w:r>
          </w:p>
        </w:tc>
        <w:tc>
          <w:tcPr/>
          <w:p>
            <w:pPr>
              <w:pStyle w:val="Compact"/>
              <w:jc w:val="left"/>
            </w:pPr>
            <w:r>
              <w:t xml:space="preserve">Guía orgánica del trimestre</w:t>
            </w:r>
          </w:p>
        </w:tc>
        <w:tc>
          <w:tcPr/>
          <w:p>
            <w:pPr>
              <w:pStyle w:val="Compact"/>
              <w:jc w:val="left"/>
            </w:pPr>
            <w:r>
              <w:t xml:space="preserve">Margen operativo ajustado</w:t>
            </w:r>
          </w:p>
        </w:tc>
      </w:tr>
      <w:tr>
        <w:tc>
          <w:tcPr/>
          <w:p>
            <w:pPr>
              <w:pStyle w:val="Compact"/>
              <w:jc w:val="left"/>
            </w:pPr>
            <w:r>
              <w:t xml:space="preserve">3T24</w:t>
            </w:r>
          </w:p>
        </w:tc>
        <w:tc>
          <w:tcPr/>
          <w:p>
            <w:pPr>
              <w:pStyle w:val="Compact"/>
              <w:jc w:val="left"/>
            </w:pPr>
            <w:r>
              <w:t xml:space="preserve">4.209</w:t>
            </w:r>
          </w:p>
        </w:tc>
        <w:tc>
          <w:tcPr/>
          <w:p>
            <w:pPr>
              <w:pStyle w:val="Compact"/>
              <w:jc w:val="left"/>
            </w:pPr>
            <w:r>
              <w:t xml:space="preserve">+19,3 %</w:t>
            </w:r>
          </w:p>
        </w:tc>
        <w:tc>
          <w:tcPr/>
          <w:p>
            <w:pPr>
              <w:pStyle w:val="Compact"/>
              <w:jc w:val="left"/>
            </w:pPr>
            <w:r>
              <w:t xml:space="preserve">+18,2 %</w:t>
            </w:r>
          </w:p>
        </w:tc>
        <w:tc>
          <w:tcPr/>
          <w:p>
            <w:pPr>
              <w:pStyle w:val="Compact"/>
              <w:jc w:val="left"/>
            </w:pPr>
            <w:r>
              <w:t xml:space="preserve">—</w:t>
            </w:r>
          </w:p>
        </w:tc>
        <w:tc>
          <w:tcPr/>
          <w:p>
            <w:pPr>
              <w:pStyle w:val="Compact"/>
              <w:jc w:val="left"/>
            </w:pPr>
            <w:r>
              <w:t xml:space="preserve">27,3 %</w:t>
            </w:r>
          </w:p>
        </w:tc>
      </w:tr>
      <w:tr>
        <w:tc>
          <w:tcPr/>
          <w:p>
            <w:pPr>
              <w:pStyle w:val="Compact"/>
              <w:jc w:val="left"/>
            </w:pPr>
            <w:r>
              <w:t xml:space="preserve">4T24</w:t>
            </w:r>
          </w:p>
        </w:tc>
        <w:tc>
          <w:tcPr/>
          <w:p>
            <w:pPr>
              <w:pStyle w:val="Compact"/>
              <w:jc w:val="left"/>
            </w:pPr>
            <w:r>
              <w:t xml:space="preserve">4.561</w:t>
            </w:r>
          </w:p>
        </w:tc>
        <w:tc>
          <w:tcPr/>
          <w:p>
            <w:pPr>
              <w:pStyle w:val="Compact"/>
              <w:jc w:val="left"/>
            </w:pPr>
            <w:r>
              <w:t xml:space="preserve">+22,4 %</w:t>
            </w:r>
          </w:p>
        </w:tc>
        <w:tc>
          <w:tcPr/>
          <w:p>
            <w:pPr>
              <w:pStyle w:val="Compact"/>
              <w:jc w:val="left"/>
            </w:pPr>
            <w:r>
              <w:t xml:space="preserve">+19,5 %</w:t>
            </w:r>
          </w:p>
        </w:tc>
        <w:tc>
          <w:tcPr/>
          <w:p>
            <w:pPr>
              <w:pStyle w:val="Compact"/>
              <w:jc w:val="left"/>
            </w:pPr>
            <w:r>
              <w:t xml:space="preserve">14-16 %</w:t>
            </w:r>
          </w:p>
        </w:tc>
        <w:tc>
          <w:tcPr/>
          <w:p>
            <w:pPr>
              <w:pStyle w:val="Compact"/>
              <w:jc w:val="left"/>
            </w:pPr>
            <w:r>
              <w:t xml:space="preserve">27,4 %</w:t>
            </w:r>
          </w:p>
        </w:tc>
      </w:tr>
      <w:tr>
        <w:tc>
          <w:tcPr/>
          <w:p>
            <w:pPr>
              <w:pStyle w:val="Compact"/>
              <w:jc w:val="left"/>
            </w:pPr>
            <w:r>
              <w:t xml:space="preserve">1T25</w:t>
            </w:r>
          </w:p>
        </w:tc>
        <w:tc>
          <w:tcPr/>
          <w:p>
            <w:pPr>
              <w:pStyle w:val="Compact"/>
              <w:jc w:val="left"/>
            </w:pPr>
            <w:r>
              <w:t xml:space="preserve">4.663</w:t>
            </w:r>
          </w:p>
        </w:tc>
        <w:tc>
          <w:tcPr/>
          <w:p>
            <w:pPr>
              <w:pStyle w:val="Compact"/>
              <w:jc w:val="left"/>
            </w:pPr>
            <w:r>
              <w:t xml:space="preserve">+20,9 %</w:t>
            </w:r>
          </w:p>
        </w:tc>
        <w:tc>
          <w:tcPr/>
          <w:p>
            <w:pPr>
              <w:pStyle w:val="Compact"/>
              <w:jc w:val="left"/>
            </w:pPr>
            <w:r>
              <w:t xml:space="preserve">+18,2 %</w:t>
            </w:r>
          </w:p>
        </w:tc>
        <w:tc>
          <w:tcPr/>
          <w:p>
            <w:pPr>
              <w:pStyle w:val="Compact"/>
              <w:jc w:val="left"/>
            </w:pPr>
            <w:r>
              <w:t xml:space="preserve">14-16 %</w:t>
            </w:r>
          </w:p>
        </w:tc>
        <w:tc>
          <w:tcPr/>
          <w:p>
            <w:pPr>
              <w:pStyle w:val="Compact"/>
              <w:jc w:val="left"/>
            </w:pPr>
            <w:r>
              <w:t xml:space="preserve">29,0 %</w:t>
            </w:r>
          </w:p>
        </w:tc>
      </w:tr>
      <w:tr>
        <w:tc>
          <w:tcPr/>
          <w:p>
            <w:pPr>
              <w:pStyle w:val="Compact"/>
              <w:jc w:val="left"/>
            </w:pPr>
            <w:r>
              <w:t xml:space="preserve">2T25</w:t>
            </w:r>
          </w:p>
        </w:tc>
        <w:tc>
          <w:tcPr/>
          <w:p>
            <w:pPr>
              <w:pStyle w:val="Compact"/>
              <w:jc w:val="left"/>
            </w:pPr>
            <w:r>
              <w:t xml:space="preserve">5.061</w:t>
            </w:r>
          </w:p>
        </w:tc>
        <w:tc>
          <w:tcPr/>
          <w:p>
            <w:pPr>
              <w:pStyle w:val="Compact"/>
              <w:jc w:val="left"/>
            </w:pPr>
            <w:r>
              <w:t xml:space="preserve">+22,8 %</w:t>
            </w:r>
          </w:p>
        </w:tc>
        <w:tc>
          <w:tcPr/>
          <w:p>
            <w:pPr>
              <w:pStyle w:val="Compact"/>
              <w:jc w:val="left"/>
            </w:pPr>
            <w:r>
              <w:t xml:space="preserve">+17,4 %</w:t>
            </w:r>
          </w:p>
        </w:tc>
        <w:tc>
          <w:tcPr/>
          <w:p>
            <w:pPr>
              <w:pStyle w:val="Compact"/>
              <w:jc w:val="left"/>
            </w:pPr>
            <w:r>
              <w:t xml:space="preserve">13-15 %</w:t>
            </w:r>
          </w:p>
        </w:tc>
        <w:tc>
          <w:tcPr/>
          <w:p>
            <w:pPr>
              <w:pStyle w:val="Compact"/>
              <w:jc w:val="left"/>
            </w:pPr>
            <w:r>
              <w:t xml:space="preserve">27,6 %</w:t>
            </w:r>
          </w:p>
        </w:tc>
      </w:tr>
      <w:tr>
        <w:tc>
          <w:tcPr/>
          <w:p>
            <w:pPr>
              <w:pStyle w:val="Compact"/>
              <w:jc w:val="left"/>
            </w:pPr>
            <w:r>
              <w:t xml:space="preserve">3T25</w:t>
            </w:r>
          </w:p>
        </w:tc>
        <w:tc>
          <w:tcPr/>
          <w:p>
            <w:pPr>
              <w:pStyle w:val="Compact"/>
              <w:jc w:val="left"/>
            </w:pPr>
            <w:r>
              <w:t xml:space="preserve">5.065</w:t>
            </w:r>
          </w:p>
        </w:tc>
        <w:tc>
          <w:tcPr/>
          <w:p>
            <w:pPr>
              <w:pStyle w:val="Compact"/>
              <w:jc w:val="left"/>
            </w:pPr>
            <w:r>
              <w:t xml:space="preserve">+20,3 %</w:t>
            </w:r>
          </w:p>
        </w:tc>
        <w:tc>
          <w:tcPr/>
          <w:p>
            <w:pPr>
              <w:pStyle w:val="Compact"/>
              <w:jc w:val="left"/>
            </w:pPr>
            <w:r>
              <w:t xml:space="preserve">+15,3 %</w:t>
            </w:r>
          </w:p>
        </w:tc>
        <w:tc>
          <w:tcPr/>
          <w:p>
            <w:pPr>
              <w:pStyle w:val="Compact"/>
              <w:jc w:val="left"/>
            </w:pPr>
            <w:r>
              <w:t xml:space="preserve">12-14 %</w:t>
            </w:r>
          </w:p>
        </w:tc>
        <w:tc>
          <w:tcPr/>
          <w:p>
            <w:pPr>
              <w:pStyle w:val="Compact"/>
              <w:jc w:val="left"/>
            </w:pPr>
            <w:r>
              <w:t xml:space="preserve">28,0 %</w:t>
            </w:r>
          </w:p>
        </w:tc>
      </w:tr>
      <w:tr>
        <w:tc>
          <w:tcPr/>
          <w:p>
            <w:pPr>
              <w:pStyle w:val="Compact"/>
              <w:jc w:val="left"/>
            </w:pPr>
            <w:r>
              <w:t xml:space="preserve">4T25</w:t>
            </w:r>
          </w:p>
        </w:tc>
        <w:tc>
          <w:tcPr/>
          <w:p>
            <w:pPr>
              <w:pStyle w:val="Compact"/>
              <w:jc w:val="left"/>
            </w:pPr>
            <w:r>
              <w:t xml:space="preserve">5.286</w:t>
            </w:r>
          </w:p>
        </w:tc>
        <w:tc>
          <w:tcPr/>
          <w:p>
            <w:pPr>
              <w:pStyle w:val="Compact"/>
              <w:jc w:val="left"/>
            </w:pPr>
            <w:r>
              <w:t xml:space="preserve">+15,9 %</w:t>
            </w:r>
          </w:p>
        </w:tc>
        <w:tc>
          <w:tcPr/>
          <w:p>
            <w:pPr>
              <w:pStyle w:val="Compact"/>
              <w:jc w:val="left"/>
            </w:pPr>
            <w:r>
              <w:t xml:space="preserve">+12,7 %</w:t>
            </w:r>
          </w:p>
        </w:tc>
        <w:tc>
          <w:tcPr/>
          <w:p>
            <w:pPr>
              <w:pStyle w:val="Compact"/>
              <w:jc w:val="left"/>
            </w:pPr>
            <w:r>
              <w:t xml:space="preserve">11-13 %</w:t>
            </w:r>
          </w:p>
        </w:tc>
        <w:tc>
          <w:tcPr/>
          <w:p>
            <w:pPr>
              <w:pStyle w:val="Compact"/>
              <w:jc w:val="left"/>
            </w:pPr>
            <w:r>
              <w:t xml:space="preserve">27,3 %</w:t>
            </w:r>
          </w:p>
        </w:tc>
      </w:tr>
      <w:tr>
        <w:tc>
          <w:tcPr/>
          <w:p>
            <w:pPr>
              <w:pStyle w:val="Compact"/>
              <w:jc w:val="left"/>
            </w:pPr>
            <w:r>
              <w:t xml:space="preserve">1T26</w:t>
            </w:r>
          </w:p>
        </w:tc>
        <w:tc>
          <w:tcPr/>
          <w:p>
            <w:pPr>
              <w:pStyle w:val="Compact"/>
              <w:jc w:val="left"/>
            </w:pPr>
            <w:r>
              <w:t xml:space="preserve">5.203</w:t>
            </w:r>
          </w:p>
        </w:tc>
        <w:tc>
          <w:tcPr/>
          <w:p>
            <w:pPr>
              <w:pStyle w:val="Compact"/>
              <w:jc w:val="left"/>
            </w:pPr>
            <w:r>
              <w:t xml:space="preserve">+11,6 %</w:t>
            </w:r>
          </w:p>
        </w:tc>
        <w:tc>
          <w:tcPr/>
          <w:p>
            <w:pPr>
              <w:pStyle w:val="Compact"/>
              <w:jc w:val="left"/>
            </w:pPr>
            <w:r>
              <w:t xml:space="preserve">+9,4 %</w:t>
            </w:r>
          </w:p>
        </w:tc>
        <w:tc>
          <w:tcPr/>
          <w:p>
            <w:pPr>
              <w:pStyle w:val="Compact"/>
              <w:jc w:val="left"/>
            </w:pPr>
            <w:r>
              <w:t xml:space="preserve">8,5-10 %</w:t>
            </w:r>
          </w:p>
        </w:tc>
        <w:tc>
          <w:tcPr/>
          <w:p>
            <w:pPr>
              <w:pStyle w:val="Compact"/>
              <w:jc w:val="left"/>
            </w:pPr>
            <w:r>
              <w:t xml:space="preserve">28,0 %</w:t>
            </w:r>
          </w:p>
        </w:tc>
      </w:tr>
      <w:tr>
        <w:tc>
          <w:tcPr/>
          <w:p>
            <w:pPr>
              <w:pStyle w:val="Compact"/>
              <w:jc w:val="left"/>
            </w:pPr>
            <w:r>
              <w:t xml:space="preserve">2T26</w:t>
            </w:r>
          </w:p>
        </w:tc>
        <w:tc>
          <w:tcPr/>
          <w:p>
            <w:pPr>
              <w:pStyle w:val="Compact"/>
              <w:jc w:val="left"/>
            </w:pPr>
            <w:r>
              <w:t xml:space="preserve">5.442</w:t>
            </w:r>
          </w:p>
        </w:tc>
        <w:tc>
          <w:tcPr/>
          <w:p>
            <w:pPr>
              <w:pStyle w:val="Compact"/>
              <w:jc w:val="left"/>
            </w:pPr>
            <w:r>
              <w:t xml:space="preserve">+7,5 %</w:t>
            </w:r>
          </w:p>
        </w:tc>
        <w:tc>
          <w:tcPr/>
          <w:p>
            <w:pPr>
              <w:pStyle w:val="Compact"/>
              <w:jc w:val="left"/>
            </w:pPr>
            <w:r>
              <w:t xml:space="preserve">+7,0 %</w:t>
            </w:r>
          </w:p>
        </w:tc>
        <w:tc>
          <w:tcPr/>
          <w:p>
            <w:pPr>
              <w:pStyle w:val="Compact"/>
              <w:jc w:val="left"/>
            </w:pPr>
            <w:r>
              <w:t xml:space="preserve">5-7 %</w:t>
            </w:r>
          </w:p>
        </w:tc>
        <w:tc>
          <w:tcPr/>
          <w:p>
            <w:pPr>
              <w:pStyle w:val="Compact"/>
              <w:jc w:val="left"/>
            </w:pPr>
            <w:r>
              <w:t xml:space="preserve">28,4 %</w:t>
            </w:r>
          </w:p>
        </w:tc>
      </w:tr>
    </w:tbl>
    <w:p>
      <w:pPr>
        <w:pStyle w:val="BodyText"/>
      </w:pPr>
      <w:r>
        <w:t xml:space="preserve">Fuentes: [1][3][5].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Publicado</w:t>
            </w:r>
          </w:p>
        </w:tc>
        <w:tc>
          <w:tcPr/>
          <w:p>
            <w:pPr>
              <w:pStyle w:val="Compact"/>
              <w:jc w:val="left"/>
            </w:pPr>
            <w:r>
              <w:t xml:space="preserve">Orgánico</w:t>
            </w:r>
          </w:p>
        </w:tc>
      </w:tr>
      <w:tr>
        <w:tc>
          <w:tcPr/>
          <w:p>
            <w:pPr>
              <w:pStyle w:val="Compact"/>
              <w:jc w:val="left"/>
            </w:pPr>
            <w:r>
              <w:t xml:space="preserve">2023</w:t>
            </w:r>
          </w:p>
        </w:tc>
        <w:tc>
          <w:tcPr/>
          <w:p>
            <w:pPr>
              <w:pStyle w:val="Compact"/>
              <w:jc w:val="left"/>
            </w:pPr>
            <w:r>
              <w:t xml:space="preserve">14.240</w:t>
            </w:r>
          </w:p>
        </w:tc>
        <w:tc>
          <w:tcPr/>
          <w:p>
            <w:pPr>
              <w:pStyle w:val="Compact"/>
              <w:jc w:val="left"/>
            </w:pPr>
            <w:r>
              <w:t xml:space="preserve">+12,3 %</w:t>
            </w:r>
          </w:p>
        </w:tc>
        <w:tc>
          <w:tcPr/>
          <w:p>
            <w:pPr>
              <w:pStyle w:val="Compact"/>
              <w:jc w:val="left"/>
            </w:pPr>
            <w:r>
              <w:t xml:space="preserve">~+12 %</w:t>
            </w:r>
          </w:p>
        </w:tc>
      </w:tr>
      <w:tr>
        <w:tc>
          <w:tcPr/>
          <w:p>
            <w:pPr>
              <w:pStyle w:val="Compact"/>
              <w:jc w:val="left"/>
            </w:pPr>
            <w:r>
              <w:t xml:space="preserve">2024</w:t>
            </w:r>
          </w:p>
        </w:tc>
        <w:tc>
          <w:tcPr/>
          <w:p>
            <w:pPr>
              <w:pStyle w:val="Compact"/>
              <w:jc w:val="left"/>
            </w:pPr>
            <w:r>
              <w:t xml:space="preserve">16.747</w:t>
            </w:r>
          </w:p>
        </w:tc>
        <w:tc>
          <w:tcPr/>
          <w:p>
            <w:pPr>
              <w:pStyle w:val="Compact"/>
              <w:jc w:val="left"/>
            </w:pPr>
            <w:r>
              <w:t xml:space="preserve">+17,6 %</w:t>
            </w:r>
          </w:p>
        </w:tc>
        <w:tc>
          <w:tcPr/>
          <w:p>
            <w:pPr>
              <w:pStyle w:val="Compact"/>
              <w:jc w:val="left"/>
            </w:pPr>
            <w:r>
              <w:t xml:space="preserve">+16,4 %</w:t>
            </w:r>
          </w:p>
        </w:tc>
      </w:tr>
      <w:tr>
        <w:tc>
          <w:tcPr/>
          <w:p>
            <w:pPr>
              <w:pStyle w:val="Compact"/>
              <w:jc w:val="left"/>
            </w:pPr>
            <w:r>
              <w:t xml:space="preserve">2025</w:t>
            </w:r>
          </w:p>
        </w:tc>
        <w:tc>
          <w:tcPr/>
          <w:p>
            <w:pPr>
              <w:pStyle w:val="Compact"/>
              <w:jc w:val="left"/>
            </w:pPr>
            <w:r>
              <w:t xml:space="preserve">20.074</w:t>
            </w:r>
          </w:p>
        </w:tc>
        <w:tc>
          <w:tcPr/>
          <w:p>
            <w:pPr>
              <w:pStyle w:val="Compact"/>
              <w:jc w:val="left"/>
            </w:pPr>
            <w:r>
              <w:t xml:space="preserve">+19,9 %</w:t>
            </w:r>
          </w:p>
        </w:tc>
        <w:tc>
          <w:tcPr/>
          <w:p>
            <w:pPr>
              <w:pStyle w:val="Compact"/>
              <w:jc w:val="left"/>
            </w:pPr>
            <w:r>
              <w:t xml:space="preserve">+15,8 %</w:t>
            </w:r>
          </w:p>
        </w:tc>
      </w:tr>
      <w:tr>
        <w:tc>
          <w:tcPr/>
          <w:p>
            <w:pPr>
              <w:pStyle w:val="Compact"/>
              <w:jc w:val="left"/>
            </w:pPr>
            <w:r>
              <w:t xml:space="preserve">2026 (guía del 29-jul, ya retirada en la práctica)</w:t>
            </w:r>
          </w:p>
        </w:tc>
        <w:tc>
          <w:tcPr/>
          <w:p>
            <w:pPr>
              <w:pStyle w:val="Compact"/>
              <w:jc w:val="left"/>
            </w:pPr>
            <w:r>
              <w:t xml:space="preserve">21.178-21.379</w:t>
            </w:r>
          </w:p>
        </w:tc>
        <w:tc>
          <w:tcPr/>
          <w:p>
            <w:pPr>
              <w:pStyle w:val="Compact"/>
              <w:jc w:val="left"/>
            </w:pPr>
            <w:r>
              <w:t xml:space="preserve">+5,5-6,5 %</w:t>
            </w:r>
          </w:p>
        </w:tc>
        <w:tc>
          <w:tcPr/>
          <w:p>
            <w:pPr>
              <w:pStyle w:val="Compact"/>
              <w:jc w:val="left"/>
            </w:pPr>
            <w:r>
              <w:t xml:space="preserve">+5-6 %</w:t>
            </w:r>
          </w:p>
        </w:tc>
      </w:tr>
    </w:tbl>
    <w:p>
      <w:pPr>
        <w:numPr>
          <w:ilvl w:val="0"/>
          <w:numId w:val="1002"/>
        </w:numPr>
        <w:pStyle w:val="Compact"/>
      </w:pPr>
      <w:r>
        <w:rPr>
          <w:bCs/>
          <w:b/>
        </w:rPr>
        <w:t xml:space="preserve">12 meses</w:t>
      </w:r>
      <w:r>
        <w:t xml:space="preserve"> </w:t>
      </w:r>
      <w:r>
        <w:t xml:space="preserve">(3T25-2T26):</w:t>
      </w:r>
      <w:r>
        <w:t xml:space="preserve"> </w:t>
      </w:r>
      <w:r>
        <w:rPr>
          <w:bCs/>
          <w:b/>
        </w:rPr>
        <w:t xml:space="preserve">20.995 M USD</w:t>
      </w:r>
      <w:r>
        <w:t xml:space="preserve">, +13,5 % publicado y</w:t>
      </w:r>
      <w:r>
        <w:t xml:space="preserve"> </w:t>
      </w:r>
      <w:r>
        <w:rPr>
          <w:bCs/>
          <w:b/>
        </w:rPr>
        <w:t xml:space="preserve">~+10,9 % orgánico</w:t>
      </w:r>
      <w:r>
        <w:t xml:space="preserve">.</w:t>
      </w:r>
      <w:r>
        <w:t xml:space="preserve"> </w:t>
      </w:r>
      <w:r>
        <w:rPr>
          <w:bCs/>
          <w:b/>
        </w:rPr>
        <w:t xml:space="preserve">CAGR orgánico a 2 años: ~14,5 %</w:t>
      </w:r>
      <w:r>
        <w:t xml:space="preserve"> </w:t>
      </w:r>
      <w:r>
        <w:t xml:space="preserve">(17,4 % publicado) [3][5].</w:t>
      </w:r>
    </w:p>
    <w:p>
      <w:pPr>
        <w:numPr>
          <w:ilvl w:val="0"/>
          <w:numId w:val="1002"/>
        </w:numPr>
        <w:pStyle w:val="Compact"/>
      </w:pPr>
      <w:r>
        <w:rPr>
          <w:bCs/>
          <w:b/>
        </w:rPr>
        <w:t xml:space="preserve">Aceleración: −6,7 pp</w:t>
      </w:r>
      <w:r>
        <w:t xml:space="preserve"> </w:t>
      </w:r>
      <w:r>
        <w:t xml:space="preserve">(el +7,0 % del 2T26 frente a la media de +13,7 % de los cuatro anteriores). Es el cuarto trimestre seguido de frenazo.</w:t>
      </w:r>
    </w:p>
    <w:p>
      <w:pPr>
        <w:numPr>
          <w:ilvl w:val="0"/>
          <w:numId w:val="1002"/>
        </w:numPr>
        <w:pStyle w:val="Compact"/>
      </w:pPr>
      <w:r>
        <w:rPr>
          <w:bCs/>
          <w:b/>
        </w:rPr>
        <w:t xml:space="preserve">Por qué frena</w:t>
      </w:r>
      <w:r>
        <w:t xml:space="preserve">: EP EE. UU. +3 % (competencia en campo pulsado, que ya es el 80-85 % del mercado, así que el cambio de tecnología ya no empuja) y Watchman: los procedimientos aislados caen a doble dígito bajo y los concomitantes (un tercio, junto a la ablación) suben un 60 % pero frente a comparaciones más duras [6][8].</w:t>
      </w:r>
      <w:r>
        <w:t xml:space="preserve"> </w:t>
      </w:r>
      <w:r>
        <w:rPr>
          <w:bCs/>
          <w:b/>
        </w:rPr>
        <w:t xml:space="preserve">El resto del negocio (~3/4) crece ~6 %</w:t>
      </w:r>
      <w:r>
        <w:t xml:space="preserve"> </w:t>
      </w:r>
      <w:r>
        <w:t xml:space="preserve">[6].</w:t>
      </w:r>
    </w:p>
    <w:p>
      <w:pPr>
        <w:numPr>
          <w:ilvl w:val="0"/>
          <w:numId w:val="1002"/>
        </w:numPr>
        <w:pStyle w:val="Compact"/>
      </w:pPr>
      <w:r>
        <w:rPr>
          <w:bCs/>
          <w:b/>
        </w:rPr>
        <w:t xml:space="preserve">Guía</w:t>
      </w:r>
      <w:r>
        <w:t xml:space="preserve">: la anual se ha recortado</w:t>
      </w:r>
      <w:r>
        <w:t xml:space="preserve"> </w:t>
      </w:r>
      <w:r>
        <w:rPr>
          <w:bCs/>
          <w:b/>
        </w:rPr>
        <w:t xml:space="preserve">tres veces</w:t>
      </w:r>
      <w:r>
        <w:t xml:space="preserve"> </w:t>
      </w:r>
      <w:r>
        <w:t xml:space="preserve">en 2026: 10-11 % orgánico (4-feb, la acción −17,6 % ese día [15]), 6,5-8 % (22-abr), 5-6 % (29-jul) y, el 8-sep, «es poco probable» cumplirla por el ciberataque; la nueva llega el 28-oct [1][2][3]. La guía de julio implica</w:t>
      </w:r>
      <w:r>
        <w:t xml:space="preserve"> </w:t>
      </w:r>
      <w:r>
        <w:rPr>
          <w:bCs/>
          <w:b/>
        </w:rPr>
        <w:t xml:space="preserve">~+2,7 % en el 2S26</w:t>
      </w:r>
      <w:r>
        <w:t xml:space="preserve">, que es la que usa v9 (con su exceso medio de +1,0 pp sobre la guía trimestral, +3,7 %) [1].</w:t>
      </w:r>
    </w:p>
    <w:p>
      <w:pPr>
        <w:numPr>
          <w:ilvl w:val="0"/>
          <w:numId w:val="1002"/>
        </w:numPr>
        <w:pStyle w:val="Compact"/>
      </w:pPr>
      <w:r>
        <w:rPr>
          <w:bCs/>
          <w:b/>
        </w:rPr>
        <w:t xml:space="preserve">2027</w:t>
      </w:r>
      <w:r>
        <w:t xml:space="preserve">: la dirección espera «poco crecimiento del BPA», no supone crecimiento de Watchman y prevé que EP mejore en el 2S27; la recuperación fuerte, en 2028 [8].</w:t>
      </w:r>
    </w:p>
    <w:p>
      <w:pPr>
        <w:numPr>
          <w:ilvl w:val="0"/>
          <w:numId w:val="1002"/>
        </w:numPr>
        <w:pStyle w:val="Compact"/>
      </w:pPr>
      <w:r>
        <w:rPr>
          <w:bCs/>
          <w:b/>
        </w:rPr>
        <w:t xml:space="preserve">Compras</w:t>
      </w:r>
      <w:r>
        <w:t xml:space="preserve">: se usa el orgánico porque en 2025 las compras (Axonics, Silk Road, Bolt, SoniVie, Intera, Cortex) aportaron ~4 pp. En 12 meses aportan ~1,4 pp, y las divisas ~1,2 pp. Con cifras publicadas la puntuación sería 48,7, también por debajo de 50.</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~70.000 M USD (estimación propia de memoria, sin verificar: la empresa habla de mercados de 60.000-80.000 M que crecen ~7-8 %) [20].</w:t>
      </w:r>
      <w:r>
        <w:t xml:space="preserve"> </w:t>
      </w:r>
      <w:r>
        <w:rPr>
          <w:bCs/>
          <w:b/>
        </w:rPr>
        <w:t xml:space="preserve">Penetración: ~30 %</w:t>
      </w:r>
      <w:r>
        <w:t xml:space="preserve">. Con cualquier cifra por debajo de 105.000 M puntúa igual (1 de 5): es una empresa grande en mercados maduros, no una growth que empieza.</w:t>
      </w:r>
    </w:p>
    <w:p>
      <w:pPr>
        <w:numPr>
          <w:ilvl w:val="0"/>
          <w:numId w:val="1003"/>
        </w:numPr>
        <w:pStyle w:val="Compact"/>
      </w:pPr>
      <w:r>
        <w:rPr>
          <w:bCs/>
          <w:b/>
        </w:rPr>
        <w:t xml:space="preserve">Ablación de la FA (EP)</w:t>
      </w:r>
      <w:r>
        <w:t xml:space="preserve">: el mercado sigue creciendo a doble dígito por volumen, pero el campo pulsado ya es el estándar. Rivales:</w:t>
      </w:r>
      <w:r>
        <w:t xml:space="preserve"> </w:t>
      </w:r>
      <w:r>
        <w:rPr>
          <w:bCs/>
          <w:b/>
        </w:rPr>
        <w:t xml:space="preserve">Medtronic</w:t>
      </w:r>
      <w:r>
        <w:t xml:space="preserve"> </w:t>
      </w:r>
      <w:r>
        <w:t xml:space="preserve">(PulseSelect y Affera Sphere-9 con mapeo integrado),</w:t>
      </w:r>
      <w:r>
        <w:t xml:space="preserve"> </w:t>
      </w:r>
      <w:r>
        <w:rPr>
          <w:bCs/>
          <w:b/>
        </w:rPr>
        <w:t xml:space="preserve">J&amp;J</w:t>
      </w:r>
      <w:r>
        <w:t xml:space="preserve"> </w:t>
      </w:r>
      <w:r>
        <w:t xml:space="preserve">(Varipulse; ensayo cara a cara de VARIPULSE Pro contra Farapulse desde abril y, según TIKR, líder en unidades de EP en EE. UU. a finales de 2025) y</w:t>
      </w:r>
      <w:r>
        <w:t xml:space="preserve"> </w:t>
      </w:r>
      <w:r>
        <w:rPr>
          <w:bCs/>
          <w:b/>
        </w:rPr>
        <w:t xml:space="preserve">Abbott</w:t>
      </w:r>
      <w:r>
        <w:t xml:space="preserve"> </w:t>
      </w:r>
      <w:r>
        <w:t xml:space="preserve">(Volt) [9][20]. Un usuario de StockTwits leía hoy los resultados de J&amp;J como «malas noticias en cardio» para BSX [13].</w:t>
      </w:r>
    </w:p>
    <w:p>
      <w:pPr>
        <w:numPr>
          <w:ilvl w:val="0"/>
          <w:numId w:val="1003"/>
        </w:numPr>
        <w:pStyle w:val="Compact"/>
      </w:pPr>
      <w:r>
        <w:rPr>
          <w:bCs/>
          <w:b/>
        </w:rPr>
        <w:t xml:space="preserve">Orejuela (Watchman)</w:t>
      </w:r>
      <w:r>
        <w:t xml:space="preserve">: sin rival grande en EE. UU. hasta 2027 (la empresa espera uno nuevo ese año). Lo que frena no es la competencia sino la demanda: menos procedimientos aislados [8].</w:t>
      </w:r>
    </w:p>
    <w:p>
      <w:pPr>
        <w:numPr>
          <w:ilvl w:val="0"/>
          <w:numId w:val="1003"/>
        </w:numPr>
        <w:pStyle w:val="Compact"/>
      </w:pPr>
      <w:r>
        <w:rPr>
          <w:bCs/>
          <w:b/>
        </w:rPr>
        <w:t xml:space="preserve">Penumbra</w:t>
      </w:r>
      <w:r>
        <w:t xml:space="preserve"> </w:t>
      </w:r>
      <w:r>
        <w:t xml:space="preserve">(trombectomía venosa y arterial y neurovascular, ~1.400-1.500 M de ventas al ~13-15 %, de memoria [20]): subiría el crecimiento del grupo ~0,5-1 pp. La FTC pidió más información (16-mar); hay solapamiento con WOLF/AngioJet. BSX pagaría 900 M si no hay autorización [14][18].</w:t>
      </w:r>
    </w:p>
    <w:p>
      <w:pPr>
        <w:numPr>
          <w:ilvl w:val="0"/>
          <w:numId w:val="1003"/>
        </w:numPr>
        <w:pStyle w:val="Compact"/>
      </w:pPr>
      <w:r>
        <w:rPr>
          <w:bCs/>
          <w:b/>
        </w:rPr>
        <w:t xml:space="preserve">Por qué puede volver a ganar</w:t>
      </w:r>
      <w:r>
        <w:t xml:space="preserve">: base clínica (CHAMPION-AF, AVANT GUARD), catálogo de catéteres nuevos en 2027 y la mayor fuerza de venta del sector.</w:t>
      </w:r>
      <w:r>
        <w:t xml:space="preserve"> </w:t>
      </w:r>
      <w:r>
        <w:rPr>
          <w:bCs/>
          <w:b/>
        </w:rPr>
        <w:t xml:space="preserve">Por qué puede seguir perdiendo</w:t>
      </w:r>
      <w:r>
        <w:t xml:space="preserve">: el campo pulsado se ha convertido en un producto con varios proveedores, y los hospitales de EE. UU. compran plataformas completas (mapeo + catéter + ecografía), donde J&amp;J y Medtronic son fuertes.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Guía anual recortada tres veces y después «no se cumplirá». Objetivos recortados: Wells Fargo 50 → 48, Bernstein 60 → 54, Citi 50 → 48, Leerink 60 → 55, Mizuho 60 → 55 (23-sep a 12-oct).</w:t>
            </w:r>
          </w:p>
        </w:tc>
        <w:tc>
          <w:tcPr/>
          <w:p>
            <w:pPr>
              <w:pStyle w:val="Compact"/>
              <w:jc w:val="left"/>
            </w:pPr>
            <w:r>
              <w:t xml:space="preserve">[1][2][10]</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43,31 frente a 59,9 USD, y la media cae (75,5 → 65,1 → 59,9 en 60 sesiones).</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−31,4 % desde el 13-abr frente a +20,4 % del Nasdaq-100, +13,4 % del S&amp;P 500, −2,3 % del ETF de tecnología médica, +5,7 % de Medtronic.</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EV/EBITDA NTM en su mínimo de 3 años (~11,3-11,7x frente a 27x a mitad de 2025).</w:t>
            </w:r>
          </w:p>
        </w:tc>
        <w:tc>
          <w:tcPr/>
          <w:p>
            <w:pPr>
              <w:pStyle w:val="Compact"/>
              <w:jc w:val="left"/>
            </w:pPr>
            <w:r>
              <w:t xml:space="preserve">[7][11]</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El margen operativo GAAP sube 5,4 pp en el 2T26, pero por menos cargos y 83 M de devolución de aranceles; el ajustado, solo +0,7 pp, y la guía de margen es plana. Las ventas frenan.</w:t>
            </w:r>
          </w:p>
        </w:tc>
        <w:tc>
          <w:tcPr/>
          <w:p>
            <w:pPr>
              <w:pStyle w:val="Compact"/>
              <w:jc w:val="left"/>
            </w:pPr>
            <w:r>
              <w:t xml:space="preserve">[1][8]</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Sigue empeorando: recortes de objetivo en octubre y tono de capitulación en StockTwits. El consenso aún no ha capitulado (27 de 31 analistas en compra).</w:t>
            </w:r>
          </w:p>
        </w:tc>
        <w:tc>
          <w:tcPr/>
          <w:p>
            <w:pPr>
              <w:pStyle w:val="Compact"/>
              <w:jc w:val="left"/>
            </w:pPr>
            <w:r>
              <w:t xml:space="preserve">[10][13][15]</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rPr>
                <w:bCs/>
                <w:b/>
              </w:rPr>
              <w:t xml:space="preserve">Sí</w:t>
            </w:r>
          </w:p>
        </w:tc>
        <w:tc>
          <w:tcPr/>
          <w:p>
            <w:pPr>
              <w:pStyle w:val="Compact"/>
              <w:jc w:val="left"/>
            </w:pPr>
            <w:r>
              <w:t xml:space="preserve">El consejero delegado</w:t>
            </w:r>
            <w:r>
              <w:t xml:space="preserve"> </w:t>
            </w:r>
            <w:r>
              <w:rPr>
                <w:bCs/>
                <w:b/>
              </w:rPr>
              <w:t xml:space="preserve">Mike Mahoney compró 186.240 acciones a 48,33 USD (~9 M USD, 3-ago)</w:t>
            </w:r>
            <w:r>
              <w:t xml:space="preserve">. También compraron los consejeros Habiger, Ludwig, Morano y Pegus (may-ago). Es la señal más clara a favor.</w:t>
            </w:r>
          </w:p>
        </w:tc>
        <w:tc>
          <w:tcPr/>
          <w:p>
            <w:pPr>
              <w:pStyle w:val="Compact"/>
              <w:jc w:val="left"/>
            </w:pPr>
            <w:r>
              <w:t xml:space="preserve">[14]</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 (débil)</w:t>
            </w:r>
          </w:p>
        </w:tc>
        <w:tc>
          <w:tcPr/>
          <w:p>
            <w:pPr>
              <w:pStyle w:val="Compact"/>
              <w:jc w:val="left"/>
            </w:pPr>
            <w:r>
              <w:t xml:space="preserve">Nueva guía con el efecto del ciberataque el 28-oct, cierre de Penumbra en el 2S26 y datos de SIMPLAAFY. Lo que cambiaría la tesis (nuevos catéteres, etiqueta de CHAMPION-AF) llega en 2027.</w:t>
            </w:r>
          </w:p>
        </w:tc>
        <w:tc>
          <w:tcPr/>
          <w:p>
            <w:pPr>
              <w:pStyle w:val="Compact"/>
              <w:jc w:val="left"/>
            </w:pPr>
            <w:r>
              <w:t xml:space="preserve">[2][8][18]</w:t>
            </w:r>
          </w:p>
        </w:tc>
      </w:tr>
    </w:tbl>
    <w:p>
      <w:pPr>
        <w:pStyle w:val="BodyText"/>
      </w:pPr>
      <w:r>
        <w:rPr>
          <w:bCs/>
          <w:b/>
        </w:rPr>
        <w:t xml:space="preserve">Euforia: no</w:t>
      </w:r>
      <w:r>
        <w:t xml:space="preserve">: cae un 54 % en 12 meses. El patrón es el de Insulet: un «cuchillo que cae» con la valoración en mínimos, que el método evita a propósito hasta ver el giro.</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w:t>
      </w:r>
      <w:r>
        <w:t xml:space="preserve"> </w:t>
      </w:r>
      <w:r>
        <w:rPr>
          <w:bCs/>
          <w:b/>
        </w:rPr>
        <w:t xml:space="preserve">69,9 %</w:t>
      </w:r>
      <w:r>
        <w:t xml:space="preserve"> </w:t>
      </w:r>
      <w:r>
        <w:t xml:space="preserve">GAAP en 12 meses (70,3 % ajustado en el 2T26). La guía de 2026 lo deja por debajo de 2025 por la mezcla (menos Farapulse y Watchman, que tienen los márgenes más altos) [1][8].</w:t>
      </w:r>
    </w:p>
    <w:p>
      <w:pPr>
        <w:numPr>
          <w:ilvl w:val="0"/>
          <w:numId w:val="1004"/>
        </w:numPr>
        <w:pStyle w:val="Compact"/>
      </w:pPr>
      <w:r>
        <w:rPr>
          <w:bCs/>
          <w:b/>
        </w:rPr>
        <w:t xml:space="preserve">FCF de 12 meses</w:t>
      </w:r>
      <w:r>
        <w:t xml:space="preserve">: flujo operativo 4.529 − inversiones 904 =</w:t>
      </w:r>
      <w:r>
        <w:t xml:space="preserve"> </w:t>
      </w:r>
      <w:r>
        <w:rPr>
          <w:bCs/>
          <w:b/>
        </w:rPr>
        <w:t xml:space="preserve">3.625 M USD (17,3 %)</w:t>
      </w:r>
      <w:r>
        <w:t xml:space="preserve">, igual que en 2025 (3.658 M). Positivo, pero ya no crece [5].</w:t>
      </w:r>
    </w:p>
    <w:p>
      <w:pPr>
        <w:numPr>
          <w:ilvl w:val="0"/>
          <w:numId w:val="1004"/>
        </w:numPr>
        <w:pStyle w:val="Compact"/>
      </w:pPr>
      <w:r>
        <w:rPr>
          <w:bCs/>
          <w:b/>
        </w:rPr>
        <w:t xml:space="preserve">Regla del 40</w:t>
      </w:r>
      <w:r>
        <w:t xml:space="preserve">: 10,9 + 17,3 =</w:t>
      </w:r>
      <w:r>
        <w:t xml:space="preserve"> </w:t>
      </w:r>
      <w:r>
        <w:rPr>
          <w:bCs/>
          <w:b/>
        </w:rPr>
        <w:t xml:space="preserve">28,2</w:t>
      </w:r>
      <w:r>
        <w:t xml:space="preserve"> </w:t>
      </w:r>
      <w:r>
        <w:t xml:space="preserve">(con el crecimiento publicado, 30,8).</w:t>
      </w:r>
    </w:p>
    <w:p>
      <w:pPr>
        <w:numPr>
          <w:ilvl w:val="0"/>
          <w:numId w:val="1004"/>
        </w:numPr>
        <w:pStyle w:val="Compact"/>
      </w:pPr>
      <w:r>
        <w:rPr>
          <w:bCs/>
          <w:b/>
        </w:rPr>
        <w:t xml:space="preserve">Rentabilidad</w:t>
      </w:r>
      <w:r>
        <w:t xml:space="preserve">: margen operativo ajustado del 27,9 % y EBITDA ajustado de ~6.340 M (30,2 %) en 12 meses. Reestructuración 2026-2029: 700-800 M de cargos y ~500 M de ahorro anual desde 2027, «en buena parte reinvertidos» [4].</w:t>
      </w:r>
    </w:p>
    <w:p>
      <w:pPr>
        <w:numPr>
          <w:ilvl w:val="0"/>
          <w:numId w:val="1004"/>
        </w:numPr>
        <w:pStyle w:val="Compact"/>
      </w:pPr>
      <w:r>
        <w:rPr>
          <w:bCs/>
          <w:b/>
        </w:rPr>
        <w:t xml:space="preserve">Aranceles y regulación</w:t>
      </w:r>
      <w:r>
        <w:t xml:space="preserve">: en el 2T26 recuperó 83 M de aranceles IEEPA ya pagados («sustancialmente todo» lo esperado) [1][8]. Riesgos abiertos: aranceles sectoriales a dispositivos (sección 232, en estudio, de memoria [20]), cambios en ACA y Medicaid que, según Mizuho, pueden restar volumen de procedimientos [10], y la revisión de la cobertura de Watchman por los CMS [8].</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w:t>
      </w:r>
      <w:r>
        <w:t xml:space="preserve"> </w:t>
      </w:r>
      <w:r>
        <w:t xml:space="preserve">539 M;</w:t>
      </w:r>
      <w:r>
        <w:t xml:space="preserve"> </w:t>
      </w:r>
      <w:r>
        <w:rPr>
          <w:bCs/>
          <w:b/>
        </w:rPr>
        <w:t xml:space="preserve">deuda</w:t>
      </w:r>
      <w:r>
        <w:t xml:space="preserve"> </w:t>
      </w:r>
      <w:r>
        <w:t xml:space="preserve">12.624 M (1.709 a corto, sobre todo papel comercial, y 10.915 a largo).</w:t>
      </w:r>
      <w:r>
        <w:t xml:space="preserve"> </w:t>
      </w:r>
      <w:r>
        <w:rPr>
          <w:bCs/>
          <w:b/>
        </w:rPr>
        <w:t xml:space="preserve">Deuda neta ~12.100 M, ~1,9x el EBITDA</w:t>
      </w:r>
      <w:r>
        <w:t xml:space="preserve"> </w:t>
      </w:r>
      <w:r>
        <w:t xml:space="preserve">[1].</w:t>
      </w:r>
    </w:p>
    <w:p>
      <w:pPr>
        <w:numPr>
          <w:ilvl w:val="0"/>
          <w:numId w:val="1005"/>
        </w:numPr>
        <w:pStyle w:val="Compact"/>
      </w:pPr>
      <w:r>
        <w:rPr>
          <w:bCs/>
          <w:b/>
        </w:rPr>
        <w:t xml:space="preserve">Penumbra</w:t>
      </w:r>
      <w:r>
        <w:t xml:space="preserve">: ~11.000 M en efectivo y deuda nueva (préstamos puente de hasta 5.000 M ya firmados) y ~36 M de acciones nuevas (+2,5 %).</w:t>
      </w:r>
      <w:r>
        <w:t xml:space="preserve"> </w:t>
      </w:r>
      <w:r>
        <w:rPr>
          <w:bCs/>
          <w:b/>
        </w:rPr>
        <w:t xml:space="preserve">Pro forma: deuda neta ~23.000 M, ~3,4x el EBITDA</w:t>
      </w:r>
      <w:r>
        <w:t xml:space="preserve">, con un límite del contrato de crédito de 4,0x. Sin margen para más recompras en 2027 [1][14].</w:t>
      </w:r>
    </w:p>
    <w:p>
      <w:pPr>
        <w:numPr>
          <w:ilvl w:val="0"/>
          <w:numId w:val="1005"/>
        </w:numPr>
        <w:pStyle w:val="Compact"/>
      </w:pPr>
      <w:r>
        <w:rPr>
          <w:bCs/>
          <w:b/>
        </w:rPr>
        <w:t xml:space="preserve">Pista</w:t>
      </w:r>
      <w:r>
        <w:t xml:space="preserve">: FCF positivo; no hay quema.</w:t>
      </w:r>
    </w:p>
    <w:p>
      <w:pPr>
        <w:numPr>
          <w:ilvl w:val="0"/>
          <w:numId w:val="1005"/>
        </w:numPr>
        <w:pStyle w:val="Compact"/>
      </w:pPr>
      <w:r>
        <w:rPr>
          <w:bCs/>
          <w:b/>
        </w:rPr>
        <w:t xml:space="preserve">Dilución</w:t>
      </w:r>
      <w:r>
        <w:t xml:space="preserve">:</w:t>
      </w:r>
      <w:r>
        <w:t xml:space="preserve"> </w:t>
      </w:r>
      <w:r>
        <w:rPr>
          <w:bCs/>
          <w:b/>
        </w:rPr>
        <w:t xml:space="preserve">−2,8 %</w:t>
      </w:r>
      <w:r>
        <w:t xml:space="preserve"> </w:t>
      </w:r>
      <w:r>
        <w:t xml:space="preserve">en 12 meses por la recompra acelerada de 2.000 M a ~50 USD (más caro que hoy). Pagos en acciones ~1,5 % de las ventas, muy por debajo del límite rojo del 15 % [1][5].</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(2/5)</w:t>
      </w:r>
      <w:r>
        <w:t xml:space="preserve">: hasta 2025 era un ejemplo (batía su guía trimestral en 4-5 pp). En 2026 sigue batiendo la del trimestre por ~1 pp, pero</w:t>
      </w:r>
      <w:r>
        <w:t xml:space="preserve"> </w:t>
      </w:r>
      <w:r>
        <w:rPr>
          <w:bCs/>
          <w:b/>
        </w:rPr>
        <w:t xml:space="preserve">recortó la anual tres veces</w:t>
      </w:r>
      <w:r>
        <w:t xml:space="preserve"> </w:t>
      </w:r>
      <w:r>
        <w:t xml:space="preserve">y reconoce que no vio venir la pérdida de cuota («we did undercall the competitive pressures») ni el cambio en Watchman («market conditions have evolved quickly»). El ciberataque añade una duda de gestión: paró fábricas y envíos en todo el mundo [2][6][8].</w:t>
      </w:r>
    </w:p>
    <w:p>
      <w:pPr>
        <w:numPr>
          <w:ilvl w:val="0"/>
          <w:numId w:val="1006"/>
        </w:numPr>
        <w:pStyle w:val="Compact"/>
      </w:pPr>
      <w:r>
        <w:rPr>
          <w:bCs/>
          <w:b/>
        </w:rPr>
        <w:t xml:space="preserve">Dirección (3/5)</w:t>
      </w:r>
      <w:r>
        <w:t xml:space="preserve">: Mike Mahoney es consejero delegado desde 2012, con un historial excelente y</w:t>
      </w:r>
      <w:r>
        <w:t xml:space="preserve"> </w:t>
      </w:r>
      <w:r>
        <w:rPr>
          <w:bCs/>
          <w:b/>
        </w:rPr>
        <w:t xml:space="preserve">9 M USD de compra propia</w:t>
      </w:r>
      <w:r>
        <w:t xml:space="preserve"> </w:t>
      </w:r>
      <w:r>
        <w:t xml:space="preserve">en agosto. En febrero había vendido ~161.000 acciones a ~93,5 tras ejercer opciones. Habrá director de operaciones desde 2027 (Joe Fitzgerald, 36 años en la casa) y tres segmentos; Art Butcher se jubila [14][19]. En contra: compró Penumbra por 14.500 M en el pico de su propia acción (pagando sobre todo en efectivo) y recompró 2.000 M a ~50 USD.</w:t>
      </w:r>
    </w:p>
    <w:bookmarkEnd w:id="27"/>
    <w:bookmarkStart w:id="28" w:name="valoración"/>
    <w:p>
      <w:pPr>
        <w:pStyle w:val="Heading2"/>
      </w:pPr>
      <w:r>
        <w:t xml:space="preserve">9. Valoración</w:t>
      </w:r>
    </w:p>
    <w:p>
      <w:pPr>
        <w:pStyle w:val="FirstParagraph"/>
      </w:pPr>
      <w:r>
        <w:rPr>
          <w:bCs/>
          <w:b/>
        </w:rPr>
        <w:t xml:space="preserve">Ejercicio objetivo: 2028</w:t>
      </w:r>
      <w:r>
        <w:t xml:space="preserve"> </w:t>
      </w:r>
      <w:r>
        <w:t xml:space="preserve">(ventas de los 12 meses siguientes dentro de un año).</w:t>
      </w:r>
      <w:r>
        <w:t xml:space="preserve"> </w:t>
      </w:r>
      <w:r>
        <w:rPr>
          <w:bCs/>
          <w:b/>
        </w:rPr>
        <w:t xml:space="preserve">Métrica: EV/EBITDA ajustado NTM</w:t>
      </w:r>
      <w:r>
        <w:t xml:space="preserve">, porque la empresa es rentable de forma estable. El código traduce el múltiplo a ventas con el margen EBITDA implícito de hoy (~29,4 %).</w:t>
      </w:r>
    </w:p>
    <w:p>
      <w:pPr>
        <w:numPr>
          <w:ilvl w:val="0"/>
          <w:numId w:val="1007"/>
        </w:numPr>
        <w:pStyle w:val="Compact"/>
      </w:pPr>
      <w:r>
        <w:rPr>
          <w:bCs/>
          <w:b/>
        </w:rPr>
        <w:t xml:space="preserve">EV de hoy</w:t>
      </w:r>
      <w:r>
        <w:t xml:space="preserve">: 43,31 × 1.450 + 12.624 − 539 =</w:t>
      </w:r>
      <w:r>
        <w:t xml:space="preserve"> </w:t>
      </w:r>
      <w:r>
        <w:rPr>
          <w:bCs/>
          <w:b/>
        </w:rPr>
        <w:t xml:space="preserve">74.885 M USD</w:t>
      </w:r>
      <w:r>
        <w:t xml:space="preserve"> </w:t>
      </w:r>
      <w:r>
        <w:t xml:space="preserve">(StockAnalysis: 73.720 M a 42,53).</w:t>
      </w:r>
    </w:p>
    <w:p>
      <w:pPr>
        <w:numPr>
          <w:ilvl w:val="0"/>
          <w:numId w:val="1007"/>
        </w:numPr>
        <w:pStyle w:val="Compact"/>
      </w:pPr>
      <w:r>
        <w:rPr>
          <w:bCs/>
          <w:b/>
        </w:rPr>
        <w:t xml:space="preserve">NTM</w:t>
      </w:r>
      <w:r>
        <w:t xml:space="preserve">: ventas ~21.772 M (+3,7 %), EBITDA ajustado ~6.420 M.</w:t>
      </w:r>
      <w:r>
        <w:t xml:space="preserve"> </w:t>
      </w:r>
      <w:r>
        <w:rPr>
          <w:bCs/>
          <w:b/>
        </w:rPr>
        <w:t xml:space="preserve">EV/EBITDA 11,7x; EV/ventas 3,4x; EV/beneficio bruto 4,9x</w:t>
      </w:r>
      <w:r>
        <w:t xml:space="preserve"> </w:t>
      </w:r>
      <w:r>
        <w:t xml:space="preserve">(el filtro es ≤ 35x: no es la valoración lo que frena).</w:t>
      </w:r>
    </w:p>
    <w:p>
      <w:pPr>
        <w:numPr>
          <w:ilvl w:val="0"/>
          <w:numId w:val="1007"/>
        </w:numPr>
        <w:pStyle w:val="Compact"/>
      </w:pPr>
      <w:r>
        <w:rPr>
          <w:bCs/>
          <w:b/>
        </w:rPr>
        <w:t xml:space="preserve">Mediana de 3 años: ~22,2x</w:t>
      </w:r>
      <w:r>
        <w:t xml:space="preserve"> </w:t>
      </w:r>
      <w:r>
        <w:t xml:space="preserve">(18-27x de 2023 a 2025);</w:t>
      </w:r>
      <w:r>
        <w:t xml:space="preserve"> </w:t>
      </w:r>
      <w:r>
        <w:rPr>
          <w:bCs/>
          <w:b/>
        </w:rPr>
        <w:t xml:space="preserve">mínimo ~11,3x</w:t>
      </w:r>
      <w:r>
        <w:t xml:space="preserve"> </w:t>
      </w:r>
      <w:r>
        <w:t xml:space="preserve">(7-oct-2026).</w:t>
      </w:r>
      <w:r>
        <w:t xml:space="preserve"> </w:t>
      </w:r>
      <w:r>
        <w:rPr>
          <w:bCs/>
          <w:b/>
        </w:rPr>
        <w:t xml:space="preserve">Comparables: ~14,5x NTM</w:t>
      </w:r>
      <w:r>
        <w:t xml:space="preserve"> </w:t>
      </w:r>
      <w:r>
        <w:t xml:space="preserve">(Medtronic ~12,5-13x, Stryker ~15-16x, Abbott ~16x) [11][17].</w:t>
      </w:r>
    </w:p>
    <w:p>
      <w:pPr>
        <w:numPr>
          <w:ilvl w:val="0"/>
          <w:numId w:val="1007"/>
        </w:numPr>
        <w:pStyle w:val="Compact"/>
      </w:pPr>
      <w:r>
        <w:rPr>
          <w:bCs/>
          <w:b/>
        </w:rPr>
        <w:t xml:space="preserve">Desaceleración</w:t>
      </w:r>
      <w:r>
        <w:t xml:space="preserve">: +3,7 % NTM y +3,1 % en 2028 (la regla) → factor 0,92.</w:t>
      </w:r>
      <w:r>
        <w:t xml:space="preserve"> </w:t>
      </w:r>
      <w:r>
        <w:rPr>
          <w:bCs/>
          <w:b/>
        </w:rPr>
        <w:t xml:space="preserve">Probabilidades 35/50/15</w:t>
      </w:r>
      <w:r>
        <w:t xml:space="preserve"> </w:t>
      </w:r>
      <w:r>
        <w:t xml:space="preserve">por ejecución dudosa (tres recortes de guía y el ciberataque).</w:t>
      </w:r>
    </w:p>
    <w:p>
      <w:pPr>
        <w:pStyle w:val="FirstParagraph"/>
      </w:pPr>
      <w:r>
        <w:rPr>
          <w:bCs/>
          <w:b/>
        </w:rPr>
        <w:t xml:space="preserve">v9 (vigente)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(35 %)</w:t>
            </w:r>
          </w:p>
        </w:tc>
        <w:tc>
          <w:tcPr/>
          <w:p>
            <w:pPr>
              <w:pStyle w:val="Compact"/>
              <w:jc w:val="left"/>
            </w:pPr>
            <w:r>
              <w:t xml:space="preserve">21.720</w:t>
            </w:r>
          </w:p>
        </w:tc>
        <w:tc>
          <w:tcPr/>
          <w:p>
            <w:pPr>
              <w:pStyle w:val="Compact"/>
              <w:jc w:val="left"/>
            </w:pPr>
            <w:r>
              <w:t xml:space="preserve">6,4x</w:t>
            </w:r>
          </w:p>
        </w:tc>
        <w:tc>
          <w:tcPr/>
          <w:p>
            <w:pPr>
              <w:pStyle w:val="Compact"/>
              <w:jc w:val="left"/>
            </w:pPr>
            <w:r>
              <w:t xml:space="preserve">20,5</w:t>
            </w:r>
          </w:p>
        </w:tc>
        <w:tc>
          <w:tcPr/>
          <w:p>
            <w:pPr>
              <w:pStyle w:val="Compact"/>
              <w:jc w:val="left"/>
            </w:pPr>
            <w:r>
              <w:t xml:space="preserve">−52,6 %</w:t>
            </w:r>
          </w:p>
        </w:tc>
      </w:tr>
      <w:tr>
        <w:tc>
          <w:tcPr/>
          <w:p>
            <w:pPr>
              <w:pStyle w:val="Compact"/>
              <w:jc w:val="left"/>
            </w:pPr>
            <w:r>
              <w:t xml:space="preserve">Base (50 %)</w:t>
            </w:r>
          </w:p>
        </w:tc>
        <w:tc>
          <w:tcPr/>
          <w:p>
            <w:pPr>
              <w:pStyle w:val="Compact"/>
              <w:jc w:val="left"/>
            </w:pPr>
            <w:r>
              <w:t xml:space="preserve">22.457</w:t>
            </w:r>
          </w:p>
        </w:tc>
        <w:tc>
          <w:tcPr/>
          <w:p>
            <w:pPr>
              <w:pStyle w:val="Compact"/>
              <w:jc w:val="left"/>
            </w:pPr>
            <w:r>
              <w:t xml:space="preserve">10,7x</w:t>
            </w:r>
          </w:p>
        </w:tc>
        <w:tc>
          <w:tcPr/>
          <w:p>
            <w:pPr>
              <w:pStyle w:val="Compact"/>
              <w:jc w:val="left"/>
            </w:pPr>
            <w:r>
              <w:t xml:space="preserve">41,6</w:t>
            </w:r>
          </w:p>
        </w:tc>
        <w:tc>
          <w:tcPr/>
          <w:p>
            <w:pPr>
              <w:pStyle w:val="Compact"/>
              <w:jc w:val="left"/>
            </w:pPr>
            <w:r>
              <w:t xml:space="preserve">−4,0 %</w:t>
            </w:r>
          </w:p>
        </w:tc>
      </w:tr>
      <w:tr>
        <w:tc>
          <w:tcPr/>
          <w:p>
            <w:pPr>
              <w:pStyle w:val="Compact"/>
              <w:jc w:val="left"/>
            </w:pPr>
            <w:r>
              <w:t xml:space="preserve">Alcista (15 %)</w:t>
            </w:r>
          </w:p>
        </w:tc>
        <w:tc>
          <w:tcPr/>
          <w:p>
            <w:pPr>
              <w:pStyle w:val="Compact"/>
              <w:jc w:val="left"/>
            </w:pPr>
            <w:r>
              <w:t xml:space="preserve">22.755</w:t>
            </w:r>
          </w:p>
        </w:tc>
        <w:tc>
          <w:tcPr/>
          <w:p>
            <w:pPr>
              <w:pStyle w:val="Compact"/>
              <w:jc w:val="left"/>
            </w:pPr>
            <w:r>
              <w:t xml:space="preserve">17,1x</w:t>
            </w:r>
          </w:p>
        </w:tc>
        <w:tc>
          <w:tcPr/>
          <w:p>
            <w:pPr>
              <w:pStyle w:val="Compact"/>
              <w:jc w:val="left"/>
            </w:pPr>
            <w:r>
              <w:t xml:space="preserve">72,8</w:t>
            </w:r>
          </w:p>
        </w:tc>
        <w:tc>
          <w:tcPr/>
          <w:p>
            <w:pPr>
              <w:pStyle w:val="Compact"/>
              <w:jc w:val="left"/>
            </w:pPr>
            <w:r>
              <w:t xml:space="preserve">+68,0 %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38,9</w:t>
            </w:r>
          </w:p>
        </w:tc>
        <w:tc>
          <w:tcPr/>
          <w:p>
            <w:pPr>
              <w:pStyle w:val="Compact"/>
              <w:jc w:val="left"/>
            </w:pPr>
            <w:r>
              <w:rPr>
                <w:bCs/>
                <w:b/>
              </w:rPr>
              <w:t xml:space="preserve">−10,2 %</w:t>
            </w:r>
          </w:p>
        </w:tc>
      </w:tr>
    </w:tbl>
    <w:p>
      <w:pPr>
        <w:pStyle w:val="BodyText"/>
      </w:pPr>
      <w:r>
        <w:rPr>
          <w:bCs/>
          <w:b/>
        </w:rPr>
        <w:t xml:space="preserve">v7 (referencia)</w:t>
      </w:r>
      <w:r>
        <w:t xml:space="preserve">, que proyecta desde el pasado (+11,7 % de partida): ventas 23.333 / 25.794 / 26.813 M, precios 22,7 / 49,0 / 87,3 USD,</w:t>
      </w:r>
      <w:r>
        <w:t xml:space="preserve"> </w:t>
      </w:r>
      <w:r>
        <w:rPr>
          <w:bCs/>
          <w:b/>
        </w:rPr>
        <w:t xml:space="preserve">ponderada +5,1 %</w:t>
      </w:r>
      <w:r>
        <w:t xml:space="preserve">, base +13,2 %, bajista −47,6 %. También sale</w:t>
      </w:r>
      <w:r>
        <w:t xml:space="preserve"> </w:t>
      </w:r>
      <w:r>
        <w:rPr>
          <w:bCs/>
          <w:b/>
        </w:rPr>
        <w:t xml:space="preserve">Vender</w:t>
      </w:r>
      <w:r>
        <w:t xml:space="preserve">, porque la puntuación es 46.</w:t>
      </w:r>
    </w:p>
    <w:p>
      <w:pPr>
        <w:pStyle w:val="BodyText"/>
      </w:pPr>
      <w:r>
        <w:t xml:space="preserve">Acciones dentro de 12 meses: 1.409 M (−2,8 %). Asimetría 1,3 (v9) y 2,1 (v7).</w:t>
      </w:r>
      <w:r>
        <w:t xml:space="preserve"> </w:t>
      </w:r>
      <w:r>
        <w:rPr>
          <w:bCs/>
          <w:b/>
        </w:rPr>
        <w:t xml:space="preserve">Compra hasta 37,0 USD (v9)</w:t>
      </w:r>
      <w:r>
        <w:t xml:space="preserve"> </w:t>
      </w:r>
      <w:r>
        <w:t xml:space="preserve">y 43,4 USD (v7), solo aplicable si la puntuación llegara a 60.</w:t>
      </w:r>
    </w:p>
    <w:p>
      <w:pPr>
        <w:pStyle w:val="BodyText"/>
      </w:pPr>
      <w:r>
        <w:rPr>
          <w:bCs/>
          <w:b/>
        </w:rPr>
        <w:t xml:space="preserve">Sensibilidad (v9, todas siguen en Vender por la puntuación)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Supuesto</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r>
      <w:tr>
        <w:tc>
          <w:tcPr/>
          <w:p>
            <w:pPr>
              <w:pStyle w:val="Compact"/>
              <w:jc w:val="left"/>
            </w:pPr>
            <w:r>
              <w:t xml:space="preserve">Regla (guía del 2S26 +2,7 % + exceso, 35/50/15)</w:t>
            </w:r>
          </w:p>
        </w:tc>
        <w:tc>
          <w:tcPr/>
          <w:p>
            <w:pPr>
              <w:pStyle w:val="Compact"/>
              <w:jc w:val="left"/>
            </w:pPr>
            <w:r>
              <w:t xml:space="preserve">−10,2 %</w:t>
            </w:r>
          </w:p>
        </w:tc>
        <w:tc>
          <w:tcPr/>
          <w:p>
            <w:pPr>
              <w:pStyle w:val="Compact"/>
              <w:jc w:val="left"/>
            </w:pPr>
            <w:r>
              <w:t xml:space="preserve">−4,0 %</w:t>
            </w:r>
          </w:p>
        </w:tc>
        <w:tc>
          <w:tcPr/>
          <w:p>
            <w:pPr>
              <w:pStyle w:val="Compact"/>
              <w:jc w:val="left"/>
            </w:pPr>
            <w:r>
              <w:t xml:space="preserve">−52,6 %</w:t>
            </w:r>
          </w:p>
        </w:tc>
      </w:tr>
      <w:tr>
        <w:tc>
          <w:tcPr/>
          <w:p>
            <w:pPr>
              <w:pStyle w:val="Compact"/>
              <w:jc w:val="left"/>
            </w:pPr>
            <w:r>
              <w:t xml:space="preserve">Probabilidades 25/50/25</w:t>
            </w:r>
          </w:p>
        </w:tc>
        <w:tc>
          <w:tcPr/>
          <w:p>
            <w:pPr>
              <w:pStyle w:val="Compact"/>
              <w:jc w:val="left"/>
            </w:pPr>
            <w:r>
              <w:t xml:space="preserve">+1,9 %</w:t>
            </w:r>
          </w:p>
        </w:tc>
        <w:tc>
          <w:tcPr/>
          <w:p>
            <w:pPr>
              <w:pStyle w:val="Compact"/>
              <w:jc w:val="left"/>
            </w:pPr>
            <w:r>
              <w:t xml:space="preserve">−4,0 %</w:t>
            </w:r>
          </w:p>
        </w:tc>
        <w:tc>
          <w:tcPr/>
          <w:p>
            <w:pPr>
              <w:pStyle w:val="Compact"/>
              <w:jc w:val="left"/>
            </w:pPr>
            <w:r>
              <w:t xml:space="preserve">−52,6 %</w:t>
            </w:r>
          </w:p>
        </w:tc>
      </w:tr>
      <w:tr>
        <w:tc>
          <w:tcPr/>
          <w:p>
            <w:pPr>
              <w:pStyle w:val="Compact"/>
              <w:jc w:val="left"/>
            </w:pPr>
            <w:r>
              <w:t xml:space="preserve">Guía anual (+5,5 %) + exceso, 35/50/15</w:t>
            </w:r>
          </w:p>
        </w:tc>
        <w:tc>
          <w:tcPr/>
          <w:p>
            <w:pPr>
              <w:pStyle w:val="Compact"/>
              <w:jc w:val="left"/>
            </w:pPr>
            <w:r>
              <w:t xml:space="preserve">−5,0 %</w:t>
            </w:r>
          </w:p>
        </w:tc>
        <w:tc>
          <w:tcPr/>
          <w:p>
            <w:pPr>
              <w:pStyle w:val="Compact"/>
              <w:jc w:val="left"/>
            </w:pPr>
            <w:r>
              <w:t xml:space="preserve">+1,9 %</w:t>
            </w:r>
          </w:p>
        </w:tc>
        <w:tc>
          <w:tcPr/>
          <w:p>
            <w:pPr>
              <w:pStyle w:val="Compact"/>
              <w:jc w:val="left"/>
            </w:pPr>
            <w:r>
              <w:t xml:space="preserve">−50,9 %</w:t>
            </w:r>
          </w:p>
        </w:tc>
      </w:tr>
      <w:tr>
        <w:tc>
          <w:tcPr/>
          <w:p>
            <w:pPr>
              <w:pStyle w:val="Compact"/>
              <w:jc w:val="left"/>
            </w:pPr>
            <w:r>
              <w:t xml:space="preserve">Guía anual + exceso, 25/50/25</w:t>
            </w:r>
          </w:p>
        </w:tc>
        <w:tc>
          <w:tcPr/>
          <w:p>
            <w:pPr>
              <w:pStyle w:val="Compact"/>
              <w:jc w:val="left"/>
            </w:pPr>
            <w:r>
              <w:t xml:space="preserve">+8,1 %</w:t>
            </w:r>
          </w:p>
        </w:tc>
        <w:tc>
          <w:tcPr/>
          <w:p>
            <w:pPr>
              <w:pStyle w:val="Compact"/>
              <w:jc w:val="left"/>
            </w:pPr>
            <w:r>
              <w:t xml:space="preserve">+1,9 %</w:t>
            </w:r>
          </w:p>
        </w:tc>
        <w:tc>
          <w:tcPr/>
          <w:p>
            <w:pPr>
              <w:pStyle w:val="Compact"/>
              <w:jc w:val="left"/>
            </w:pPr>
            <w:r>
              <w:t xml:space="preserve">−50,9 %</w:t>
            </w:r>
          </w:p>
        </w:tc>
      </w:tr>
      <w:tr>
        <w:tc>
          <w:tcPr/>
          <w:p>
            <w:pPr>
              <w:pStyle w:val="Compact"/>
              <w:jc w:val="left"/>
            </w:pPr>
            <w:r>
              <w:t xml:space="preserve">Proyección propia (+3 % y +6 %), sin la regla</w:t>
            </w:r>
          </w:p>
        </w:tc>
        <w:tc>
          <w:tcPr/>
          <w:p>
            <w:pPr>
              <w:pStyle w:val="Compact"/>
              <w:jc w:val="left"/>
            </w:pPr>
            <w:r>
              <w:t xml:space="preserve">~+2 % (cálculo a mano)</w:t>
            </w:r>
          </w:p>
        </w:tc>
        <w:tc>
          <w:tcPr/>
          <w:p>
            <w:pPr>
              <w:pStyle w:val="Compact"/>
              <w:jc w:val="left"/>
            </w:pPr>
            <w:r>
              <w:t xml:space="preserve">−1,6 %</w:t>
            </w:r>
          </w:p>
        </w:tc>
        <w:tc>
          <w:tcPr/>
          <w:p>
            <w:pPr>
              <w:pStyle w:val="Compact"/>
              <w:jc w:val="left"/>
            </w:pPr>
            <w:r>
              <w:t xml:space="preserve">—</w:t>
            </w:r>
          </w:p>
        </w:tc>
      </w:tr>
    </w:tbl>
    <w:p>
      <w:pPr>
        <w:numPr>
          <w:ilvl w:val="0"/>
          <w:numId w:val="1008"/>
        </w:numPr>
        <w:pStyle w:val="Compact"/>
      </w:pPr>
      <w:r>
        <w:rPr>
          <w:bCs/>
          <w:b/>
        </w:rPr>
        <w:t xml:space="preserve">Lectura</w:t>
      </w:r>
      <w:r>
        <w:t xml:space="preserve">: incluso en el caso amable la ponderada ronda el +8 %. Comprar al 11,7x solo da para un</w:t>
      </w:r>
      <w:r>
        <w:t xml:space="preserve"> </w:t>
      </w:r>
      <w:r>
        <w:rPr>
          <w:bCs/>
          <w:b/>
        </w:rPr>
        <w:t xml:space="preserve">+2 % en el base</w:t>
      </w:r>
      <w:r>
        <w:t xml:space="preserve"> </w:t>
      </w:r>
      <w:r>
        <w:t xml:space="preserve">si el múltiplo no vuelve a subir. Hoy el dinero solo se gana si el múltiplo vuelve hacia su historia (el alcista a 17x), y eso exige primero el giro que no se ve.</w:t>
      </w:r>
    </w:p>
    <w:p>
      <w:pPr>
        <w:numPr>
          <w:ilvl w:val="0"/>
          <w:numId w:val="1008"/>
        </w:numPr>
        <w:pStyle w:val="Compact"/>
      </w:pPr>
      <w:r>
        <w:rPr>
          <w:bCs/>
          <w:b/>
        </w:rPr>
        <w:t xml:space="preserve">Penumbra (contraste, no entra en el cálculo)</w:t>
      </w:r>
      <w:r>
        <w:t xml:space="preserve">: añade ~1.450 M de ventas que crecen al ~13 % y ~300-350 M de EBITDA (de memoria [20]) a cambio de ~12.600 M de EV (precio de hoy de las acciones que se emiten). Lo paga a ~36-40x EBITDA, así que</w:t>
      </w:r>
      <w:r>
        <w:t xml:space="preserve"> </w:t>
      </w:r>
      <w:r>
        <w:rPr>
          <w:bCs/>
          <w:b/>
        </w:rPr>
        <w:t xml:space="preserve">diluye el valor por acción a corto plazo</w:t>
      </w:r>
      <w:r>
        <w:t xml:space="preserve"> </w:t>
      </w:r>
      <w:r>
        <w:t xml:space="preserve">aunque suba el crecimiento del grupo ~0,5-1 pp.</w:t>
      </w:r>
    </w:p>
    <w:p>
      <w:pPr>
        <w:numPr>
          <w:ilvl w:val="0"/>
          <w:numId w:val="1008"/>
        </w:numPr>
        <w:pStyle w:val="Compact"/>
      </w:pPr>
      <w:r>
        <w:rPr>
          <w:bCs/>
          <w:b/>
        </w:rPr>
        <w:t xml:space="preserve">Consenso</w:t>
      </w:r>
      <w:r>
        <w:t xml:space="preserve">: objetivo medio de 59,55 USD (StockAnalysis, 31 analistas, «Buy») o 68,60 (MarketBeat). Los recortes recientes están en 48-55 [10][17]. Consenso de ventas de 2028: no encontrado (null).</w:t>
      </w:r>
    </w:p>
    <w:p>
      <w:pPr>
        <w:numPr>
          <w:ilvl w:val="0"/>
          <w:numId w:val="1008"/>
        </w:numPr>
        <w:pStyle w:val="Compact"/>
      </w:pPr>
      <w:r>
        <w:rPr>
          <w:bCs/>
          <w:b/>
        </w:rPr>
        <w:t xml:space="preserve">DCF inverso</w:t>
      </w:r>
      <w:r>
        <w:t xml:space="preserve">: con WACC del 9 %, margen FCF del 17,3 % y crecimiento terminal del 3 %, el precio descuenta</w:t>
      </w:r>
      <w:r>
        <w:t xml:space="preserve"> </w:t>
      </w:r>
      <w:r>
        <w:rPr>
          <w:bCs/>
          <w:b/>
        </w:rPr>
        <w:t xml:space="preserve">~5,4 % anual durante 10 años</w:t>
      </w:r>
      <w:r>
        <w:t xml:space="preserve"> </w:t>
      </w:r>
      <w:r>
        <w:t xml:space="preserve">(7,3 % con margen del 15 %; 3,5 % con el 20 %). Es poco para una empresa que crecía al 15 %, pero es justo lo que crece hoy.</w:t>
      </w:r>
    </w:p>
    <w:bookmarkEnd w:id="28"/>
    <w:bookmarkStart w:id="29" w:name="foros-y-sentimiento"/>
    <w:p>
      <w:pPr>
        <w:pStyle w:val="Heading2"/>
      </w:pPr>
      <w:r>
        <w:t xml:space="preserve">10. Foros y sentimiento</w:t>
      </w:r>
    </w:p>
    <w:p>
      <w:pPr>
        <w:numPr>
          <w:ilvl w:val="0"/>
          <w:numId w:val="1009"/>
        </w:numPr>
        <w:pStyle w:val="Compact"/>
      </w:pPr>
      <w:r>
        <w:rPr>
          <w:bCs/>
          <w:b/>
        </w:rPr>
        <w:t xml:space="preserve">Prensa y analistas</w:t>
      </w:r>
      <w:r>
        <w:t xml:space="preserve">: el relato pasó de «la mejor growth del sector» (2025) a «perdió más de la mitad de su valor» [15]. Los analistas siguen mayoritariamente en compra (27 de 31) pero bajan objetivos cada semana: es una capitulación lenta, no completa [10][15].</w:t>
      </w:r>
    </w:p>
    <w:p>
      <w:pPr>
        <w:numPr>
          <w:ilvl w:val="0"/>
          <w:numId w:val="1009"/>
        </w:numPr>
        <w:pStyle w:val="Compact"/>
      </w:pPr>
      <w:r>
        <w:rPr>
          <w:bCs/>
          <w:b/>
        </w:rPr>
        <w:t xml:space="preserve">StockTwits</w:t>
      </w:r>
      <w:r>
        <w:t xml:space="preserve"> </w:t>
      </w:r>
      <w:r>
        <w:t xml:space="preserve">(14-oct): 8 alcistas y 22 sin etiqueta de 30 mensajes, ninguno bajista etiquetado. El tono es de cansancio («back to being garbage», «same story every day», «might be another 2019-2023 waiting period») con cazadores de suelo («first add 42.25», soporte en 42) y quejas de que el sector sube y BSX no [13].</w:t>
      </w:r>
    </w:p>
    <w:p>
      <w:pPr>
        <w:numPr>
          <w:ilvl w:val="0"/>
          <w:numId w:val="1009"/>
        </w:numPr>
        <w:pStyle w:val="Compact"/>
      </w:pPr>
      <w:r>
        <w:rPr>
          <w:bCs/>
          <w:b/>
        </w:rPr>
        <w:t xml:space="preserve">Reddit</w:t>
      </w:r>
      <w:r>
        <w:t xml:space="preserve">: la API respondió «Blocked».</w:t>
      </w:r>
      <w:r>
        <w:t xml:space="preserve"> </w:t>
      </w:r>
      <w:r>
        <w:rPr>
          <w:bCs/>
          <w:b/>
        </w:rPr>
        <w:t xml:space="preserve">Laguna.</w:t>
      </w:r>
    </w:p>
    <w:p>
      <w:pPr>
        <w:numPr>
          <w:ilvl w:val="0"/>
          <w:numId w:val="1009"/>
        </w:numPr>
        <w:pStyle w:val="Compact"/>
      </w:pPr>
      <w:r>
        <w:rPr>
          <w:bCs/>
          <w:b/>
        </w:rPr>
        <w:t xml:space="preserve">Seeking Alpha</w:t>
      </w:r>
      <w:r>
        <w:t xml:space="preserve">: de pago, no leído.</w:t>
      </w:r>
      <w:r>
        <w:t xml:space="preserve"> </w:t>
      </w:r>
      <w:r>
        <w:rPr>
          <w:bCs/>
          <w:b/>
        </w:rPr>
        <w:t xml:space="preserve">Laguna.</w:t>
      </w:r>
    </w:p>
    <w:p>
      <w:pPr>
        <w:numPr>
          <w:ilvl w:val="0"/>
          <w:numId w:val="1009"/>
        </w:numPr>
        <w:pStyle w:val="Compact"/>
      </w:pPr>
      <w:r>
        <w:rPr>
          <w:bCs/>
          <w:b/>
        </w:rPr>
        <w:t xml:space="preserve">En castellano</w:t>
      </w:r>
      <w:r>
        <w:t xml:space="preserve">: TIKR ES cubre la caída por el ciberataque (−6 %) y el desplome del 4-feb (−17,6 %). No se encontraron hilos en Rankia ni en Investing.com ES.</w:t>
      </w:r>
      <w:r>
        <w:t xml:space="preserve"> </w:t>
      </w:r>
      <w:r>
        <w:rPr>
          <w:bCs/>
          <w:b/>
        </w:rPr>
        <w:t xml:space="preserve">Laguna parcial</w:t>
      </w:r>
      <w:r>
        <w:t xml:space="preserve"> </w:t>
      </w:r>
      <w:r>
        <w:t xml:space="preserve">[12][15].</w:t>
      </w:r>
    </w:p>
    <w:p>
      <w:pPr>
        <w:numPr>
          <w:ilvl w:val="0"/>
          <w:numId w:val="1009"/>
        </w:numPr>
        <w:pStyle w:val="Compact"/>
      </w:pPr>
      <w:r>
        <w:rPr>
          <w:bCs/>
          <w:b/>
        </w:rPr>
        <w:t xml:space="preserve">Contraste con los datos</w:t>
      </w:r>
      <w:r>
        <w:t xml:space="preserve">: el pesimismo va con los datos, no por delante. Las ventas frenan trimestre a trimestre y la guía se recorta. Sin euforia y sin capitulación total de los analistas: si el 28-oct trae una guía de 2027 floja, aún queda gente por convencer de vender.</w:t>
      </w:r>
    </w:p>
    <w:bookmarkEnd w:id="29"/>
    <w:bookmarkStart w:id="30" w:name="riesgos-y-qué-rompería-la-tesis"/>
    <w:p>
      <w:pPr>
        <w:pStyle w:val="Heading2"/>
      </w:pPr>
      <w:r>
        <w:t xml:space="preserve">11. Riesgos y qué rompería la tesis</w:t>
      </w:r>
    </w:p>
    <w:p>
      <w:pPr>
        <w:numPr>
          <w:ilvl w:val="0"/>
          <w:numId w:val="1010"/>
        </w:numPr>
        <w:pStyle w:val="Compact"/>
      </w:pPr>
      <w:r>
        <w:rPr>
          <w:bCs/>
          <w:b/>
        </w:rPr>
        <w:t xml:space="preserve">Cuota en ablación (EP)</w:t>
      </w:r>
      <w:r>
        <w:t xml:space="preserve">: el campo pulsado ya es un producto con varios proveedores y los rivales venden plataformas completas. El EP de EE. UU. caerá en el 3T según la propia empresa [8].</w:t>
      </w:r>
    </w:p>
    <w:p>
      <w:pPr>
        <w:numPr>
          <w:ilvl w:val="0"/>
          <w:numId w:val="1010"/>
        </w:numPr>
        <w:pStyle w:val="Compact"/>
      </w:pPr>
      <w:r>
        <w:rPr>
          <w:bCs/>
          <w:b/>
        </w:rPr>
        <w:t xml:space="preserve">Watchman</w:t>
      </w:r>
      <w:r>
        <w:t xml:space="preserve">: los procedimientos aislados caen y la empresa no supone crecimiento en 2027. El alcista depende de la etiqueta y la cobertura por CHAMPION-AF, sin fecha [8].</w:t>
      </w:r>
    </w:p>
    <w:p>
      <w:pPr>
        <w:numPr>
          <w:ilvl w:val="0"/>
          <w:numId w:val="1010"/>
        </w:numPr>
        <w:pStyle w:val="Compact"/>
      </w:pPr>
      <w:r>
        <w:rPr>
          <w:bCs/>
          <w:b/>
        </w:rPr>
        <w:t xml:space="preserve">Ciberataque</w:t>
      </w:r>
      <w:r>
        <w:t xml:space="preserve">: impacto aún sin cuantificar, posibles pérdidas de clientes en hospitales que cambien de proveedor, demandas y costes [2].</w:t>
      </w:r>
    </w:p>
    <w:p>
      <w:pPr>
        <w:numPr>
          <w:ilvl w:val="0"/>
          <w:numId w:val="1010"/>
        </w:numPr>
        <w:pStyle w:val="Compact"/>
      </w:pPr>
      <w:r>
        <w:rPr>
          <w:bCs/>
          <w:b/>
        </w:rPr>
        <w:t xml:space="preserve">Penumbra</w:t>
      </w:r>
      <w:r>
        <w:t xml:space="preserve">: ~11.000 M de deuda en el peor momento, deuda neta ~3,4x el EBITDA, riesgo de desinversiones por la FTC o 900 M de comisión si no se autoriza [14][18].</w:t>
      </w:r>
    </w:p>
    <w:p>
      <w:pPr>
        <w:numPr>
          <w:ilvl w:val="0"/>
          <w:numId w:val="1010"/>
        </w:numPr>
        <w:pStyle w:val="Compact"/>
      </w:pPr>
      <w:r>
        <w:rPr>
          <w:bCs/>
          <w:b/>
        </w:rPr>
        <w:t xml:space="preserve">Aranceles y reembolso</w:t>
      </w:r>
      <w:r>
        <w:t xml:space="preserve">: posible arancel sectorial a dispositivos, cambios en ACA y Medicaid [10][20].</w:t>
      </w:r>
    </w:p>
    <w:p>
      <w:pPr>
        <w:numPr>
          <w:ilvl w:val="0"/>
          <w:numId w:val="1010"/>
        </w:numPr>
        <w:pStyle w:val="Compact"/>
      </w:pPr>
      <w:r>
        <w:rPr>
          <w:bCs/>
          <w:b/>
        </w:rPr>
        <w:t xml:space="preserve">Reversión del sentimiento</w:t>
      </w:r>
      <w:r>
        <w:t xml:space="preserve">: la acción ya ha caído un 54 %, pero el consenso aún es comprador: otro recorte puede llevar a una oleada de rebajas.</w:t>
      </w:r>
    </w:p>
    <w:p>
      <w:pPr>
        <w:pStyle w:val="FirstParagraph"/>
      </w:pPr>
      <w:r>
        <w:rPr>
          <w:bCs/>
          <w:b/>
        </w:rPr>
        <w:t xml:space="preserve">Qué la haría pasar a Comprar</w:t>
      </w:r>
      <w:r>
        <w:t xml:space="preserve"> </w:t>
      </w:r>
      <w:r>
        <w:t xml:space="preserve">(hoy le faltan 14 puntos para 60):</w:t>
      </w:r>
      <w:r>
        <w:t xml:space="preserve"> </w:t>
      </w:r>
      <w:r>
        <w:t xml:space="preserve">- un 3T y una guía de 2027 que estabilicen el EP de EE. UU. (revisiones al alza);</w:t>
      </w:r>
      <w:r>
        <w:t xml:space="preserve"> </w:t>
      </w:r>
      <w:r>
        <w:t xml:space="preserve">- el precio por encima de una media de 200 que deje de caer, fuerza relativa positiva y el múltiplo un 20 % sobre el mínimo (≥ ~14x, ~52-53 USD);</w:t>
      </w:r>
      <w:r>
        <w:t xml:space="preserve"> </w:t>
      </w:r>
      <w:r>
        <w:t xml:space="preserve">- el crecimiento orgánico volviendo al 8-10 %.</w:t>
      </w:r>
    </w:p>
    <w:p>
      <w:pPr>
        <w:pStyle w:val="BodyText"/>
      </w:pPr>
      <w:r>
        <w:t xml:space="preserve">Con eso sumaría 4-5 señales (+10-12,5 puntos) y mejoraría el bloque de crecimiento.</w:t>
      </w:r>
      <w:r>
        <w:t xml:space="preserve"> </w:t>
      </w:r>
      <w:r>
        <w:rPr>
          <w:bCs/>
          <w:b/>
        </w:rPr>
        <w:t xml:space="preserve">Señales de venta para quien la tenga</w:t>
      </w:r>
      <w:r>
        <w:t xml:space="preserve">: guía orgánica de 2027 por debajo del 5 %, EP de EE. UU. en caída dos trimestres seguidos, Watchman en caída en 2027 o deuda neta pro forma por encima de 3,5x sin plan de desapalancamiento.</w:t>
      </w:r>
    </w:p>
    <w:bookmarkEnd w:id="30"/>
    <w:bookmarkStart w:id="31" w:name="catalizadores-con-fecha"/>
    <w:p>
      <w:pPr>
        <w:pStyle w:val="Heading2"/>
      </w:pPr>
      <w:r>
        <w:t xml:space="preserve">12. Catalizadores con fecha</w:t>
      </w:r>
    </w:p>
    <w:p>
      <w:pPr>
        <w:numPr>
          <w:ilvl w:val="0"/>
          <w:numId w:val="1011"/>
        </w:numPr>
        <w:pStyle w:val="Compact"/>
      </w:pPr>
      <w:r>
        <w:rPr>
          <w:bCs/>
          <w:b/>
        </w:rPr>
        <w:t xml:space="preserve">28-oct-2026</w:t>
      </w:r>
      <w:r>
        <w:t xml:space="preserve">: resultados del 3T26 y guía 2026 rehecha con el ciberataque. Quizá primeras pistas de 2027 [2].</w:t>
      </w:r>
    </w:p>
    <w:p>
      <w:pPr>
        <w:numPr>
          <w:ilvl w:val="0"/>
          <w:numId w:val="1011"/>
        </w:numPr>
        <w:pStyle w:val="Compact"/>
      </w:pPr>
      <w:r>
        <w:rPr>
          <w:bCs/>
          <w:b/>
        </w:rPr>
        <w:t xml:space="preserve">2S26</w:t>
      </w:r>
      <w:r>
        <w:t xml:space="preserve">: cierre de Penumbra (FTC) y datos de SIMPLAAFY (Watchman) [8][18].</w:t>
      </w:r>
    </w:p>
    <w:p>
      <w:pPr>
        <w:numPr>
          <w:ilvl w:val="0"/>
          <w:numId w:val="1011"/>
        </w:numPr>
        <w:pStyle w:val="Compact"/>
      </w:pPr>
      <w:r>
        <w:rPr>
          <w:bCs/>
          <w:b/>
        </w:rPr>
        <w:t xml:space="preserve">Febrero de 2027</w:t>
      </w:r>
      <w:r>
        <w:t xml:space="preserve">: guía de 2027, la prueba de si el frenazo toca fondo.</w:t>
      </w:r>
    </w:p>
    <w:p>
      <w:pPr>
        <w:numPr>
          <w:ilvl w:val="0"/>
          <w:numId w:val="1011"/>
        </w:numPr>
        <w:pStyle w:val="Compact"/>
      </w:pPr>
      <w:r>
        <w:rPr>
          <w:bCs/>
          <w:b/>
        </w:rPr>
        <w:t xml:space="preserve">2027</w:t>
      </w:r>
      <w:r>
        <w:t xml:space="preserve">: ahorros de la reestructuración, posible etiqueta de Watchman por CHAMPION-AF y un rival nuevo en orejuela [4][8].</w:t>
      </w:r>
    </w:p>
    <w:p>
      <w:pPr>
        <w:numPr>
          <w:ilvl w:val="0"/>
          <w:numId w:val="1011"/>
        </w:numPr>
        <w:pStyle w:val="Compact"/>
      </w:pPr>
      <w:r>
        <w:rPr>
          <w:bCs/>
          <w:b/>
        </w:rPr>
        <w:t xml:space="preserve">2S27</w:t>
      </w:r>
      <w:r>
        <w:t xml:space="preserve">: FARAWAVE Ultra, entrada en ecografía intracardiaca y FARAFLEX (ensayo FARADIGM) [1][8].</w:t>
      </w:r>
    </w:p>
    <w:bookmarkEnd w:id="31"/>
    <w:bookmarkStart w:id="32" w:name="encaje-en-cartera"/>
    <w:p>
      <w:pPr>
        <w:pStyle w:val="Heading2"/>
      </w:pPr>
      <w:r>
        <w:t xml:space="preserve">13. Encaje en cartera</w:t>
      </w:r>
    </w:p>
    <w:p>
      <w:pPr>
        <w:numPr>
          <w:ilvl w:val="0"/>
          <w:numId w:val="1012"/>
        </w:numPr>
        <w:pStyle w:val="Compact"/>
      </w:pPr>
      <w:r>
        <w:rPr>
          <w:bCs/>
          <w:b/>
        </w:rPr>
        <w:t xml:space="preserve">Frente al bolsillo growth</w:t>
      </w:r>
      <w:r>
        <w:t xml:space="preserve"> </w:t>
      </w:r>
      <w:r>
        <w:t xml:space="preserve">(</w:t>
      </w:r>
      <w:r>
        <w:rPr>
          <w:rStyle w:val="VerbatimChar"/>
        </w:rPr>
        <w:t xml:space="preserve">informes-growth/cartera-growth.md</w:t>
      </w:r>
      <w:r>
        <w:t xml:space="preserve">): está</w:t>
      </w:r>
      <w:r>
        <w:t xml:space="preserve"> </w:t>
      </w:r>
      <w:r>
        <w:rPr>
          <w:bCs/>
          <w:b/>
        </w:rPr>
        <w:t xml:space="preserve">lleno (~20 %)</w:t>
      </w:r>
      <w:r>
        <w:t xml:space="preserve"> </w:t>
      </w:r>
      <w:r>
        <w:t xml:space="preserve">con Nu, argenx, Shopify, Axon y Snowflake. Las más flojas son Shopify (≈ +18 % al precio de hoy) y Snowflake (≈ +16 %), y la liquidez es de ≈ 27 EUR, así que solo cabe sustituir.</w:t>
      </w:r>
      <w:r>
        <w:t xml:space="preserve"> </w:t>
      </w:r>
      <w:r>
        <w:rPr>
          <w:bCs/>
          <w:b/>
        </w:rPr>
        <w:t xml:space="preserve">Boston Scientific sale Vender / no comprar (46 puntos, ponderada −10 % con v9 y +5 % con v7): no sustituye a ninguna y no entra en la lista de suplentes</w:t>
      </w:r>
      <w:r>
        <w:t xml:space="preserve"> </w:t>
      </w:r>
      <w:r>
        <w:t xml:space="preserve">(Samsara, Datadog, Natera, MongoDB, Toast, Zscaler, Dexcom). Aunque llegara a Comprar, su ponderada en el caso más amable (+8 %) quedaría por debajo de las dos más flojas del bolsillo y de casi todos los suplentes.</w:t>
      </w:r>
    </w:p>
    <w:p>
      <w:pPr>
        <w:numPr>
          <w:ilvl w:val="0"/>
          <w:numId w:val="1012"/>
        </w:numPr>
        <w:pStyle w:val="Compact"/>
      </w:pPr>
      <w:r>
        <w:rPr>
          <w:bCs/>
          <w:b/>
        </w:rPr>
        <w:t xml:space="preserve">Frente a la cartera value</w:t>
      </w:r>
      <w:r>
        <w:t xml:space="preserve"> </w:t>
      </w:r>
      <w:r>
        <w:t xml:space="preserve">(</w:t>
      </w:r>
      <w:r>
        <w:rPr>
          <w:rStyle w:val="VerbatimChar"/>
        </w:rPr>
        <w:t xml:space="preserve">MEMORIA.md</w:t>
      </w:r>
      <w:r>
        <w:t xml:space="preserve">): la venta de Alphabet de mañana no cambia nada aquí (BSX no aporta exposición a IA). Como tecnología médica se solaparía con Dexcom (suplente growth) y con Coloplast (lista de espera value).</w:t>
      </w:r>
      <w:r>
        <w:t xml:space="preserve"> </w:t>
      </w:r>
      <w:r>
        <w:rPr>
          <w:bCs/>
          <w:b/>
        </w:rPr>
        <w:t xml:space="preserve">Como idea value de recuperación sí puede tener sentido</w:t>
      </w:r>
      <w:r>
        <w:t xml:space="preserve">: PER adelantado ~13x, FCF del ~5 % sobre la capitalización, el consejero delegado comprando y el múltiplo en mínimos de 3 años. Pero eso lo debe decir el método value (ROIC − WACC, PER objetivo), no este.</w:t>
      </w:r>
      <w:r>
        <w:t xml:space="preserve"> </w:t>
      </w:r>
      <w:r>
        <w:rPr>
          <w:bCs/>
          <w:b/>
        </w:rPr>
        <w:t xml:space="preserve">Propuesta: pasarla a la cola value</w:t>
      </w:r>
      <w:r>
        <w:t xml:space="preserve"> </w:t>
      </w:r>
      <w:r>
        <w:t xml:space="preserve">y mirarla tras los resultados del 28-oct, cuando se sepa el efecto del ciberataque y la guía de 2027.</w:t>
      </w:r>
    </w:p>
    <w:p>
      <w:pPr>
        <w:numPr>
          <w:ilvl w:val="0"/>
          <w:numId w:val="1012"/>
        </w:numPr>
        <w:pStyle w:val="Compact"/>
      </w:pPr>
      <w:r>
        <w:rPr>
          <w:bCs/>
          <w:b/>
        </w:rPr>
        <w:t xml:space="preserve">Riesgo de IA</w:t>
      </w:r>
      <w:r>
        <w:t xml:space="preserve">: bajo. Son dispositivos implantables y catéteres con ensayos clínicos y aprobaciones de la FDA; la IA no los sustituye (ayuda en mapeo e imagen, donde BSX también invierte). El riesgo de esta empresa es de competencia y de ejecución, no de IA.</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5,0</w:t>
            </w:r>
          </w:p>
        </w:tc>
        <w:tc>
          <w:tcPr/>
          <w:p>
            <w:pPr>
              <w:pStyle w:val="Compact"/>
              <w:jc w:val="left"/>
            </w:pPr>
            <w:r>
              <w:t xml:space="preserve">25</w:t>
            </w:r>
          </w:p>
        </w:tc>
        <w:tc>
          <w:tcPr/>
          <w:p>
            <w:pPr>
              <w:pStyle w:val="Compact"/>
              <w:jc w:val="left"/>
            </w:pPr>
            <w:r>
              <w:t xml:space="preserve">Ventas 12 m +10,9 % orgánico (1/5), CAGR 2 años 14,5 % (1/5), aceleración −6,7 pp (1/5)</w:t>
            </w:r>
          </w:p>
        </w:tc>
      </w:tr>
      <w:tr>
        <w:tc>
          <w:tcPr/>
          <w:p>
            <w:pPr>
              <w:pStyle w:val="Compact"/>
              <w:jc w:val="left"/>
            </w:pPr>
            <w:r>
              <w:t xml:space="preserve">B. Mercado y tecnología</w:t>
            </w:r>
          </w:p>
        </w:tc>
        <w:tc>
          <w:tcPr/>
          <w:p>
            <w:pPr>
              <w:pStyle w:val="Compact"/>
              <w:jc w:val="left"/>
            </w:pPr>
            <w:r>
              <w:t xml:space="preserve">12,0</w:t>
            </w:r>
          </w:p>
        </w:tc>
        <w:tc>
          <w:tcPr/>
          <w:p>
            <w:pPr>
              <w:pStyle w:val="Compact"/>
              <w:jc w:val="left"/>
            </w:pPr>
            <w:r>
              <w:t xml:space="preserve">20</w:t>
            </w:r>
          </w:p>
        </w:tc>
        <w:tc>
          <w:tcPr/>
          <w:p>
            <w:pPr>
              <w:pStyle w:val="Compact"/>
              <w:jc w:val="left"/>
            </w:pPr>
            <w:r>
              <w:t xml:space="preserve">Penetración ~30 % (1/5), tecnología 4/5, posición 4/5</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 de 8 señales (compras del consejero delegado y catalizador débil), sin euforia</w:t>
            </w:r>
          </w:p>
        </w:tc>
      </w:tr>
      <w:tr>
        <w:tc>
          <w:tcPr/>
          <w:p>
            <w:pPr>
              <w:pStyle w:val="Compact"/>
              <w:jc w:val="left"/>
            </w:pPr>
            <w:r>
              <w:t xml:space="preserve">D. Economía unitaria</w:t>
            </w:r>
          </w:p>
        </w:tc>
        <w:tc>
          <w:tcPr/>
          <w:p>
            <w:pPr>
              <w:pStyle w:val="Compact"/>
              <w:jc w:val="left"/>
            </w:pPr>
            <w:r>
              <w:t xml:space="preserve">9,0</w:t>
            </w:r>
          </w:p>
        </w:tc>
        <w:tc>
          <w:tcPr/>
          <w:p>
            <w:pPr>
              <w:pStyle w:val="Compact"/>
              <w:jc w:val="left"/>
            </w:pPr>
            <w:r>
              <w:t xml:space="preserve">15</w:t>
            </w:r>
          </w:p>
        </w:tc>
        <w:tc>
          <w:tcPr/>
          <w:p>
            <w:pPr>
              <w:pStyle w:val="Compact"/>
              <w:jc w:val="left"/>
            </w:pPr>
            <w:r>
              <w:t xml:space="preserve">Margen bruto 69,9 % (4/5), regla del 40 = 28,2 (1/5), FCF positivo pero plano (4/5)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(5/5), dilución −2,8 % (5/5)</w:t>
            </w:r>
          </w:p>
        </w:tc>
      </w:tr>
      <w:tr>
        <w:tc>
          <w:tcPr/>
          <w:p>
            <w:pPr>
              <w:pStyle w:val="Compact"/>
              <w:jc w:val="left"/>
            </w:pPr>
            <w:r>
              <w:t xml:space="preserve">F. Ejecución y dirección</w:t>
            </w:r>
          </w:p>
        </w:tc>
        <w:tc>
          <w:tcPr/>
          <w:p>
            <w:pPr>
              <w:pStyle w:val="Compact"/>
              <w:jc w:val="left"/>
            </w:pPr>
            <w:r>
              <w:t xml:space="preserve">5,0</w:t>
            </w:r>
          </w:p>
        </w:tc>
        <w:tc>
          <w:tcPr/>
          <w:p>
            <w:pPr>
              <w:pStyle w:val="Compact"/>
              <w:jc w:val="left"/>
            </w:pPr>
            <w:r>
              <w:t xml:space="preserve">10</w:t>
            </w:r>
          </w:p>
        </w:tc>
        <w:tc>
          <w:tcPr/>
          <w:p>
            <w:pPr>
              <w:pStyle w:val="Compact"/>
              <w:jc w:val="left"/>
            </w:pPr>
            <w:r>
              <w:t xml:space="preserve">Historial 2/5, dirección 3/5</w:t>
            </w:r>
          </w:p>
        </w:tc>
      </w:tr>
      <w:tr>
        <w:tc>
          <w:tcPr/>
          <w:p>
            <w:pPr>
              <w:pStyle w:val="Compact"/>
              <w:jc w:val="left"/>
            </w:pPr>
            <w:r>
              <w:rPr>
                <w:bCs/>
                <w:b/>
              </w:rPr>
              <w:t xml:space="preserve">Total</w:t>
            </w:r>
          </w:p>
        </w:tc>
        <w:tc>
          <w:tcPr/>
          <w:p>
            <w:pPr>
              <w:pStyle w:val="Compact"/>
              <w:jc w:val="left"/>
            </w:pPr>
            <w:r>
              <w:rPr>
                <w:bCs/>
                <w:b/>
              </w:rPr>
              <w:t xml:space="preserve">46,0</w:t>
            </w:r>
          </w:p>
        </w:tc>
        <w:tc>
          <w:tcPr/>
          <w:p>
            <w:pPr>
              <w:pStyle w:val="Compact"/>
              <w:jc w:val="left"/>
            </w:pPr>
            <w:r>
              <w:rPr>
                <w:bCs/>
                <w:b/>
              </w:rPr>
              <w:t xml:space="preserve">100</w:t>
            </w:r>
          </w:p>
        </w:tc>
        <w:tc>
          <w:tcPr/>
          <w:p>
            <w:pPr>
              <w:pStyle w:val="Compact"/>
              <w:jc w:val="left"/>
            </w:pPr>
            <w:r>
              <w:rPr>
                <w:bCs/>
                <w:b/>
              </w:rPr>
              <w:t xml:space="preserve">Vender / no comprar: puntuación &lt; 50</w:t>
            </w:r>
            <w:r>
              <w:t xml:space="preserve"> </w:t>
            </w:r>
            <w:r>
              <w:t xml:space="preserve">(igual con v7; con crecimientos publicados, 48,7)</w:t>
            </w:r>
          </w:p>
        </w:tc>
      </w:tr>
    </w:tbl>
    <w:p>
      <w:pPr>
        <w:pStyle w:val="BodyText"/>
      </w:pPr>
      <w:r>
        <w:rPr>
          <w:bCs/>
          <w:b/>
        </w:rPr>
        <w:t xml:space="preserve">Mejora de método detectada (para el backtest, no aplicada)</w:t>
      </w:r>
      <w:r>
        <w:t xml:space="preserve">: v9 toma como guía de 12 meses la implícita en lo que queda del año. Aquí ese semestre incluye un</w:t>
      </w:r>
      <w:r>
        <w:t xml:space="preserve"> </w:t>
      </w:r>
      <w:r>
        <w:rPr>
          <w:bCs/>
          <w:b/>
        </w:rPr>
        <w:t xml:space="preserve">hecho que no se repite</w:t>
      </w:r>
      <w:r>
        <w:t xml:space="preserve"> </w:t>
      </w:r>
      <w:r>
        <w:t xml:space="preserve">(el ciberataque) y la guía de julio ya está retirada. La proyección parte entonces del +3,7 %, cuando el año siguiente probablemente recupere parte de lo perdido. Propuesta: si la guía restante incluye un hecho declarado único (ciberataque, retirada de producto, huelga), usar la guía</w:t>
      </w:r>
      <w:r>
        <w:t xml:space="preserve"> </w:t>
      </w:r>
      <w:r>
        <w:rPr>
          <w:bCs/>
          <w:b/>
        </w:rPr>
        <w:t xml:space="preserve">anual</w:t>
      </w:r>
      <w:r>
        <w:t xml:space="preserve"> </w:t>
      </w:r>
      <w:r>
        <w:t xml:space="preserve">orgánica (aquí +5,5 %) y decirlo en</w:t>
      </w:r>
      <w:r>
        <w:t xml:space="preserve"> </w:t>
      </w:r>
      <w:r>
        <w:rPr>
          <w:rStyle w:val="VerbatimChar"/>
        </w:rPr>
        <w:t xml:space="preserve">nota_guia</w:t>
      </w:r>
      <w:r>
        <w:t xml:space="preserve">. Aquí no cambia la señal (sección 9).</w:t>
      </w:r>
      <w:r>
        <w:t xml:space="preserve"> </w:t>
      </w:r>
      <w:r>
        <w:rPr>
          <w:bCs/>
          <w:b/>
        </w:rPr>
        <w:t xml:space="preserve">Cuidado</w:t>
      </w:r>
      <w:r>
        <w:t xml:space="preserve">: no debe servir para saltarse los recortes de guía por motivos de negocio, que son la mayor parte del frenazo de BSX.</w:t>
      </w:r>
    </w:p>
    <w:bookmarkEnd w:id="33"/>
    <w:bookmarkStart w:id="34" w:name="fuentes"/>
    <w:p>
      <w:pPr>
        <w:pStyle w:val="Heading2"/>
      </w:pPr>
      <w:r>
        <w:t xml:space="preserve">Fuentes</w:t>
      </w:r>
    </w:p>
    <w:p>
      <w:pPr>
        <w:pStyle w:val="FirstParagraph"/>
      </w:pPr>
      <w:r>
        <w:t xml:space="preserve">[1] Boston Scientific, resultados del 2T 2026 (29-jul-2026), 8-K ex. 99.1, y 10-Q del 2T26, SEC (leídos directamente): ventas por negocio y región, márgenes, guía, balance, recompra, MiRus y Penumbra.</w:t>
      </w:r>
      <w:r>
        <w:t xml:space="preserve"> </w:t>
      </w:r>
      <w:r>
        <w:t xml:space="preserve">[2] Boston Scientific, 8-K del 26-ago-2026 y 8-K ítem 1.05 del 8-sep-2026 (incidente de ciberseguridad; guía 2026 que «es poco probable» cumplir), SEC.</w:t>
      </w:r>
      <w:r>
        <w:t xml:space="preserve"> </w:t>
      </w:r>
      <w:r>
        <w:t xml:space="preserve">[3] Boston Scientific, resultados del 1T26, 4T25 y año 2025, 3T25, 2T25, 1T25, 4T24, 3T24, 2T24 y 2023 (8-K ex. 99.1, SEC): crecimiento publicado y orgánico, guías, beneficio operativo ajustado, CHAMPION-AF, ADVENT LTO.</w:t>
      </w:r>
      <w:r>
        <w:t xml:space="preserve"> </w:t>
      </w:r>
      <w:r>
        <w:t xml:space="preserve">[4] Boston Scientific, 8-K del 21-jul-2026 (plan de reestructuración 2026), SEC.</w:t>
      </w:r>
      <w:r>
        <w:t xml:space="preserve"> </w:t>
      </w:r>
      <w:r>
        <w:t xml:space="preserve">[5] SEC XBRL companyfacts (CIK 885725): ventas, márgenes, flujo de caja, inversiones, amortizaciones, deuda, caja y acciones de 2022 a jun-2026.</w:t>
      </w:r>
      <w:r>
        <w:t xml:space="preserve"> </w:t>
      </w:r>
      <w:r>
        <w:t xml:space="preserve">[6] MedTech Dive, «Boston Scientific again cuts 2026 guidance» (29-jul-2026).</w:t>
      </w:r>
      <w:r>
        <w:t xml:space="preserve"> </w:t>
      </w:r>
      <w:r>
        <w:t xml:space="preserve">[7] Yahoo Finance chart API (BSX y comparables, diario a 5 años e intradía del 14-oct-2026); medias de 200 sesiones calculadas.</w:t>
      </w:r>
      <w:r>
        <w:t xml:space="preserve"> </w:t>
      </w:r>
      <w:r>
        <w:t xml:space="preserve">[8] Investing.com, transcripción de la llamada del 2T 2026 (29-jul-2026).</w:t>
      </w:r>
      <w:r>
        <w:t xml:space="preserve"> </w:t>
      </w:r>
      <w:r>
        <w:t xml:space="preserve">[9] J&amp;J (abr-2026: ensayo cara a cara VARIPULSE Pro frente a Farapulse); TIKR (cuota de EP de J&amp;J); MDDI (jul-2026, declaraciones de Mahoney).</w:t>
      </w:r>
      <w:r>
        <w:t xml:space="preserve"> </w:t>
      </w:r>
      <w:r>
        <w:t xml:space="preserve">[10] MarketBeat, ad-hoc-news y Pluang (23-sep a 12-oct-2026): recortes de objetivo de Wells Fargo, Bernstein, Citi, Leerink y Mizuho; consenso MarketBeat.</w:t>
      </w:r>
      <w:r>
        <w:t xml:space="preserve"> </w:t>
      </w:r>
      <w:r>
        <w:t xml:space="preserve">[11] Cálculo propio: EBITDA ajustado trimestral, EV/EBITDA NTM histórico, DCF inverso.</w:t>
      </w:r>
      <w:r>
        <w:t xml:space="preserve"> </w:t>
      </w:r>
      <w:r>
        <w:t xml:space="preserve">[12] MDDI (sep-2026) y TIKR ES: caída por el ciberataque.</w:t>
      </w:r>
      <w:r>
        <w:t xml:space="preserve"> </w:t>
      </w:r>
      <w:r>
        <w:t xml:space="preserve">[13] StockTwits, flujo de BSX (API pública, 14-oct-2026).</w:t>
      </w:r>
      <w:r>
        <w:t xml:space="preserve"> </w:t>
      </w:r>
      <w:r>
        <w:t xml:space="preserve">[14] SEC, Formularios 4 de feb-oct 2026 (leídos directamente) y 424B3 de la fusión con Penumbra (1-abr-2026).</w:t>
      </w:r>
      <w:r>
        <w:t xml:space="preserve"> </w:t>
      </w:r>
      <w:r>
        <w:t xml:space="preserve">[15] Yahoo Finance, IndexBox (jun-2026), TIKR y Motley Fool (may-2026): caída de la acción y recortes de guía.</w:t>
      </w:r>
      <w:r>
        <w:t xml:space="preserve"> </w:t>
      </w:r>
      <w:r>
        <w:t xml:space="preserve">[16] ad-hoc-news / MarketBeat (12-oct-2026): cierre del 13-oct de 43,31 USD (segunda fuente).</w:t>
      </w:r>
      <w:r>
        <w:t xml:space="preserve"> </w:t>
      </w:r>
      <w:r>
        <w:t xml:space="preserve">[17] StockAnalysis (14-oct-2026): BSX, Medtronic y Stryker (EV, EV/EBITDA, PER adelantado, consenso, posiciones cortas).</w:t>
      </w:r>
      <w:r>
        <w:t xml:space="preserve"> </w:t>
      </w:r>
      <w:r>
        <w:t xml:space="preserve">[18] MLex y prensa (mar-abr 2026): segunda petición de la FTC por Penumbra.</w:t>
      </w:r>
      <w:r>
        <w:t xml:space="preserve"> </w:t>
      </w:r>
      <w:r>
        <w:t xml:space="preserve">[19] Boston Scientific, 8-K del 7-oct-2026 (director de operaciones y segmentos) y del 23-sep-2026 (jubilación de A. Butcher), SEC.</w:t>
      </w:r>
      <w:r>
        <w:t xml:space="preserve"> </w:t>
      </w:r>
      <w:r>
        <w:t xml:space="preserve">[20] DE MEMORIA (no verificado en esta sesión): tamaño del mercado servido, ventas de Penumbra, productos de campo pulsado de los rivales, aranceles de la sección 232.</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2026-10-14T17:06:30Z</dcterms:created>
  <dcterms:modified xsi:type="dcterms:W3CDTF">2026-10-14T17:06:30Z</dcterms:modified>
</cp:coreProperties>
</file>

<file path=docProps/custom.xml><?xml version="1.0" encoding="utf-8"?>
<Properties xmlns="http://schemas.openxmlformats.org/officeDocument/2006/custom-properties" xmlns:vt="http://schemas.openxmlformats.org/officeDocument/2006/docPropsVTypes"/>
</file>