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Hilton Worldwide Holdings Inc.</w:t>
      </w:r>
    </w:p>
    <w:p>
      <w:pPr>
        <w:spacing w:after="60"/>
        <w:rPr>
          <w:color w:val="52514E"/>
          <w:sz w:val="22"/>
          <w:szCs w:val="22"/>
        </w:rPr>
      </w:pPr>
      <w:r>
        <w:rPr>
          <w:color w:val="52514E"/>
          <w:sz w:val="22"/>
          <w:szCs w:val="22"/>
        </w:rPr>
        <w:t xml:space="preserve">HLT · New York Stock Exchange (Nasdaq Global Select desde el 5-nov-2026) · ISIN US43300A2033 · Consumo discrecional (GICS)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359,29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343,20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-4,3 % (base +7,5 %)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135,91 USD · mercado 168,91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80.122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Hilton Worldwide Holdings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HLT / US43300A2033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 (Nasdaq Global Select desde el 5-nov-2026)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(GICS) / Hoteles, complejos y cruceros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McLean (Virginia) · 1919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www.hilton.com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359,29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253,54 – 360,40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80.122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94.103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576 M USD/día (1,79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343,20 USD</w:t>
      </w:r>
      <w:r>
        <w:t xml:space="preserve"> frente a 359,29 · Rentabilidad a 12 meses </w:t>
      </w:r>
      <w:r>
        <w:rPr>
          <w:b/>
          <w:bCs/>
        </w:rPr>
        <w:t xml:space="preserve">-4,3 % (base +7,5 %)</w:t>
      </w:r>
      <w:r>
        <w:t xml:space="preserve"> · Valor intrínseco 135,91 USD · con la prima implícita del mercado: 168,91 (-53,0 %) · Alcista / bajista -56,3 % / -77,4 %</w:t>
      </w:r>
    </w:p>
    <w:p>
      <w:pPr>
        <w:spacing w:after="100"/>
      </w:pPr>
      <w:r>
        <w:rPr>
          <w:b/>
        </w:rPr>
        <w:t xml:space="preserve">La recomendación y por qué.</w:t>
      </w:r>
      <w:r>
        <w:t xml:space="preserve"> Mantener, con convicción media; no es compra. El objetivo a 12 meses es de 343,20 USD (nuestro BPA de 2028e × el PER de la regla común, ponderado 25/50/25): −4,3 % con el dividendo, y +7,5 % en el caso base. No llega al 15 % ponderado ni al 12 % del base, y el valor intrínseco (135,91 USD) está un 62 % por debajo del precio de 359,29 USD (cierre del 20-oct-2026). La convicción es media porque las dos reglas (la de 12 meses y la del valor intrínseco) apuntan lejos de una compra y el negocio es de primera calidad; bajaría con un RevPAR de EE. UU. negativo tras el Mundial y subiría con una caída fuerte del precio o con tipos mucho más bajos. Los resultados del 3T26 salen el 27-oct, después del corte.</w:t>
      </w:r>
    </w:p>
    <w:p>
      <w:pPr>
        <w:spacing w:after="100"/>
      </w:pPr>
      <w:r>
        <w:rPr>
          <w:b/>
        </w:rPr>
        <w:t xml:space="preserve">El negocio.</w:t>
      </w:r>
      <w:r>
        <w:t xml:space="preserve"> Hilton pone marca, reservas y fidelidad (Hilton Honors, 260 M de socios) a ≈ 9.300 hoteles de otros —Hampton, Hilton, Hilton Garden Inn, Waldorf Astoria y otras 24 marcas— y cobra una comisión sobre lo que facturan; solo 46 son suyos o arrendados [3]. Ingresos ajustados de 5.011 M USD en 2025 y EBITDA ajustado de 3.725 M, un margen del 74 % [2]. Las licencias de las tarjetas de crédito de marca compartida crecen más que las noches [1].</w:t>
      </w:r>
    </w:p>
    <w:p>
      <w:pPr>
        <w:spacing w:after="100"/>
      </w:pPr>
      <w:r>
        <w:rPr>
          <w:b/>
        </w:rPr>
        <w:t xml:space="preserve">Finanzas.</w:t>
      </w:r>
      <w:r>
        <w:t xml:space="preserve"> El BPA ajustado pasó de 4,90 USD en 2022 a 8,11 en 2025 (+18 % anual) con ingresos +10 % anual, margen al alza y recompras que bajaron las acciones diluidas un 18 % desde 2019 [2, 12]. En el 1S26, BPA +10 %, RevPAR +3,9 % y red +6,1 %; la guía de 2026 subió dos veces (BPA 8,89-9,01) [3]. Patrimonio negativo (−6.303 M) por las recompras y deuda neta de ≈ 3,2 veces el EBITDA [4]. ROIC operativo del 17 % frente a un WACC del 9,95 %: pasa la calidad (+7 puntos) y el crecimiento previsto es sostenible.</w:t>
      </w:r>
    </w:p>
    <w:p>
      <w:pPr>
        <w:spacing w:after="100"/>
      </w:pPr>
      <w:r>
        <w:rPr>
          <w:b/>
        </w:rPr>
        <w:t xml:space="preserve">Equipo y gobierno.</w:t>
      </w:r>
      <w:r>
        <w:t xml:space="preserve"> Christopher Nassetta, consejero delegado desde 2007, ha batido la guía de BPA tres años seguidos [2]. Remuneración alta (27,7 M USD en 2025, 549 veces el sueldo mediano) pero aprobada con el 92,5 % [26, 27]. Sin sucesor anunciado. Directivos vendedores netos (38,7 M USD en 12 meses, casi todo opciones que vencían) [29].</w:t>
      </w:r>
    </w:p>
    <w:p>
      <w:pPr>
        <w:spacing w:after="100"/>
      </w:pPr>
      <w:r>
        <w:rPr>
          <w:b/>
        </w:rPr>
        <w:t xml:space="preserve">Valoración.</w:t>
      </w:r>
      <w:r>
        <w:t xml:space="preserve"> El DCF da 136,96 USD (−62 %) y el DCF inverso pide ingresos +22 % anual: el precio solo cuadra con una rentabilidad exigida del 6,1 %, con el bono de EE. UU. al 5,12 %. Con la prima del mercado (4,2 %) el DCF sube a 174,92 USD. La regla a 12 meses baja el PER de 35,3 veces a 32,8 (mitad de camino hacia la mediana de cinco años, 30,5) y el bajista lo lleva al mínimo de 20,4. Los analistas esperan 353,93 USD de media (29; 270-390), por debajo del precio [32].</w:t>
      </w:r>
    </w:p>
    <w:p>
      <w:pPr>
        <w:spacing w:after="100"/>
      </w:pPr>
      <w:r>
        <w:rPr>
          <w:b/>
        </w:rPr>
        <w:t xml:space="preserve">Riesgos y catalizadores.</w:t>
      </w:r>
      <w:r>
        <w:t xml:space="preserve"> El mayor riesgo es el múltiplo en máximos (+17 % en un mes con todo el sector, sin noticia propia salvo el paso al Nasdaq) unido al ciclo de viajes en EE. UU.; después, los agentes de IA como intermediarios de la reserva (exposición media, −5 a −10 % del valor a 3-5 años), China y Oriente Medio y la salud de los propietarios. Catalizadores: resultados del 27-oct, Nasdaq el 5-nov y posible Nasdaq-100 en diciembre [35, 36].</w:t>
      </w:r>
    </w:p>
    <w:p>
      <w:pPr>
        <w:spacing w:after="100"/>
      </w:pPr>
      <w:r>
        <w:rPr>
          <w:b/>
        </w:rPr>
        <w:t xml:space="preserve">Qué cambiaría la decisión.</w:t>
      </w:r>
      <w:r>
        <w:t xml:space="preserve"> Comprar exigiría a la vez una rentabilidad ponderada del 15 % y un precio por debajo del valor intrínseco: hoy, por debajo de 135,91 USD. Mantener entre 135,91 y 382 USD; vender por encima de 382. Una bajada fuerte de los tipos de EE. UU. o una red que siga creciendo al 7 % durante una década mejorarían el valor real.</w:t>
      </w:r>
    </w:p>
    <w:p>
      <w:r>
        <w:br w:type="page"/>
      </w:r>
    </w:p>
    <w:p>
      <w:pPr>
        <w:pStyle w:val="Heading1"/>
      </w:pPr>
      <w:r>
        <w:t xml:space="preserve">Resumen ejecutivo</w:t>
      </w:r>
    </w:p>
    <w:p>
      <w:pPr>
        <w:spacing w:after="100"/>
      </w:pPr>
      <w:r>
        <w:rPr>
          <w:b/>
          <w:bCs/>
        </w:rPr>
        <w:t xml:space="preserve">Recomendación: Mantener</w:t>
      </w:r>
      <w:r>
        <w:t xml:space="preserve"> · Convicción: Media · Horizonte: 12 meses · Objetivo a 12 meses: </w:t>
      </w:r>
      <w:r>
        <w:rPr>
          <w:b/>
          <w:bCs/>
        </w:rPr>
        <w:t xml:space="preserve">343,20 USD</w:t>
      </w:r>
      <w:r>
        <w:t xml:space="preserve"> (rentabilidad -4,3 % (base +7,5 %)) · Valor intrínseco: 135,91 USD (-62,2 % sobre 359,29) · con la prima implícita del mercado: 168,91 (-53,0 %)</w:t>
      </w:r>
    </w:p>
    <w:p>
      <w:pPr>
        <w:spacing w:after="100"/>
      </w:pPr>
      <w:r>
        <w:t xml:space="preserve">Hilton es probablemente la mejor marca hotelera cotizada: cobra comisiones sobre las ventas de ≈ 9.300 hoteles que pagan otros, con un margen de EBITDA ajustado del 74 %, una red que crece un 6-7 % al año (más que Marriott e IHG) y un BPA que sube un 13-18 % con recompras. Pero a 35 veces el BPA de los próximos 12 meses, en máximos históricos, el precio ya descuenta esa calidad: el DCF vale menos de la mitad con el bono de EE. UU. al 5,12 % y la regla a 12 meses no da rentabilidad suficiente con un bajista de recesión de viajes.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343,20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 × 9,46 = 192,98 · 32,8x × 11,76 = 385,73 · 32,8x × 12,45 = 408,36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 / 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353,93 (nuestro base +9,0 %)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135,91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-56,3 % / -77,4 %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 frente a 9,9 % y 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168,91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 frente a 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135,91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135,91 y 382,00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382,00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135,91 USD: Comprar (ponderada ≥ 15 %, base ≥ 12 % y valor intrínseco por encima).</w:t>
      </w:r>
    </w:p>
    <w:p>
      <w:pPr>
        <w:pStyle w:val="ListParagraph"/>
        <w:numPr>
          <w:ilvl w:val="0"/>
          <w:numId w:val="2"/>
        </w:numPr>
        <w:spacing w:after="60"/>
      </w:pPr>
      <w:r>
        <w:t xml:space="preserve">Precio entre 135,91 y 382 USD: Mantener.</w:t>
      </w:r>
    </w:p>
    <w:p>
      <w:pPr>
        <w:pStyle w:val="ListParagraph"/>
        <w:numPr>
          <w:ilvl w:val="0"/>
          <w:numId w:val="2"/>
        </w:numPr>
        <w:spacing w:after="60"/>
      </w:pPr>
      <w:r>
        <w:t xml:space="preserve">Precio por encima de 382 USD: Vender o reducir (ponderada ≤ −10 %).</w:t>
      </w:r>
    </w:p>
    <w:p>
      <w:pPr>
        <w:pStyle w:val="ListParagraph"/>
        <w:numPr>
          <w:ilvl w:val="0"/>
          <w:numId w:val="2"/>
        </w:numPr>
        <w:spacing w:after="60"/>
      </w:pPr>
      <w:r>
        <w:t xml:space="preserve">Bono de EE. UU. a 10 años por debajo del 4 %: revisar el valor intrínseco al alza (≈ +25-30 %).</w:t>
      </w:r>
    </w:p>
    <w:p>
      <w:pPr>
        <w:pStyle w:val="ListParagraph"/>
        <w:numPr>
          <w:ilvl w:val="0"/>
          <w:numId w:val="2"/>
        </w:numPr>
        <w:spacing w:after="60"/>
      </w:pPr>
      <w:r>
        <w:t xml:space="preserve">RevPAR de EE. UU. negativo dos trimestres o caída de las reservas directas: revisar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Hilton seguirá subiendo el BPA un 15 % al año (red +6-7 %, RevPAR +2-3 %, margen al alza y ≈ 3.500 M de recompras al año) y que 35 veces es el PER normal para la mejor franquicia hotelera; los analistas esperan 353,93 USD, un 1,5 % menos que hoy.</w:t>
      </w:r>
    </w:p>
    <w:p>
      <w:pPr>
        <w:keepNext/>
        <w:spacing w:after="100"/>
      </w:pPr>
      <w:r>
        <w:rPr>
          <w:b/>
          <w:bCs/>
        </w:rPr>
        <w:t xml:space="preserve">Lo que creemos nosotros.</w:t>
      </w:r>
    </w:p>
    <w:p>
      <w:pPr>
        <w:spacing w:after="100"/>
      </w:pPr>
      <w:r>
        <w:t xml:space="preserve">Coincidimos en el negocio y en el BPA (9,11 y 10,45 USD en 2026e y 2027e, como el consenso) y discrepamos en el precio: con la tasa libre al 5,12 % el flujo libre de Hilton (2,4 % sobre la capitalización) no compensa el riesgo de un ciclo de viajes que ya llevó el BPA de 3,90 a 0,10 USD una vez (2020).</w:t>
      </w:r>
    </w:p>
    <w:p>
      <w:pPr>
        <w:keepNext/>
        <w:spacing w:after="100"/>
      </w:pPr>
      <w:r>
        <w:rPr>
          <w:b/>
          <w:bCs/>
        </w:rPr>
        <w:t xml:space="preserve">Por qué podemos tener razón.</w:t>
      </w:r>
    </w:p>
    <w:p>
      <w:pPr>
        <w:spacing w:after="100"/>
      </w:pPr>
      <w:r>
        <w:t xml:space="preserve">La historia adelantada muestra que Hilton cotizó a 20,4 veces en 2022 y a 18-26 veces en 2017-2023; el PER actual es el más alto de la serie sin pandemia, tras una subida del 17 % en un mes que es de todo el sector y no tiene causa propia. La IA añade un riesgo nuevo justo en la distribución, que es la razón de ser de la marca.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59,2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pStyle w:val="Heading2"/>
      </w:pPr>
      <w:r>
        <w:t xml:space="preserve">A favor</w:t>
      </w:r>
    </w:p>
    <w:p>
      <w:pPr>
        <w:pStyle w:val="ListParagraph"/>
        <w:numPr>
          <w:ilvl w:val="0"/>
          <w:numId w:val="2"/>
        </w:numPr>
        <w:spacing w:after="60"/>
      </w:pPr>
      <w:r>
        <w:rPr>
          <w:b/>
        </w:rPr>
        <w:t xml:space="preserve">Modelo de comisiones</w:t>
      </w:r>
      <w:r>
        <w:t xml:space="preserve">: solo 46 hoteles propios o arrendados; margen de EBITDA ajustado del 74 %.</w:t>
      </w:r>
    </w:p>
    <w:p>
      <w:pPr>
        <w:pStyle w:val="ListParagraph"/>
        <w:numPr>
          <w:ilvl w:val="0"/>
          <w:numId w:val="2"/>
        </w:numPr>
        <w:spacing w:after="60"/>
      </w:pPr>
      <w:r>
        <w:rPr>
          <w:b/>
        </w:rPr>
        <w:t xml:space="preserve">Crecimiento visible</w:t>
      </w:r>
      <w:r>
        <w:t xml:space="preserve">: cartera récord de 541.300 habitaciones (40 % del sistema); red +6-7 % al año.</w:t>
      </w:r>
    </w:p>
    <w:p>
      <w:pPr>
        <w:pStyle w:val="ListParagraph"/>
        <w:numPr>
          <w:ilvl w:val="0"/>
          <w:numId w:val="2"/>
        </w:numPr>
        <w:spacing w:after="60"/>
      </w:pPr>
      <w:r>
        <w:rPr>
          <w:b/>
        </w:rPr>
        <w:t xml:space="preserve">Fidelidad</w:t>
      </w:r>
      <w:r>
        <w:t xml:space="preserve">: Hilton Honors con 260 M de socios y licencias de tarjetas que crecen.</w:t>
      </w:r>
    </w:p>
    <w:p>
      <w:pPr>
        <w:pStyle w:val="ListParagraph"/>
        <w:numPr>
          <w:ilvl w:val="0"/>
          <w:numId w:val="2"/>
        </w:numPr>
        <w:spacing w:after="60"/>
      </w:pPr>
      <w:r>
        <w:rPr>
          <w:b/>
        </w:rPr>
        <w:t xml:space="preserve">Equipo</w:t>
      </w:r>
      <w:r>
        <w:t xml:space="preserve">: Nassetta y Jacobs han batido la guía de BPA tres años seguidos.</w:t>
      </w:r>
    </w:p>
    <w:p>
      <w:pPr>
        <w:pStyle w:val="ListParagraph"/>
        <w:numPr>
          <w:ilvl w:val="0"/>
          <w:numId w:val="2"/>
        </w:numPr>
        <w:spacing w:after="60"/>
      </w:pPr>
      <w:r>
        <w:rPr>
          <w:b/>
        </w:rPr>
        <w:t xml:space="preserve">Calidad</w:t>
      </w:r>
      <w:r>
        <w:t xml:space="preserve">: ROIC operativo del 17 % (+7 puntos sobre el WACC) y crecimiento sostenible.</w:t>
      </w:r>
    </w:p>
    <w:p>
      <w:pPr>
        <w:pStyle w:val="Heading2"/>
      </w:pPr>
      <w:r>
        <w:t xml:space="preserve">En contra</w:t>
      </w:r>
    </w:p>
    <w:p>
      <w:pPr>
        <w:pStyle w:val="ListParagraph"/>
        <w:numPr>
          <w:ilvl w:val="0"/>
          <w:numId w:val="2"/>
        </w:numPr>
        <w:spacing w:after="60"/>
      </w:pPr>
      <w:r>
        <w:rPr>
          <w:b/>
        </w:rPr>
        <w:t xml:space="preserve">Caro</w:t>
      </w:r>
      <w:r>
        <w:t xml:space="preserve">: 35,3 veces el BPA adelantado frente a una mediana de 30,5 y un mínimo de 20,4.</w:t>
      </w:r>
    </w:p>
    <w:p>
      <w:pPr>
        <w:pStyle w:val="ListParagraph"/>
        <w:numPr>
          <w:ilvl w:val="0"/>
          <w:numId w:val="2"/>
        </w:numPr>
        <w:spacing w:after="60"/>
      </w:pPr>
      <w:r>
        <w:rPr>
          <w:b/>
        </w:rPr>
        <w:t xml:space="preserve">Valor real muy por debajo</w:t>
      </w:r>
      <w:r>
        <w:t xml:space="preserve">: DCF de 137 USD con el bono al 5,12 %.</w:t>
      </w:r>
    </w:p>
    <w:p>
      <w:pPr>
        <w:pStyle w:val="ListParagraph"/>
        <w:numPr>
          <w:ilvl w:val="0"/>
          <w:numId w:val="2"/>
        </w:numPr>
        <w:spacing w:after="60"/>
      </w:pPr>
      <w:r>
        <w:rPr>
          <w:b/>
        </w:rPr>
        <w:t xml:space="preserve">Ciclo</w:t>
      </w:r>
      <w:r>
        <w:t xml:space="preserve">: EE. UU. es el 63 % de las habitaciones; en 2020 el BPA cayó de 3,90 a 0,10 USD.</w:t>
      </w:r>
    </w:p>
    <w:p>
      <w:pPr>
        <w:pStyle w:val="ListParagraph"/>
        <w:numPr>
          <w:ilvl w:val="0"/>
          <w:numId w:val="2"/>
        </w:numPr>
        <w:spacing w:after="60"/>
      </w:pPr>
      <w:r>
        <w:rPr>
          <w:b/>
        </w:rPr>
        <w:t xml:space="preserve">IA en la reserva</w:t>
      </w:r>
      <w:r>
        <w:t xml:space="preserve">: los agentes pueden convertirse en un nuevo intermediario.</w:t>
      </w:r>
    </w:p>
    <w:p>
      <w:pPr>
        <w:pStyle w:val="ListParagraph"/>
        <w:numPr>
          <w:ilvl w:val="0"/>
          <w:numId w:val="2"/>
        </w:numPr>
        <w:spacing w:after="60"/>
      </w:pPr>
      <w:r>
        <w:rPr>
          <w:b/>
        </w:rPr>
        <w:t xml:space="preserve">Patrimonio negativo</w:t>
      </w:r>
      <w:r>
        <w:t xml:space="preserve">: −6.303 M; recompras pagadas en parte con deuda.</w:t>
      </w:r>
    </w:p>
    <w:p>
      <w:pPr>
        <w:pStyle w:val="Heading2"/>
      </w:pPr>
      <w:r>
        <w:t xml:space="preserve">Qué tiene que pasar para que la tesis funcione</w:t>
      </w:r>
    </w:p>
    <w:p>
      <w:pPr>
        <w:spacing w:after="100"/>
      </w:pPr>
      <w:r>
        <w:t xml:space="preserve">La tesis de mantener depende de que el RevPAR de EE. UU. siga positivo tras el Mundial y de que la red crezca un 6-7 % con el margen subiendo. La señal en contra sería un RevPAR de EE. UU. negativo dos trimestres seguidos, una caída de las reservas directas o un dinero clave disparado. Primer dato: el 3T26, el 27-oct.</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RevPAR de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la mayor parte de las comisiones.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neto de la red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volumen del puente de ingresos.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proyectos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541.300 habitaciones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Bajada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Asegura la red de los próximos años.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Dinero clave neto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M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350 M al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inversión que sí consume capital.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8,89-9,01 USD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8,80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del objetivo a 12 meses.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42,3x / 35,4x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3,3x · 3,8x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Conrad Hilton compró su primer hotel en 1919 en Cisco (Texas); en 1946 Hilton fue la primera hotelera en cotizar en la Bolsa de Nueva York [18]. En 2007 la compró Blackstone, que la sacó de nuevo a bolsa en diciembre de 2013 con 10 marcas y ≈ 4.100 hoteles en 90 países [1, 18]. Con Christopher Nassetta como consejero delegado desde 2007, Hilton se deshizo de los inmuebles: en 2017 separó los hoteles en propiedad (Park Hotels &amp; Resorts) y el tiempo compartido (Hilton Grand Vacations), y quedó como empresa de marcas y comisiones [1]. Hoy tiene 28 marcas y más de 9.400 establecimientos en 144 países, ha pasado de ≈ 50 a 1.200 hoteles de lujo y estilo de vida y 260 M de socios de Honors [18]. El 5-nov-2026 pasa a cotizar en el Nasdaq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Conrad Hilton compra su primer hotel en Cisco (Texas)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hotelera que cotiza en la Bolsa de Nueva York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compra Hilton; Christopher Nassetta, consejero delegado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a bolsa: 10 marcas y ≈ 4.100 hoteles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Park Hotels &amp; Resorts y Hilton Grand Vacations: Hilton queda casi sin inmuebles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Pandemia: RevPAR −56 %, BPA ajustado de 0,10 USD y dividendo y recompras suspendidos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las marcas Graduate y NoMad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Marcas nuevas (Apartment Collection, Select by Hilton, Undergraduate) y paso al Nasdaq el 5-nov [3, 18].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Hilton es la segunda hotelera del mundo por habitaciones: 9.332 hoteles y 1,36 M de habitaciones en junio de 2026, más 121 complejos de tiempo compartido de Hilton Grand Vacations [3]. Tiene 28 marcas, del lujo (Waldorf Astoria, Conrad, LXR) a la gama media y económica (Hampton, con 3.230 hoteles; Hilton Garden Inn, Home2 Suites, Tru, Spark) [3]. No suele ser dueña de los hoteles: el 90 % de los hoteles son franquicias o licencias y el 9 % contratos de gestión; solo 46 son propios o arrendados [3]. El 63 % de las habitaciones está en EE. UU., el 18 % en Asia-Pacífico y el 10 % en Europa [3, 4]. Vende a dos clientes: los propietarios, que pagan por la marca, la central de reservas y la fidelidad, y los huéspedes, que reservan sobre todo en sus canales directos con Hilton Honors (260 M de socios) [1, 18].</w:t>
      </w:r>
    </w:p>
    <w:p>
      <w:pPr>
        <w:pStyle w:val="Heading2"/>
      </w:pPr>
      <w:r>
        <w:t xml:space="preserve">Cómo gana dinero</w:t>
      </w:r>
    </w:p>
    <w:p>
      <w:pPr>
        <w:spacing w:after="100"/>
      </w:pPr>
      <w:r>
        <w:t xml:space="preserve">Cobra un porcentaje de los ingresos por habitación de los hoteles franquiciados (canon) y de los ingresos y beneficios de los gestionados, más licencias por las tarjetas de crédito de marca compartida, Hilton Grand Vacations y los hoteles socios [1]. Casi no invierte: los propietarios ponen el hotel, y Hilton solo paga dinero clave para firmar algunos contratos (≈ 300 M USD al año con la inversión propia) [3]. Por eso el 74 % de los ingresos ajustados se convierte en EBITDA ajustado [3]. El crecimiento sale de dos palancas: más habitaciones (6-7 % al año) y más RevPAR (precio por habitación disponible, ligado al ciclo de viajes); las licencias de tarjetas crecen con el gasto de los socios [1, 3]. Apalancamiento operativo alto: el coste del segmento de comisiones no se asigna y casi no crece. Estacionalidad suave, con el segundo y tercer trimestre más fuertes [3].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Gestión y franquicia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Propiedad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corporativo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Gestión y franquicia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Propiedad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corporativo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Hilton cobra a ≈ 9.300 hoteles de terceros: 8.404 franquiciados o con licencia (1,08 M de habitaciones) y 882 gestionados (266.000), frente a solo 46 en propiedad o arrendados (15.000) [3]. La franquicia paga un canon sobre los ingresos por habitación y cuotas de programas; la gestión, una base sobre los ingresos del hotel y un incentivo sobre su beneficio [1]. Los contratos son largos (10-20 años en franquicia y 20-30 en gestión, según la vida de amortización de sus costes) [1]. Ningún propietario pesa de forma relevante. El poder de precios se ve en el canon efectivo: en 2025 las comisiones de los franquiciados comparables subieron 8 M con el RevPAR −0,8 %, por la subida de las tarifas pactadas [1]. Licencias: tarjetas con American Express, Hilton Grand Vacations y 562 hoteles socios [1,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Habitaciones en el sistema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 (2024, estimación con la red neta)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 (2025); 1.385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 neto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+6,1 % interanual a junio de 2026; guía de 6-7 % en 2026 [1,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proyectos (miles de habitaciones)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(sep-25)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520,5 (dic-25); 541,3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40 % del sistema; casi la mitad en construcción y más de la mitad fuera de EE. UU.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RevPAR comparable del sistema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 (2025); +3,9 %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Mejora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+3,0-3,5 % (desde +1-2 % en febrero) [2,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Socios de Hilton Honors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211 M (2024, estimación con el +15 %)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M (2025); 260 M (oct-26)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socios que reservan directamente ganan puntos; base del canal directo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de EBITDA ajustado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74,4 % (2025); 76,0 %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Sube por la mezcla: crecen las comisiones y bajan los hoteles en propiedad [2,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la industria hotelera mundial, de la que Hilton cobra comisiones por marca, distribución, fidelidad y gestión. IHG la cifra en ≈ 750.000 M USD de ingresos en 2025, con el 57 % de las habitaciones afiliadas a una cadena y un 24 % en manos de los cinco grandes [19]. Se usa esta cifra porque es la única con fuente primaria; la serie de años anteriores y posteriores es estimación propia con el crecimiento histórico (4,2 % anual) y el previsto de noches. Hilton tiene ≈ 7 % de las habitaciones del mundo (estimación propia: 1,36 M frente a ≈ 19 M, el mismo denominador que da el 5,5 % de IHG) [3,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750.000 M USD de ingresos de la industria hotelera mundial en 2025 [19]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de la industria hotelera mundial; 2025 de IHG/STR, resto estimación prop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viajes (noches de hotel)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Noches +2,7 % anual en 2015-2025 y +3,6 % previsto hasta 2035 (Oxford Economics, citada por IHG)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de las marcas y conversiones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57 % de las habitaciones son de cadena y el 79 % de la cartera mundial de proyectos (STR): las marcas ganan cuota todos los años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EE. UU. (63 % de las habitaciones de Hilton)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RevPAR de EE. UU. de Hilton −0,8 % en 2025 (−2,3 % en el 3T25 y −1,6 % en el 4T25) y +3,4 % y +5,4 % en el 1T y 2T26, con el Mundial [2,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Asia-Pacífico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Asia-Pacífico +1,1 % en 2025 y +2,9 % en el 1S26, pero el RevPAR de China bajó en el 1S26 por las restricciones a los viajes de funcionarios [2,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Oferta nueva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neta de EE. UU. +0,4 % en 2026 y +0,8 % en 2027 (STR, citada por IHG): poca obra nueva sostiene el RevPAR y empuja las conversiones a marca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Geopolítica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Oriente Medio y África −29,5 % de RevPAR en el 2T26 por el conflicto (3 % de las habitaciones de Hilton) [3].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Marriott, IHG, Hyatt, Wyndham y Accor compiten por firmar propietarios con marcas, fidelidad y dinero clave; Hilton pagó 231 M USD netos de dinero clave en 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propietarios son muchos y pequeños, pero sus márgenes sufren (seguros, energía, personal) y Hilton ha recortado cuotas de fidelidad para ayudarles (75-100 pb de margen)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Booking y Expedia cobran comisiones altas por la reserva que no llega por el canal directo; los buscadores y los grandes modelos de lenguaje pueden desviar reservas, como avisa el 10-K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escala de fidelidad y tecnología: los cinco grandes tienen el 24 % del mundo y el 79 % de la cartera de proyectos es de marca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Alquileres turísticos (Airbnb: 12.241 M USD de ingresos en 2025) en ocio; agentes de IA que reserven fuera del canal propio [1, 20].</w:t>
            </w:r>
          </w:p>
        </w:tc>
      </w:tr>
    </w:tbl>
    <w:p>
      <w:pPr>
        <w:spacing w:after="160" w:before="0"/>
      </w:pPr>
    </w:p>
    <w:p>
      <w:pPr>
        <w:pStyle w:val="Heading2"/>
      </w:pPr>
      <w:r>
        <w:t xml:space="preserve">Ciclo</w:t>
      </w:r>
    </w:p>
    <w:p>
      <w:pPr>
        <w:spacing w:after="100"/>
      </w:pPr>
      <w:r>
        <w:t xml:space="preserve">El RevPAR del sistema creció un 2,7 % en 2024, un 0,4 % en 2025 y un 3,9 % en el 1S26, con EE. UU. saliendo de dos trimestres negativos gracias a la economía, los hechos especiales (Mundial) y poca oferta nueva [2, 3]. La dirección ve EE. UU. «empezando 2027 en el 2-2,5 %» [17]. Es un sector cíclico: en 2009 el RevPAR de EE. UU. cayó ≈ 17 % y en 2020 el de Hilton un 56 %, con el BPA ajustado de 3,90 a 0,10 USD [11]. En 2022 subió con la reapertura. Las comisiones caen menos que el RevPAR porque la red sigue creciendo.</w:t>
      </w:r>
    </w:p>
    <w:p>
      <w:pPr>
        <w:pStyle w:val="Heading2"/>
      </w:pPr>
      <w:r>
        <w:t xml:space="preserve">Regulación</w:t>
      </w:r>
    </w:p>
    <w:p>
      <w:pPr>
        <w:spacing w:after="100"/>
      </w:pPr>
      <w:r>
        <w:t xml:space="preserve">No hay regulación de precios. Afectan las normas de franquicia de EE. UU. (FTC), las comisiones y la paridad de precios con las agencias en línea en Europa (Ley de Mercados Digitales) y las normas laborales de los hoteles gestionados, donde Hilton emplea al personal (≈ 182.000 personas) [1, 19]. Litigios recientes: acuerdo de 12 M USD con camareros de banquetes de San Francisco y demanda por accesibilidad (ADA) [24, 25].</w:t>
      </w:r>
    </w:p>
    <w:p>
      <w:pPr>
        <w:pStyle w:val="Heading2"/>
      </w:pPr>
      <w:r>
        <w:t xml:space="preserve">Tendencias y disrupción</w:t>
      </w:r>
    </w:p>
    <w:p>
      <w:pPr>
        <w:spacing w:after="100"/>
      </w:pPr>
      <w:r>
        <w:t xml:space="preserve">Tres tendencias. (1) Conversiones de hoteles independientes y marcas de colección (Curio, Tapestry, Select by Hilton con YOTEL), que aceleran la red sin obra nueva [3]. (2) Gama media y estancias largas en EE. UU. (Spark, LivSmart, Home2, Apartment Collection), donde Hilton crece más [3]. (3) Inteligencia artificial: Hilton lanzó en marzo de 2026 un planificador de viajes con IA y una conexión directa con Navan que se salta intermediarios; su consejero delegado llama a la IA «imparable» [17, 21, 22]. El riesgo es que los agentes de IA de Google u OpenAI ocupen el lugar del buscador y cobren como una agencia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grupo hotelero del mundo por habitaciones (1,36 M), tras Marriott (≈ 1,7 M); líder en gama media alta de EE. UU. con Hampton (3.230 hoteles) [3, 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Marriott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grupo; ingresos con reembolsos de costes (por eso el margen GAAP es bajo); más lujo e internacional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Hotels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resultado de segmentos reportables (sin Fondo del Sistema); modelo casi idéntico, red neta +5 %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Wyndham Hotels &amp; Resorts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Franquicia pura de gama económica en EE. UU.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Choice Hotels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Franquicia de gama económica y media; compró Radisson Américas en 2022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Europa, Oriente Medio y Asia; 5.639 M EUR convertidos a 1,1215 USD/EUR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Airbnb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ABNB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Sustituto en ocio; empieza a ofrecer hoteles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Hilton Honors: 260 M de socios (+15 % en 2025); más hoteles atraen más socios y al revés, y las tarjetas de American Express pagan licencias crecientes (+104 M en 2025 con HGV) [4,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10-20 años en franquicia y 20-30 en gestión; el dinero clave se amortiza en esos plazos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marcas; Hampton con 3.230 hoteles; cartera récord de 541.300 habitaciones (40 % del sistema)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reparte tecnología, reservas y fidelidad: margen de EBITDA ajustado del 74,4 % frente al 51 % de margen de segmentos de IHG [2,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cinco grandes tienen el 24 % del mundo; pocos pueden igualar Honors y la red de distribución [5].</w:t>
            </w:r>
          </w:p>
        </w:tc>
      </w:tr>
    </w:tbl>
    <w:p>
      <w:pPr>
        <w:spacing w:after="160" w:before="0"/>
      </w:pPr>
    </w:p>
    <w:p>
      <w:pPr>
        <w:pStyle w:val="Heading2"/>
      </w:pPr>
      <w:r>
        <w:t xml:space="preserve">Amenazas</w:t>
      </w:r>
    </w:p>
    <w:p>
      <w:pPr>
        <w:spacing w:after="100"/>
      </w:pPr>
      <w:r>
        <w:t xml:space="preserve">Tres amenazas. La primera, que los agentes de IA (Google, OpenAI) se conviertan en el nuevo intermediario y cobren como una agencia o rompan el vínculo con Honors; el 10-K ya cita los grandes modelos de lenguaje como riesgo para el canal directo (probabilidad media a cinco años) [1]. La segunda, la salud de los propietarios: costes al alza y tipos altos frenan la obra nueva y aumentan el dinero clave para firmar (probabilidad media) [17]. La tercera, la competencia por conversiones con Marriott, IHG y Wyndham, que sube el coste de firmar (probabilidad media)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spacing w:after="100"/>
      </w:pPr>
      <w:r>
        <w:t xml:space="preserve">Crecimiento anual compuesto 2018-2025: ingresos </w:t>
      </w:r>
      <w:r>
        <w:rPr>
          <w:b/>
          <w:bCs/>
        </w:rPr>
        <w:t xml:space="preserve">4,4 %</w:t>
      </w:r>
      <w:r>
        <w:t xml:space="preserve">, EBITDA </w:t>
      </w:r>
      <w:r>
        <w:rPr>
          <w:b/>
          <w:bCs/>
        </w:rPr>
        <w:t xml:space="preserve">8,8 %</w:t>
      </w:r>
      <w:r>
        <w:t xml:space="preserve">, BPA </w:t>
      </w:r>
      <w:r>
        <w:rPr>
          <w:b/>
          <w:bCs/>
        </w:rPr>
        <w:t xml:space="preserve">13,1 %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ajustados pasaron de 3.795 M USD en 2019 a 5.011 M en 2025 (+32 %) y el EBITDA ajustado de 2.308 a 3.725 M (+61 %): el margen ajustado de la empresa subió del 60,8 % al 74,4 % [2, 12]. 2020 (1.629 M de ingresos y BPA ajustado de 0,10 USD) y 2021 no son comparables por la pandemia [10, 11]. La palanca es el negocio de comisiones: las comisiones de franquicia y licencia crecieron un 6,9 % en 2025 (2.780 M), con 60 M por hoteles nuevos y 104 M más de licencias (tarjetas de crédito con marca compartida y Hilton Grand Vacations), mientras el RevPAR comparable de los franquiciados bajó un 0,8 % [1]. Los hoteles en propiedad o arrendados (1.233 M de ingresos y 177 M de EBITDA de segmento en 2025) diluyen el margen y bajan año a año [1]. En el 1S26 los ingresos ajustados subieron un 6,4 % y el EBITDA ajustado un 8,4 %, con el RevPAR +3,9 % [3].</w:t>
      </w:r>
    </w:p>
    <w:p>
      <w:pPr>
        <w:pStyle w:val="Heading2"/>
      </w:pPr>
      <w:r>
        <w:t xml:space="preserve">Ajustes y partidas no recurrentes</w:t>
      </w:r>
    </w:p>
    <w:p>
      <w:pPr>
        <w:spacing w:after="100"/>
      </w:pPr>
      <w:r>
        <w:t xml:space="preserve">La cuenta usa las medidas de Hilton: ingresos «as adjusted» y BPA y beneficio ajustados por partidas especiales [2]. Quedan fuera: los ingresos por reembolso de costes de los hoteles (7.085 M USD en 2025) y los gastos reembolsados (7.550 M), cuya diferencia (−465 M en 2025, −557 M en 2024) es temporal porque Hilton tiene derecho contractual a recuperarla de los propietarios; las reservas para mobiliario de los hoteles arrendados (73 M), la amortización de la compra de Blackstone de 2007 (202 M en 2019, 0 en 2025), pérdidas por garantías de deuda (50 M en 2024) y ajustes fiscales [2, 7, 12]. Nuestro EBITDA resta los pagos en acciones (170 M en 2025), que el EBITDA ajustado de la empresa suma: es la misma base que el BPA ajustado [2]. En GAAP el BPA diluido de 2025 fue 6,12 USD frente a 8,11 del ajustado [2].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(28-jul-2026) el BPA ajustado subió un 4 %, a 2,29 USD, el RevPAR comparable un 3,9 % (EE. UU. +5,4 %, Europa +4,3 %, Oriente Medio y África −29,5 %, Asia-Pacífico +1,2 %) y la red neta un 6,1 % interanual [3]. Hilton subió la guía de 2026: RevPAR +3,0-3,5 % (desde +2-3 % en abril y +1-2 % en febrero), EBITDA ajustado de 4.040-4.080 M y BPA ajustado de 8,89-9,01 USD, sin recompras futuras [2, 3, 5]. El director financiero atribuyó 17 M del trimestre a partidas que se esperaban en el segundo semestre, y la guía del 3T (BPA ajustado de 2,28-2,34) quedó por debajo de lo que esperaba el mercado [3]. En la conferencia el consejero delegado dijo que la mitad del RevPAR del trimestre venía de hechos puntuales (Mundial, calendario) y que EE. UU. «empieza 2027 en el 2-2,5 %»; reiteró un crecimiento de la red del 6-7 % «en el futuro previsible» con 541.000 habitaciones en cartera [17]. Los analistas preguntaron por la salud de los propietarios (costes de seguros, energía y personal), la recuperación en forma de «C» de la gama media y el dinero clave del Waldorf Astoria Miami Beach; la dirección no dio cifras de 2027, ni de dinero clave por hotel, ni de la tarjeta de crédito [17]. Próximo dato: 3T26 el 27-oct-2026 [3].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(2024: Compra de la marca Graduate (210 M USD, mayo de 2024) y del control de Sydell Group, dueño de NoMad (abril de 2024); compras de marcas y contratos, sin hoteles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patrimonio es negativo (−6.303 M USD a 30-jun-2026) porque Hilton devuelve más de lo que gana con deuda: 3.300 M en 2025 y una guía de 3.500 M en 2026 [2, 3]. La deuda bruta pasó de 7.993 M en 2019 a 12.363 M en 2025 y a 13.343 M en junio de 2026 (13.400 M de nominal al 5,03 % medio) [2, 3, 12]. La deuda neta de la empresa es de 11.489 M a fin de 2025, 3,1 veces el EBITDA ajustado (2,9 en 2024), y ≈ 3,2 veces a junio con el EBITDA de 12 meses (estimación propia) [2, 3]. El circulante comercial (clientes menos proveedores) es de 1.314 M (26 % de los ingresos ajustados) porque los clientes incluyen lo que deben los propietarios por los programas, pero lo financian de sobra los 5.400 M de pasivos de Honors y diferidos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9.689</w:t>
      </w:r>
      <w:r>
        <w:t xml:space="preserve">, conversión </w:t>
      </w:r>
      <w:r>
        <w:rPr>
          <w:b/>
          <w:bCs/>
        </w:rPr>
        <w:t xml:space="preserve">102 %</w:t>
      </w:r>
      <w:r>
        <w:t xml:space="preserve"> del beneficio neto; adquisiciones 240, dividendos 969, recompras 13.558.</w:t>
      </w:r>
    </w:p>
    <w:p>
      <w:pPr>
        <w:spacing w:after="100"/>
      </w:pPr>
      <w:r>
        <w:t xml:space="preserve">La conversión es alta: el flujo operativo de 2025 fue de 2.129 M USD y, restados 185 M de inversión en inmovilizado y software, el flujo libre fue de 1.944 M frente a un beneficio ajustado de 1.930 M [1, 2]. Ese flujo ya descuenta el dinero clave a propietarios (231 M netos en 2025, 105 M en 2024 y 233 M en 2023), que va en explotación, y lleva el crecimiento de los pasivos de Honors y diferidos [2, 7, 8]. Guía de 2026: dinero clave e inversión, sin lo que reembolsan terceros, de ≈ 300 M [3]. Usos de 2025: recompras de 3.182 M y dividendos de 143 M, por encima del flujo libre: la diferencia se pagó con deuda [14]. En el 1S26 el flujo operativo fue de 1.090 M y las recompras de 1.787 M [4].</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de 2025; auditor desde 2002; asunto clave de auditoría: el programa de fidelidad Hilton Honors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cifras son limpias pero tienen tres capas. Primera, los reembolsos: 7.085 M USD de ingresos y 7.550 M de gastos en 2025 que no son del accionista; la diferencia negativa (−465 M) se debe a que Hilton gasta antes de cobrar a los propietarios y se excluye del ajustado [1, 2]. Segunda, Honors: los puntos se reconocen al canjearse con estimaciones actuariales de coste por punto y de puntos que no se canjean; un cambio de supuestos mueve las licencias y el pasivo, y el auditor lo trata como asunto clave [1]. Tercera, el dinero clave: los pagos a propietarios se activan (1.471 M de contratos netos) y se amortizan restando ingresos (57 M en 2025), así que no aparecen como inversión [1, 2]. Los pagos en acciones (170 M, 3,4 % de los ingresos ajustados) son un coste real que el EBITDA ajustado suma [2]. Altman y ROE pierden sentido con patrimonio negativo; el Beneish no se calcula con la cuenta en esta base.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Patrimonio negativo por recompras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−5.388 M USD a fin de 2025 y −6.303 M a junio de 2026: invalida ROE y Altman; la solvencia la da el flujo libre (≈ 1.900 M) y la deuda neta de ≈ 3 veces el EBITDA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negativa de los reembolsos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−557 M USD en 2024, −465 M en 2025 y −120 M en el 1S26: Hilton dice que la recupera de los propietarios; si no, sería coste del accionista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Estimaciones de Hilton Honors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Pasivo de 2.913 M y diferidos de Honors de 1.514 M a fin de 2025 que dependen del coste por punto y de los puntos no canjeados; asunto clave de auditoría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Dinero clave activado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231 M USD netos en 2025 frente a 105 M en 2024; se amortiza contra ingresos y el EBITDA ajustado lo devuelve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419,59x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5.081 M en 2025 (el 83 % del capital invertido medio); ha subido más de un 5 % en 0 de 7 años: sin compras. ROIC publicado 38,9 %; sin fondo de comercio, 225,0 %. Sin compras relevantes: el publicado ya es el ROIC del negocio.</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9,9 %.</w:t>
      </w:r>
    </w:p>
    <w:p>
      <w:pPr>
        <w:spacing w:after="100"/>
      </w:pPr>
      <w:r>
        <w:t xml:space="preserve">El ROIC contable del motor (38,9 % en 2025) se infla porque el patrimonio es negativo; el ROE (−42 %) no significa nada [14]. La medida exigente, sobre el capital operativo (fondo de comercio y marcas de la compra de 2007, inmovilizado y circulante: 13.779 M) y con el NOPAT de 2025 (2.378 M), da un 17,3 % frente a un WACC del 9,95 %: +7,3 puntos, y sube cada año porque el capital apenas crece [41]. El dinero nuevo rinde mucho más: el EBITDA ajustado subió 1.417 M de 2019 a 2025 con ≈ 1.900 M de inversión y dinero clave acumulados [2, 12]. Lo explica el modelo: Hilton cobra un porcentaje de las ventas de ≈ 9.300 hoteles que construyen y pagan otros y convierte en EBITDA ajustado el 74 % de sus ingresos ajustados [2]. Riesgo: el dinero clave para firmar hoteles crece (231 M netos en 2025 frente a 105 M en 2024) y es la parte del capital que sí se consume [1].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12.279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13.953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1.064 M USD (55 M restringidos) y línea de crédito con garantía de 2.000 M, de la que quedaban 1.894 M disponibles tras 106 M de avales, a 30-jun-2026 [3]. La línea se amplió hasta marzo de 2031 en marzo de 2026 [4]. Sin vencimientos relevantes hasta el bono de 600 M de abril de 2027 [3].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Pasivo del programa Hilton Honors de 3.077 M USD y ingresos diferidos de 2.532 M a 30-jun-2026 (1.514 M de ellos de Honors y 825 M de cuotas de entrada de propietarios a fin de 2025): son puntos cobrados a los hoteles y a los socios de las tarjetas (American Express) que se cancelan con estancias, no con caja del accionista, y que crecen con el sistema (+481 M en 2025) [1, 4]. Garantías de deuda a propietarios de algunos hoteles gestionados (pérdida de 50 M en 2024) [1]. Opción de venta de los minoritarios de Sydell (NoMad) desde el 2T2030 a un múltiplo de su beneficio [1]. Arrendamientos operativos de 730 M (fuera de la deuda en US GAAP; el alquiler de 214 M de 2025 ya está en el EBITDA) [1]. Inspección fiscal federal de 2011-2020 en curso; la disputa sobre Honors se dio por resuelta [1].</w:t>
      </w:r>
    </w:p>
    <w:p>
      <w:pPr>
        <w:pStyle w:val="Heading1"/>
      </w:pPr>
      <w:r>
        <w:t xml:space="preserve">12. Asignación de capital</w:t>
      </w:r>
    </w:p>
    <w:p>
      <w:pPr>
        <w:pStyle w:val="Confianza"/>
        <w:spacing w:after="100"/>
      </w:pPr>
      <w:r>
        <w:t xml:space="preserve">Confianza: Alta</w:t>
      </w:r>
    </w:p>
    <w:p>
      <w:pPr>
        <w:spacing w:after="100"/>
      </w:pPr>
      <w:r>
        <w:t xml:space="preserve">Hilton reparte casi todo el flujo libre y más: dividendo trimestral fijo de 0,15 USD por acción (0,60 al año, ≈ 0,2 % de rentabilidad) y recompras periódicas; devolución de 3.300 M USD en 2025 y guía de ≈ 3.500 M en 2026 (2.034 M hechos hasta julio) [2, 3]. En enero de 2026 el consejo amplió la autorización de recompra en 3.500 M [2]. La empresa usa deuda para mantener el apalancamiento cerca de 3 veces el EBITDA ajustado [2]. Inversión propia pequeña: dinero clave e inversión de ≈ 300 M al año sin lo reembolsado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Graduate (hoteles de ciudades universitarias) y sus contratos de franquicia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35 hoteles a la nueva marca Undergraduate (gama media alta) lanzada en junio de 2026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 de Sydell Group (marca NoMad)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hotel abierto a junio de 2026; opción de venta de los minoritarios desde 2030 [1, 3].</w:t>
            </w:r>
          </w:p>
        </w:tc>
      </w:tr>
    </w:tbl>
    <w:p>
      <w:pPr>
        <w:spacing w:after="160" w:before="0"/>
      </w:pPr>
    </w:p>
    <w:p>
      <w:pPr>
        <w:spacing w:after="100"/>
      </w:pPr>
      <w:r>
        <w:t xml:space="preserve">La dirección asigna bien el capital en un negocio que casi no lo necesita: de 2019 a 2025 el EBITDA ajustado subió de 2.308 a 3.725 M USD con una inversión de 80-250 M al año, y las acciones diluidas bajaron de 290 a 238 M (−18 %) por las recompras [2, 12]. Las compras son marcas pequeñas, sin deterioros. Hilton crea marcas propias en vez de comprarlas (Spark, Tempo, Motto, LivSmart, Apartment Collection, Undergraduate, Select) [3, 5]. El riesgo es el apalancamiento: devolver más de lo que se gana dejó el patrimonio en −6.303 M y la deuda neta en ≈ 3 veces el EBITDA; en 2020 Hilton suspendió el dividendo y las recompras [3, 11].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J. Nassetta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 la compañía y consejero delegado (President &amp;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consejero delegado de Host Hotels &amp; Resorts (2000-2007). Con él Hilton pasó de 10 a 28 marcas y de ≈ 4.100 a 9.400 hoteles desde 2013, y el BPA ajustado de 3,42 USD en 2018 a 8,11 en 2025 [2,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J. Jacobs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(EVP &amp;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Hilton desde 2008 (estrategia y desarrollo); director financiero desde 2013. Ha llevado la política de devolver todo el flujo con deuda ≈ 3 veces el EBITDA [2,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Jonathan D. Gray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de operaciones de Blackstone, que compró Hilton en 2007 y vendió su participación tras la salida a bolsa; preside el consejo desde 2007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W. Silcock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marcas globales y servicios comerciales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jubila en el 1T27; Laura Fuentes pasa a directora de marcas y Chris Wilroy entra en el comité ejecutivo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Jeff Moore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tecnología (EVP &amp; CTO)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Puesto nuevo, cubierto con búsqueda externa en octubre de 2026; encargado de la plataforma de IA y del canal directo [28, 30].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RevPAR +4-8 %; BPA ajustado 5,42-5,68 USD; EBITDA ajustado 2.800-2.900 M; red +5,0-5,5 %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RevPAR +12,6 %; BPA 6,20; EBITDA 3.089 M; red +4,9 %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RevPAR +2-4 %; BPA 6,80-6,94; EBITDA 3.330-3.380 M; red +5,5-6,0 %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RevPAR +2,7 %; BPA 7,12; EBITDA 3.429 M; red +7,3 %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RevPAR +2-3 %; BPA 7,71-7,82; EBITDA 3.700-3.740 M; red +6-7 %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RevPAR +0,4 %; BPA 8,11; EBITDA 3.725 M; red +6,7 %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Febrero: RevPAR +1-2 %; BPA 8,65-8,77; EBITDA 4.000-4.040 M; red +6-7 %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Julio: subida a RevPAR +3,0-3,5 %, BPA 8,89-9,01 y EBITDA 4.040-4.080 M; 1S26 BPA 4,30 (+10 %)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muy estable y creíble: Nassetta lleva 19 años y Jacobs 13 como director financiero. En los tres últimos años el BPA ajustado batió siempre la guía de febrero (6,20 frente a 5,42-5,68; 7,12 frente a 6,80-6,94; 8,11 frente a 7,71-7,82), aunque el RevPAR quedó por debajo en 2025 (+0,4 % frente a +2-3 %): las recompras y los costes compensan el ciclo [2]. La sucesión es el riesgo: Nassetta tiene 63 años y no hay sucesor anunciado; Silcock se jubila en 2027 [26, 28].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Jonathan D. Gray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J. Nassetta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Douglas M. Steenland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Charlene T. Begley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(presidenta),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 Carr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Melanie L. Healey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Raymond E. Mabus,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Marissa A. Mayer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Elizabeth A.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(presidenta)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78 %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Jonathan D. Gray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de 2025; auditor desde 2002; asunto clave de auditoría: el programa de fidelidad Hilton Honors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38,68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relevantes notificados (13G/A de 2024) [26]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enero de 2026 [26]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(14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Nassetta 2,0 % [26]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Christopher J. Nassetta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114.289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Laura Fuentes (directora de personas, luego de marcas)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 Carr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Remuneración total del consejero delegado en 2025: 27,67 M USD: salario de 1,30 M, bonus anual de 2,97 M, acciones de 17,32 M y opciones de 5,77 M [26]. El plan a largo plazo es 50 % acciones por objetivos, 25 % acciones restringidas y 25 % opciones; los objetivos a tres años pesan lo mismo: EBITDA ajustado, flujo libre por acción, crecimiento de la red y cuota de RevPAR (RPI) [26]. Premia el flujo por acción, que las recompras con deuda inflan. Hay política de recuperación (clawback) conforme a la SEC [26]. Ratio con el empleado mediano: 549 a 1 [26]. Voto consultivo: 92,5 % a favor y 7,4 % en contra en 2026 (189,7 M frente a 15,1 M) y ≈ 92 % a favor en 2025 [26, 27].</w:t>
      </w:r>
    </w:p>
    <w:p>
      <w:pPr>
        <w:pStyle w:val="Heading2"/>
      </w:pPr>
      <w:r>
        <w:t xml:space="preserve">Operaciones vinculadas, estructura de control y defensas</w:t>
      </w:r>
    </w:p>
    <w:p>
      <w:pPr>
        <w:spacing w:after="100"/>
      </w:pPr>
      <w:r>
        <w:t xml:space="preserve">Sin accionista de control: Vanguard (11,1 %) y BlackRock (8,4 %) son gestoras pasivas; Blackstone salió del capital tras la salida a bolsa [26]. Una acción, un voto; consejo reelegido cada año; presidente no ejecutivo (Jonathan Gray, de Blackstone) separado del consejero delegado y consejero independiente coordinador [26]. Siete de nueve consejeros son independientes y presiden las tres comisiones [26]. La venta de Nassetta de febrero de 2026 (114.289 acciones, 36,3 M USD) es el ejercicio de opciones a 41,41 USD que vencían y su venta el mismo día, ≈ 2,4 % de su participación [29].</w:t>
      </w:r>
    </w:p>
    <w:p>
      <w:pPr>
        <w:pStyle w:val="Heading2"/>
      </w:pPr>
      <w:r>
        <w:t xml:space="preserve">Señales de alerta</w:t>
      </w:r>
    </w:p>
    <w:p>
      <w:pPr>
        <w:pStyle w:val="ListParagraph"/>
        <w:numPr>
          <w:ilvl w:val="0"/>
          <w:numId w:val="2"/>
        </w:numPr>
        <w:spacing w:after="60"/>
      </w:pPr>
      <w:r>
        <w:t xml:space="preserve">Sucesión del consejero delegado sin plan público: Nassetta tiene 63 años y 19 en el cargo [26].</w:t>
      </w:r>
    </w:p>
    <w:p>
      <w:pPr>
        <w:pStyle w:val="ListParagraph"/>
        <w:numPr>
          <w:ilvl w:val="0"/>
          <w:numId w:val="2"/>
        </w:numPr>
        <w:spacing w:after="60"/>
      </w:pPr>
      <w:r>
        <w:t xml:space="preserve">Ventas de directivos en 12 meses de 38,7 M USD y ninguna compra; la mayor es el ejercicio de opciones que vencían del consejero delegado [29].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subida el 28-jul-2026: RevPAR comparable +3,0-3,5 % (antes +2-3 % en abril y +1-2 % en febrero), EBITDA ajustado de 4.040-4.080 M USD, BPA ajustado de 8,89-9,01 USD sin recompras posteriores al 2T, beneficio neto de 1.883-1.911 M, red neta +6-7 % con el segundo semestre mejor que el primero, dinero clave e inversión de ≈ 300 M y devolución al accionista de ≈ 3.500 M [3]. 3T26: RevPAR ≈ +4 % y BPA ajustado de 2,28-2,34 [3]. A medio plazo la dirección repite un crecimiento de la red del 6-7 % y no da guía de 2027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47"/>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29 analistas, 21-oct-2026 [32]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29 analistas, 21-oct-2026 [32]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3.869</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 10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353,93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270,00 – 390,00</w:t>
            </w:r>
          </w:p>
        </w:tc>
      </w:tr>
    </w:tbl>
    <w:p>
      <w:pPr>
        <w:spacing w:after="160" w:before="0"/>
      </w:pPr>
    </w:p>
    <w:p>
      <w:pPr>
        <w:pStyle w:val="Heading2"/>
      </w:pPr>
      <w:r>
        <w:t xml:space="preserve">Revisiones de estimaciones</w:t>
      </w:r>
    </w:p>
    <w:p>
      <w:pPr>
        <w:spacing w:after="100"/>
      </w:pPr>
      <w:r>
        <w:t xml:space="preserve">El BPA ajustado de 2026 del consenso subió de 9,00 a 9,05 USD en 90 días y el de 2027 bajó de 10,45 a 10,42 [32]. La guía de la empresa subió dos veces en 2026 (de 8,65-8,77 a 8,79-8,91 en abril y a 8,89-9,01 en julio) por el RevPAR de EE. UU. y el Mundial [3]. El consenso incluye recompras de ≈ 3.000-3.500 M al año, que la guía no incluye. El objetivo medio de 27 analistas es 353,93 USD (270-390), por debajo del precio; en octubre Evercore subió su objetivo a 375 USD y Freedom Broker empezó con comprar y 359 [22, 32]. Solo se encuentra gratis el consenso de Yahoo para ingresos (con reembolsos, otra base) y BPA; no se usa el de ingresos.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bl>
    <w:p>
      <w:pPr>
        <w:spacing w:after="160" w:before="0"/>
      </w:pPr>
    </w:p>
    <w:p>
      <w:pPr>
        <w:spacing w:after="100"/>
      </w:pPr>
      <w:r>
        <w:t xml:space="preserve">Rentabilidades con dividendos en USD frente al S&amp;P 500 (SPY) y al sector ocio de EE. UU. (PEJ) [31]. Hilton ha batido al índice en 3, 5 y 10 años (34,9 %, 20,8 % y 23,1 % anual frente a 23,7 %, 12,6 % y 15,5 %): el BPA ajustado se multiplicó por 2,4 de 2018 a 2025 y el PER subió [31]. En 2026 sube un 25,3 % frente al 13,7 % del índice, con el RevPAR de EE. UU. de vuelta a positivo y la guía subida dos veces [3, 31]. Beta de 1,09 (mensual, 5 años) y 0,78 (semanal, 2 años); volatilidad del 23,8 %; peor caída del 32,6 % en abril-julio de 2022 [31].</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 / +10,8 % / +5,6 % / +38,0 %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 / +39,8 %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18-sep a 20-oct-2026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todo el sector, no propia: Marriott +17,2 %, Hyatt +13,6 %, IHG +11,7 % y el ETF de ocio PEJ +7,5 % en el mismo mes, con el S&amp;P 500 +1,0 % [31]. Dos saltos: el 15-oct todo el sector subió (Hilton +4,6 %, Marriott +3,7 %, Hyatt +5,4 %) sin noticia propia, y el 20-oct Hilton subió un 3,8 % con 6,2 veces su volumen al anunciar el paso al Nasdaq, que abre la puerta al Nasdaq-100 [35,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jul-ago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348,84 USD (18-jun) a 311,00 (10-ago): petróleo y Oriente Medio (−3,9 % el 13-jul, la mayor caída diaria del año) y guía del 3T por debajo de lo esperado el 28-jul (−3,4 %) [31,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mar-abr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298,37 USD (10-mar) a 333,67 (22-abr): alivio en Oriente Medio y petróleo a la baja, máximos de sector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antes de abrir; guía del 3T de RevPAR ≈ +4 % y BPA ajustado de 2,28-2,34 USD [3,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Traslado de la cotización del NYSE al Nasdaq el 5-nov-2026; la prensa apunta a una posible entrada en el Nasdaq-100 en la revisión anual de diciembre, que traería compras de fondos indexados [35,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Evercore ISI sube el objetivo a 375 USD (mantiene sobreponderar); Freedom Broker empieza con comprar y 359 USD (14-oct)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Laura Fuentes (2,26 M USD) y el consejero Chris Carr (0,14 M) venden en mercado fuera de un plan 10b5-1; en febrero el consejero delegado ejerció y vendió opciones que vencían (36,3 M USD, ≈ 2,4 % de su participación)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Deutsche Bank empieza con comprar; en julio hubo una rebaja («Growth Is Great, But Not Great Enough To Avoid A Downgrade»)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de 1.000 M USD al 5,5 % a 2031; deuda ordinaria, sin dilución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2026-02-25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colectiva por accesibilidad (altura de las camas) y acuerdo de 12 M USD con camareros de San Francisco: importes pequeños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en su máximo histórico tras subir un 17 % en un mes con todo el sector hotelero (avisos P1 y P2, que no cambian la señal pero obligan a explicar la causa) y un 3,8 % el 20-oct por el paso al Nasdaq [31, 35]. No hay colocaciones, ampliaciones, ofertas ni decisiones judiciales pendientes que puedan mover el precio más de un 5 %; las ventas de directivos son pequeñas o ejercicios de opciones que vencían [29]. La posible entrada en el Nasdaq-100 es un hecho a favor, no en contra. Los resultados del 27-oct no aplazan la decisión (regla 11). Veredicto: no cambia.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precio de cierre de cada año y el beneficio de ese año, el PER de Hilton en base ajustada fue de 21x en 2018, 28x en 2019, 26x en 2022, 29x en 2023, 35x en 2024 y 35x en 2025; 2020 y 2021 se excluyen por la pandemia [31]. Hoy cotiza a 40x el BPA de los últimos 12 meses y ≈ 35x el de los próximos 12: la prima frente a su historia y frente a los comparables (mediana de ≈ 16x) se explica por el crecimiento de la red del 6-7 %, el margen del 74 % y las recompras, pero se ha ampliado mucho desde 2022 (≈ 20x adelantado al cierre de 2022) [32].</w:t>
      </w:r>
    </w:p>
    <w:p>
      <w:pPr>
        <w:pStyle w:val="Heading1"/>
      </w:pPr>
      <w:r>
        <w:t xml:space="preserve">18. Comparables cotizados</w:t>
      </w:r>
    </w:p>
    <w:p>
      <w:pPr>
        <w:pStyle w:val="Confianza"/>
        <w:spacing w:after="100"/>
      </w:pPr>
      <w:r>
        <w:t xml:space="preserve">Confianza: Media</w:t>
      </w:r>
    </w:p>
    <w:p>
      <w:pPr>
        <w:spacing w:after="100"/>
      </w:pPr>
      <w:r>
        <w:t xml:space="preserve">Grupos hoteleros de marcas, franquicia y gestión con poco inmueble: Marriott, IHG, Hyatt, Wyndham, Choice y Accor; y H World y Atour como grandes de China (ADS en USD, solo PER). Fuera Airbnb y Booking (otro modelo). El PER es el de los próximos 12 meses de Yahoo sobre BPA ajustado. La muestra está partida: Marriott, IHG y Hyatt cotizan a 25-36x y el resto a 12-18x.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Hilton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Marriott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Hotels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Hyatt Hotels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Wyndham Hotels &amp; Resorts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Choice Hotels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 World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Atour Lifestyle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 / 15,0x / 24,9x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349,55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 / 16,4x / 26,4x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 / 6,2x / 7,1x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101,32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-77,8 %</w:t>
            </w:r>
          </w:p>
        </w:tc>
      </w:tr>
    </w:tbl>
    <w:p>
      <w:pPr>
        <w:spacing w:after="160" w:before="0"/>
      </w:pPr>
    </w:p>
    <w:p>
      <w:pPr>
        <w:spacing w:after="100"/>
      </w:pPr>
      <w:r>
        <w:t xml:space="preserve">Hilton cotiza a 34,5x el BPA del consenso de 2027 frente a una mediana de comparables de 16,4x y a 30,2x de Marriott, su par más cercano [32]. La prima frente a IHG (25,2x) y Marriott se justifica en parte por el mayor crecimiento de la red (6-7 % frente a ≈ 5 %) y el margen, pero no frente a toda la muestra; las de gama económica (Wyndham, Choice, 14-15x) crecen menos y las chinas (12-15x) cargan riesgo país. Como el EBITDA de cada proveedor lleva ajustes distintos, para el valor se usa sobre todo el PER [32].</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7"/>
        <w:gridCol w:w="1780"/>
        <w:gridCol w:w="1676"/>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Graduate Hotels (marca y contratos de franquicia)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activos; múltiplo no publicado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Sydell Group (marca NoMad)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con opción de venta futura a un múltiplo de beneficio no publicado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Radisson Hotels Americas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Choice Hotels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Franquicia con tres hoteles en propiedad; múltiplo no publicado [37].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Leisure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Hyatt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2.700</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Marcas de resorts y distribución; múltiplo no publicado [37].</w:t>
            </w:r>
          </w:p>
        </w:tc>
      </w:tr>
    </w:tbl>
    <w:p>
      <w:pPr>
        <w:spacing w:after="160" w:before="0"/>
      </w:pPr>
    </w:p>
    <w:p>
      <w:pPr>
        <w:spacing w:after="160" w:before="0"/>
      </w:pPr>
    </w:p>
    <w:p>
      <w:pPr>
        <w:spacing w:after="100"/>
      </w:pPr>
      <w:r>
        <w:t xml:space="preserve">Las compras del sector son de marcas y plataformas pequeñas frente a Hilton (≈ 81.000 M USD de capitalización) y casi nunca publican múltiplo: no sirven para valorar el control y pesan 0. Hilton no tiene accionista de control; una oferta sobre ella es improbable por tamaño y competencia en EE. UU.</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(+6,5 %, fijo) es lo que dan el 1S26 (+6,3 % en los ingresos ajustados) y la guía de julio: red +6-7 % y RevPAR +3,0-3,5 % [3]. 2027e (+8,0 %) suma el empuje de la red a mitad de 2026 (cartera récord de 541.300 habitaciones, el 40 % del sistema, casi la mitad en obra) y un RevPAR de EE. UU. que la dirección ve en el 2-2,5 % [3, 17]. Después el crecimiento baja del 7,5 % al 4,0 % en 2033e: la red crece hoy un 6-7 % (más rápido que Marriott e IHG, 4,5-5 %) y el RevPAR como el PIB nominal de viajes [19]. El histórico 2022-2025 (+10 % anual) incluye la recuperación; 2024-2025 creció un 4,5-7,7 % con RevPAR plano en EE. UU. [2, 7].</w:t>
      </w:r>
    </w:p>
    <w:p>
      <w:pPr>
        <w:keepNext/>
        <w:spacing w:after="100"/>
      </w:pPr>
      <w:r>
        <w:rPr>
          <w:b/>
          <w:bCs/>
        </w:rPr>
        <w:t xml:space="preserve">Márgenes.</w:t>
      </w:r>
    </w:p>
    <w:p>
      <w:pPr>
        <w:spacing w:after="100"/>
      </w:pPr>
      <w:r>
        <w:t xml:space="preserve">Margen EBITDA (después de pagos en acciones) del 70,9 % en 2025; el 72,5 % de 2026e es la guía de EBITDA ajustado (4.040-4.080 M) menos ≈ 192 M de pagos en acciones [2, 3]. Sube hasta el 76 % en 2031e porque el coste del negocio de comisiones casi no crece (gastos generales de ≈ 400 M) mientras los ingresos crecen un 6-8 %: el margen ajustado pasó del 60,8 % de 2019 al 74,4 % de 2025 [2, 12]. Paramos la mejora en 2031e: más dinero clave, rebajas de cuotas de fidelidad a los propietarios (75-100 pb en 2025-2026) y la división de propiedad, de margen bajo, ponen techo [17].</w:t>
      </w:r>
    </w:p>
    <w:p>
      <w:pPr>
        <w:keepNext/>
        <w:spacing w:after="100"/>
      </w:pPr>
      <w:r>
        <w:rPr>
          <w:b/>
          <w:bCs/>
        </w:rPr>
        <w:t xml:space="preserve">Inversión y circulante.</w:t>
      </w:r>
    </w:p>
    <w:p>
      <w:pPr>
        <w:spacing w:after="100"/>
      </w:pPr>
      <w:r>
        <w:t xml:space="preserve">Inversión del 5,8-6,0 % de los ingresos: dinero clave (costes de captación de contratos, que en US GAAP van en el flujo operativo) e inmovilizado y software sin lo reembolsado; la guía de 2026 es de ≈ 300 M (5,6 %) y en 2025 fueron 416 M (8,3 %) [1, 3]. Amortización del 4,7 % (234 M en 2025, con la de los costes de contratos). Circulante del 26 % de los ingresos (clientes − proveedores en 2025: 1.314 M), prudente porque no contamos el crecimiento de los pasivos de Honors y diferidos (+481 M en 2025), que en la realidad financian ese circulante [4]. Tipo del 28,5 %, el implícito en la guía [3].</w:t>
      </w:r>
    </w:p>
    <w:p>
      <w:pPr>
        <w:keepNext/>
        <w:spacing w:after="100"/>
      </w:pPr>
      <w:r>
        <w:rPr>
          <w:b/>
          <w:bCs/>
        </w:rPr>
        <w:t xml:space="preserve">Coste del capital.</w:t>
      </w:r>
    </w:p>
    <w:p>
      <w:pPr>
        <w:spacing w:after="100"/>
      </w:pPr>
      <w:r>
        <w:t xml:space="preserve">Tasa libre del 5,12 % (bono del Tesoro a 10 años, 20-oct-2026 [33]), porque las cuentas, el precio y la deuda están en USD. Beta de 1,05: la mensual a cinco años frente al S&amp;P 500 es de 1,09 y la semanal a dos años de 0,78 [31]; tomamos la de un negocio cíclico de viajes con deuda de ≈ 3 veces el EBITDA. Prima de mercado del 5,5 %: coste del capital del 10,9 %. Coste de la deuda del 5,5 % (los dos últimos bonos, de 1.000 M cada uno al 5,5 % a 2031 y 2034 [1, 3]; media de la deuda del 5,03 %) con un tipo del 25 %, y peso de la deuda del 14 % a valor de mercado (13.400 M frente a ≈ 80.900 M de capitalización). WACC del 9,95 %; con la prima implícita de Damodaran (4,20 % [34]) sería del 8,8 %.</w:t>
      </w:r>
    </w:p>
    <w:p>
      <w:pPr>
        <w:keepNext/>
        <w:spacing w:after="100"/>
      </w:pPr>
      <w:r>
        <w:rPr>
          <w:b/>
          <w:bCs/>
        </w:rPr>
        <w:t xml:space="preserve">Valor terminal.</w:t>
      </w:r>
    </w:p>
    <w:p>
      <w:pPr>
        <w:spacing w:after="100"/>
      </w:pPr>
      <w:r>
        <w:t xml:space="preserve">Crecimiento a perpetuidad del 2,5 %: inflación esperada de EE. UU. (≈ 2-2,5 %) más poco crecimiento real, por debajo de la tasa libre menos medio punto (4,62 %). Una marca hotelera puede crecer algo más que el PIB nominal durante años por las conversiones de hoteles independientes, pero el valor terminal ya pesa el 62 % del valor de la empresa y ese crecimiento está en los años proyectados (6,3 % anual). Múltiplo de salida de referencia de 20 veces el EBITDA, por debajo del actual (25,5 veces).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127,93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164,22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 M (6 %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 (reinvierte el 15 %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 frente al 6,3 %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1.510 M, el 6 % del NOPAT, con un capex bruto medio del 6,0 % de las ventas). En un negocio de activos ligeros, el crecimiento medio del 6,3 %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neta +6 % (6,1 % interanual a junio, guía 6-7 %) y RevPAR +3 % (guía +3,0-3,5 %, con el Mundial en el 3T) [3]; «otros» −2,5 puntos: las comisiones de gestión por incentivos y la división de propiedad crecen menos y los hoteles nuevos tardan en madurar.</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neta +6 % con la cartera de 541.300 habitaciones (40 % del sistema, casi la mitad en obra) y RevPAR +2 % sin el Mundial (la dirección ve EE. UU. en el 2-2,5 %) [3,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neta +5,5 % y RevPAR +2 %: las conversiones y la gama media (Spark, LivSmart) sostienen la red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neta +5 % y RevPAR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neta +4,5 % y RevPAR +2 %: el crecimiento converge hacia el de la industria (≈ 4 % nominal) [19].</w:t>
            </w:r>
          </w:p>
        </w:tc>
      </w:tr>
    </w:tbl>
    <w:p>
      <w:pPr>
        <w:spacing w:after="160" w:before="0"/>
      </w:pPr>
    </w:p>
    <w:p>
      <w:pPr>
        <w:spacing w:after="100"/>
      </w:pPr>
      <w:r>
        <w:t xml:space="preserve">Sí. El crecimiento proyectado (6,3 % anual) está por debajo de lo que Hilton ha demostrado fuera de la pandemia (red neta +5-7 % y RevPAR +2-4 % al año) y casi no necesita capital: el motor no ve inversión neta porque la pagan los propietarios. La prueba en un negocio de activos ligeros es la cuota: Hilton pasa del ≈ 7,1 % a ≈ 9 % de las habitaciones mundiales en 2033e si su red crece un 5,5 % y la industria un 2 % (estimación propia con [3, 19]), 1,3 veces su cuota de hoy, coherente con una cartera de proyectos del 40 % del sistema y con que el 79 % de la cartera mundial es de marca. El foso es amplio (Honors con 260 M de socios, contratos de 10-30 años) [1, 18]. No se da un mercado final en cifras porque la industria se mide en ingresos de los hoteles y Hilton cobra comisiones sobre ellos; la prueba de cuota se hace con habitaciones.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21,7 % (base: 6,3 %)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106 % justifica el precio (base: 76,0 %)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 (WACC: 9,9 %)</w:t>
            </w:r>
          </w:p>
        </w:tc>
      </w:tr>
    </w:tbl>
    <w:p>
      <w:pPr>
        <w:spacing w:after="160" w:before="0"/>
      </w:pPr>
    </w:p>
    <w:p>
      <w:pPr>
        <w:spacing w:after="100"/>
      </w:pPr>
      <w:r>
        <w:t xml:space="preserve">El DCF da 136,96 USD por acción, un 61,9 % por debajo del precio de 359,29, con un WACC del 9,95 % y un valor terminal que pesa el 62 %. El DCF inverso explica la distancia: para justificar el precio harían falta ingresos +21,7 % anual en 2027e-2033e (el base es del 6,3 %) o, con nuestro crecimiento, ningún margen posible; la rentabilidad anual implícita en el precio es del 6,1 %, apenas un punto sobre el bono de EE. UU. (5,12 %) y por debajo del WACC (9,95 %) y de lo que pide el mercado (8,8 %). Con la prima implícita del mercado el valor sube a 174,92 USD, aún un 51 % por debajo. El rendimiento del flujo libre es del 2,4 %, menos de la mitad que el bono. El mercado paga la calidad (ROIC operativo del 17 % y creciente, foso amplio, BPA +15 % al año con recompras) como si los tipos fueran a bajar mucho o el crecimiento fuera a durar décadas. Es el mismo patrón que Marriott e IHG (25-30 veces): todo el sector de marcas hoteleras cotiza muy por encima de su valor intrínseco con un bono al 5 %.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Recesión de viajes en EE. UU. en 2027 (como en 2009 o en el 3T-4T25, pero más larga): el RevPAR cae un 10-15 %, los ingresos ajustados un 6 % y el margen cuatro puntos; después la red crece un punto y medio menos por más bajas y menos firmas, y los agentes de IA cobran comisión por parte de las reservas. WACC +0,5 puntos y terminal del 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neta +6 % hasta 2027 y después bajando al 4 %; RevPAR +2-3 % al año; margen EBITDA del 72,5 % al 76 % en 2031; recompras al ritmo de la caja libre (no incluidas en el DCF, que valora la empresa).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157,09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vuelve a un RevPAR del 3-4 % con poca oferta nueva y la red sigue en el 7 % con conversiones: un punto y medio más de crecimiento y de margen al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359,2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128,05 USD (-64,4 %).</w:t>
      </w:r>
    </w:p>
    <w:p>
      <w:pPr>
        <w:spacing w:after="100"/>
      </w:pPr>
      <w:r>
        <w:t xml:space="preserve">Los tres escenarios quedan muy por debajo del precio: el alcista vale 157,09 USD (−56 %) y el bajista 81,18 (−77 %). No hay asimetría a favor: incluso con la red al 7 % y el margen en el 77,5 %, el flujo libre descontado al 9,95 % no llega a la mitad del precio. El valor depende sobre todo del WACC y del terminal (el DCF va de 117 a 163 USD con WACC y crecimiento ± 0,5 puntos), no del ciclo: por eso la decisión a 12 meses la da el múltiplo y no el DCF.</w:t>
      </w:r>
    </w:p>
    <w:p>
      <w:pPr>
        <w:pStyle w:val="Heading1"/>
      </w:pPr>
      <w:r>
        <w:t xml:space="preserve">22. Suma de partes</w:t>
      </w:r>
    </w:p>
    <w:p>
      <w:pPr>
        <w:pStyle w:val="Confianza"/>
        <w:spacing w:after="100"/>
      </w:pPr>
      <w:r>
        <w:t xml:space="preserve">Confianza: Alta</w:t>
      </w:r>
    </w:p>
    <w:p>
      <w:pPr>
        <w:spacing w:after="100"/>
      </w:pPr>
      <w:r>
        <w:t xml:space="preserve">No aplica: el 95 % del EBITDA de las divisiones viene del negocio de gestión y franquicia (comisiones sobre ≈ 9.300 hoteles de otros: 3.575 M en 2025); la división de propiedad (46 hoteles propios o arrendados, 177 M de EBITDA) es pequeña y con margen bajo, y no cambia el valor si se valora aparte [1, 2].</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359,2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361,09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spacing w:after="100"/>
      </w:pPr>
      <w:r>
        <w:rPr>
          <w:b/>
          <w:bCs/>
        </w:rPr>
        <w:t xml:space="preserve">Valor intrínseco ponderado (largo plazo):</w:t>
      </w:r>
      <w:r>
        <w:t xml:space="preserve"> 135,91 USD (-62,2 % sobre 359,29).</w:t>
      </w:r>
    </w:p>
    <w:p>
      <w:pPr>
        <w:spacing w:after="100"/>
      </w:pPr>
      <w:r>
        <w:t xml:space="preserve">Pesos: DCF 45 %, escenarios 45 % y comparables 10 %. El DCF es el método más limpio para un negocio de comisiones con poca inversión y flujos previsibles, y los escenarios recogen el ciclo de viajes. Los comparables pesan poco porque la muestra está partida: Marriott, IHG e Hyatt cotizan a 25-36 veces el BPA adelantado y el resto, con inmuebles, gama económica o China, a 12-18; la mediana (16,4) infravalora a Hilton y la de los tres grandes lo sobrevaloraría. Las transacciones no tienen múltiplos publicados y pesan 0. La dispersión es enorme: los métodos intrínsecos dan 81-175 USD y el mercado y los analistas 270-390. La diferencia es la tasa de descuento: la acción solo tiene sentido a este precio con una rentabilidad exigida del 6,1 %.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(35.3x) a mitad de camino hacia abajo, hacia la mediana de 5 años (30.5x)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385,73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408,36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r>
    </w:tbl>
    <w:p>
      <w:pPr>
        <w:spacing w:after="160" w:before="0"/>
      </w:pPr>
    </w:p>
    <w:p>
      <w:pPr>
        <w:spacing w:after="100"/>
      </w:pPr>
      <w:r>
        <w:rPr>
          <w:b/>
          <w:bCs/>
        </w:rPr>
        <w:t xml:space="preserve">Objetivo a 12 meses (ponderado):</w:t>
      </w:r>
      <w:r>
        <w:t xml:space="preserve"> 343,20 USD · rentabilidad -4,3 % (base +7,5 %) · señal Mantener.</w:t>
      </w:r>
    </w:p>
    <w:p>
      <w:pPr>
        <w:spacing w:after="100"/>
      </w:pPr>
      <w:r>
        <w:t xml:space="preserve">Para comparar, con la regla v2 (historia al cierre, mismo precio): 25,8x / 29,4x / 29,4x, -9,3 %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(9,11 USD) coincide con el consenso (9,05; guía 8,89-9,01 sin las recompras del 2S) y el de 2027e (10,45) también (10,42) [3, 32]: nosotros no contamos recompras nuevas (el consenso sí, ≈ 3.500 M al año) pero suponemos algo más de margen y menos intereses porque la caja se queda en la empresa. Nuestro precio base a 12 meses (385,73 USD) está un 9,0 % por encima del objetivo medio de los analistas (353,93; horquilla 270-390, 29 analistas) [32]: el mercado ya está por encima de ese objetivo.</w:t>
      </w:r>
    </w:p>
    <w:p>
      <w:pPr>
        <w:keepNext/>
        <w:spacing w:after="100"/>
      </w:pPr>
      <w:r>
        <w:rPr>
          <w:b/>
          <w:bCs/>
        </w:rPr>
        <w:t xml:space="preserve">Del valor intrínseco al objetivo a 12 meses.</w:t>
      </w:r>
    </w:p>
    <w:p>
      <w:pPr>
        <w:spacing w:after="100"/>
      </w:pPr>
      <w:r>
        <w:t xml:space="preserve">El objetivo a 12 meses (343,20 USD ponderado; 385,73 en el base) está 2,5 veces por encima del valor intrínseco (135,91 USD): el mercado valora Hilton por el múltiplo del beneficio y el DCF no lo justifica con un bono al 5,12 %. Cerrar esa distancia no depende de un catalizador con fecha sino de los tipos (con la prima del mercado el DCF sube a 174,92) o de muchos años de crecimiento por encima del previsto. La tesis no da rentabilidad a 12 meses: el base da +7,5 % con el dividendo y el ponderado −4,3 %, porque el bajista (una recesión de viajes) devolvería el PER al mínimo de 2022 (20,4 veces).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2026 (seis días después del corte)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RevPAR con el Mundial (guía ≈ +4 %), BPA ajustado de 2,28-2,34 USD, red neta y guía del 4T con calendario y elecciones en contra; primera lectura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Traslado de la cotización al Nasdaq</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efecto en el negocio; abre la puerta al Nasdaq-100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anual del Nasdaq-100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entra, compras de fondos indexados (efecto de flujo, no de valor)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RevPAR y red de 2027 y tamaño de la devolución al accionista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2027-1T</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Jubilación de Silcock; nuevo director de tecnología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 de la estrategia de IA y canal directo; sucesión de Nassetta (63 años)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Acuerdos de reserva con agentes de IA (Google, OpenAI) y con Navan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reserva sigue siendo directa y con Honors, reduce el riesgo de intermediación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interés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valor depende mucho de la tasa libre: con la prima del mercado el DCF sube un 28 %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cotiza a 35,3 veces el BPA de los próximos 12 meses, en máximos históricos tras subir un 17 % en un mes, frente a una mediana adelantada de cinco años de 30,5 y un mínimo de 20,4</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 si vuelve a la mediana; −42 % al mínimo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+13-15 % al año con recompras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Rebajas del consenso de BPA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viajes en EE. UU. (63 % de las habitaciones y ≈ 79 % de los ingresos): recesión, menos viajes internacionales a EE. UU., fin del efecto Mundial, elecciones de mitad de mandato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 −46 % (bajista de la regla)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franquicia cobra sobre las ventas de los hoteles, no sobre su beneficio; la red sigue creciendo en la recesión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RevPAR de EE. UU. negativo dos trimestres seguidos (pasó en el 3T y 4T25)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Agentes de IA que se conviertan en el nuevo intermediario de la reserva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Honors con 260 M de socios; AI Planner propio; conexión directa con Navan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canal directo o de las noches de socios de Honors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Oriente Medio: demanda débil, restricciones de viajes oficiales, conflicto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Oriente Medio y África son el 3 % de las habitaciones; China pesa poco en las comisiones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RevPAR de Asia-Pacífico negativo; Oriente Medio otro trimestre a −30 %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Salud de los propietarios y competencia por firmar: más dinero clave y cuotas más bajas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récord del 40 % del sistema; marcas de conversión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Dinero clave por encima de 350 M al año o red neta por debajo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patrimonio negativo (−6.303 M) y deuda neta de ≈ 3,2 veces el EBITDA para seguir recomprando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en una crisis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vencimientos relevantes hasta 2029 salvo 600 M en 2027; cobertura de intereses de 5,4 veces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suspendida o deuda neta por encima de 3,5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del consejero delegado (Nassetta, 19 años en el cargo, sin sucesor anunciado)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estable; director financiero desde 2013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salida sin sucesor interno</w:t>
            </w:r>
          </w:p>
        </w:tc>
      </w:tr>
    </w:tbl>
    <w:p>
      <w:pPr>
        <w:spacing w:after="160" w:before="0"/>
      </w:pPr>
    </w:p>
    <w:p>
      <w:pPr>
        <w:pStyle w:val="Heading2"/>
      </w:pPr>
      <w:r>
        <w:t xml:space="preserve">Pre-mortem</w:t>
      </w:r>
    </w:p>
    <w:p>
      <w:pPr>
        <w:spacing w:after="100"/>
      </w:pPr>
      <w:r>
        <w:t xml:space="preserve">Octubre de 2029: la acción ha perdido un 45 %. La economía de EE. UU. entró en recesión a mediados de 2027 y el RevPAR del país cayó un 10 % en un año, justo después del pico del Mundial de 2026. El BPA de 2027 bajó y el mercado dejó de pagar 35 veces: el PER volvió a 20, como en 2022. Al mismo tiempo, Google y OpenAI llevaban dos años vendiendo hoteles dentro de sus agentes: los huéspedes jóvenes reservaban sin entrar en la aplicación de Hilton y los propietarios empezaron a preguntar para qué pagaban la cuota de Honors si la reserva venía del agente. Hilton respondió con más dinero clave y rebajas de cuotas para retener hoteles; el margen dejó de subir. Con el patrimonio negativo y la deuda en 3,5 veces el EBITDA, frenó la recompra y el BPA dejó de crecer por esa vía. Lo que lo habría anticipado: el RevPAR de EE. UU. del 4T26 y 1T27, la caída del canal directo y un dinero clave creciente.</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−5 a −10 % a 3-5 años (con la oportunidad de costes, ≈ −5 %)</w:t>
      </w:r>
    </w:p>
    <w:p>
      <w:pPr>
        <w:spacing w:after="100"/>
      </w:pPr>
      <w:r>
        <w:t xml:space="preserve">La IA toca la parte más valiosa de Hilton: la distribución y la fidelidad, que es lo que justifica las comisiones de marca que pagan los propietarios. El 10-K de 2025 ya cita los grandes modelos de lenguaje y los buscadores como riesgo para el canal directo [1]. Si los agentes de Google u OpenAI se convierten en el sitio donde se elige y se reserva, pueden cobrar como una agencia en línea (15-20 %), devolver poder a los intermediarios y debilitar el vínculo con Honors (260 M de socios) [1, 18]. Hilton se mueve: lanzó el Hilton AI Planner en marzo de 2026, conectó su inventario directamente con Navan (viajes de empresa) para saltarse intermediarios, ha creado el puesto de director de tecnología para la plataforma de IA y su consejero delegado llama a la IA «imparable» [17, 21, 22, 30]. A favor: la IA baja costes de atención y operaciones, y una marca con datos de 260 M de socios y el mayor inventario de gama media de EE. UU. es imprescindible para los agentes. Señal de alarma: caída de la proporción de reservas directas o de las noches de socios, o un acuerdo con un agente que cobre comisión.</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para las cifras es el personal y la relación con los propietarios. Hilton emplea a ≈ 182.000 personas en hoteles gestionados y oficinas; los costes laborales los paga el propietario, pero los litigios recaen en Hilton (acuerdo de 12 M USD con camareros de San Francisco en 2026) [1, 25]. Las emisiones de los hoteles son de los propietarios; Hilton fija normas de marca. La reputación de la marca depende de franquiciados que no controla: en enero de 2026 retiró la marca a un hotel de Minneapolis que se negó a alojar a agentes de inmigración [23].</w:t>
      </w:r>
    </w:p>
    <w:p>
      <w:pPr>
        <w:pStyle w:val="Heading2"/>
      </w:pPr>
      <w:r>
        <w:t xml:space="preserve">Controversias</w:t>
      </w:r>
    </w:p>
    <w:p>
      <w:pPr>
        <w:spacing w:after="100"/>
      </w:pPr>
      <w:r>
        <w:t xml:space="preserve">En 2026: hotel de Minneapolis expulsado del sistema por negarse a alojar a agentes de inmigración (enero) [23]; acuerdo de 12 M USD con camareros de banquetes de San Francisco (febrero) [25]; demanda colectiva por la altura de las camas en habitaciones adaptadas (febrero) [24]. Ninguna mueve las cifras.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RevPAR de 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+5,4 % del 2T26 en EE. UU. fue el Mundial y qué RevPAR esperan para 2027 sin él y con las elecciones de mitad de mandato?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es el 63 % de las habitaciones; el bajista de la regla es una recesión de viajes allí.</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Agentes de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qué condiciones (comisión, puntos de Honors, datos del cliente) se reserva a través de los agentes de Google y de ChatGPT, y qué parte de las reservas viene ya de ahí y de Navan?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agente cobra como una agencia, el margen de los propietarios y el valor de la marca bajan.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Dinero clave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dinero clave neto pasó de 105 M en 2024 a 231 M en 2025, y qué retorno exigen por habitación firmada?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inversión que sostiene la red; si crece más que las comisiones, el ROIC baja.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Tarjetas de crédito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aportan las licencias de las tarjetas de American Express y cuándo se renueva el acuerdo?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Crecieron con HGV 104 M en 2025: son la parte de las comisiones que no depende de las noches.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y 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¿Hasta qué deuda neta sobre EBITDA mantendrían la recompra en una recesión como la de 2009?</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recompras aportan 4-5 puntos al crecimiento anual del BPA.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 y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autores alaban el modelo y el crecimiento de la red, pero varios titulan que la valoración «ha ido demasiado lejos» (junio) o que el crecimiento «no basta para evitar una rebaja» (julio); Wolfe prefiere Hyatt en lujo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($HLT)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Euforia por el máximo histórico y el paso al Nasdaq (posible Nasdaq-100); algún bajista habla del «rally hotelero de la guerra de Irán» como algo difícil de explicar y de Marriott a más de 40x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 Yahoo (artículos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Repiten que la acción «parece valorada del todo» tras subir un 130 % y explican el patrimonio negativo por recompras [22].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Merlintrader (blog de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preguntan si el 6 % de red puede con un déficit patrimonial de 6.300 M y comparan la caja que queda tras deuda en hoteleras y casinos [40].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les dan la razón: ≈ 35x el BPA de los próximos 12 meses frente a una mediana adelantada de 5 años de ≈ 30x y un valor intrínseco muy inferior al precio (sección de valoración).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 y Nasdaq-100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traslado es un hecho (5-nov) [39]; la entrada en el índice no está anunciada y su efecto sería de flujos, no de beneficio.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Patrimonio negativo y deuda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fruto de las recompras, no de pérdidas; la deuda neta es ≈ 3 veces el EBITDA y los vencimientos llegan en 2029-2030 (sección de balance) [40].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de viajes y geopolítica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RevPAR de EE. UU. volvió a positivo en 2026, pero la mitad del 2T fue por hechos puntuales (Mundial), según la propia empresa [38].</w:t>
            </w:r>
          </w:p>
        </w:tc>
      </w:tr>
    </w:tbl>
    <w:p>
      <w:pPr>
        <w:spacing w:after="160" w:before="0"/>
      </w:pPr>
    </w:p>
    <w:p>
      <w:pPr>
        <w:spacing w:after="100"/>
      </w:pPr>
      <w:r>
        <w:t xml:space="preserve">El sentimiento de los particulares es más alcista que nunca en precio (máximo histórico, Nasdaq), mientras los analistas que escriben en Seeking Alpha llevan desde junio diciendo que la valoración está llena; el consenso profesional tiene un objetivo medio de 354 USD, ya por debajo del precio. No aporta un riesgo que el informe no recoja; sí confirma que el precio depende del múltiplo más que del beneficio.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41 (25 primarias); citas distintas en el texto: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26,0 % frente a 26,2 % real: genera una variación de circulante de 74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 fuentes (25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13, 15, 16.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Cálculo propio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y 10-Q 2T26 (grep «Moody», «S&amp;P», «rating»): no lo publican; 2) 8-K de las emisiones de mayo de 2026 y diciembre de 2025: no lo citan; 3) búsqueda web de una acción de S&amp;P o Moody's en 2026: sin resultado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nota de deuda: da vencimientos, no vida media; 2) 10-Q 2T26: igual; 3) cálculo con el calendario: no se hace por los préstamos a plazo de 2030 con amortización variable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3T24, 1T25 y 2T25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esos trimestres no descargadas (solo los comparativos de 3T25, 1T26 y 2T26); 2) 10-K 2025 (solo anual); 3) derivado de los acumulados: no hay acumulados de 2023 por trimestre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y proxy 2026 (grep «MSCI», «Sustainalytics», «CDP»): no las citan; 2) web de inversores de Hilton: no accesible sin navegador; 3) búsqueda web: sin una fuente primaria de la agencia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pagados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nota 3 (Graduate, NoMad): sin EBITDA; 2) 8-K de Choice y nota de Hyatt: sin múltiplo; 3) prensa: cifras sin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EBITDA y BPA de 2028e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 WebFetch: página de acceso sin datos; 2) búsqueda web de la tabla de MarketScreener: solo hasta 2027; 3) Simply Wall St da beneficio total de 2028 (9 analistas) sin BPA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notas de deuda, adquisiciones, ingresos, Hilton Honors, segmentos, riesgos)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Hilton Worldwide Holdings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https://www.sec.gov/Archives/edgar/data/1585689/000158568926000007/hlt-20251231.htm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Hilton Reports Fourth Quarter and Full Year Results 2025 (conciliaciones no GAAP,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Hilton Worldwide Holdings Inc.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https://www.sec.gov/Archives/edgar/data/1585689/000158568926000005/q42025earningsrelease.htm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Reports Second Quarter Results 2026 (cuenta, RevPAR, cartera de proyectos, deuda, guía)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Worldwide Holdings Inc.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https://www.sec.gov/Archives/edgar/data/1585689/000158568926000042/q22026earningsrelease.htm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segundo trimestre de 2026 (balance, flujos, recompras, RevPAR por región)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Worldwide Holdings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https://www.sec.gov/Archives/edgar/data/1585689/000158568926000043/hlt-20260630.htm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Reports First Quarter Results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Worldwide Holdings Inc.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https://www.sec.gov/Archives/edgar/data/1585689/000158568926000031/q12026earningsrelease.htm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Reports Third Quarter Results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Worldwide Holdings Inc.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https://www.sec.gov/Archives/edgar/data/1585689/000158568925000158/q32025earningsrelease.htm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Reports Fourth Quarter and Full Year Results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Worldwide Holdings Inc.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https://www.sec.gov/Archives/edgar/data/1585689/000158568925000006/q42024earningsrelease.htm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Reports Fourth Quarter and Full Year Results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Worldwide Holdings Inc.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https://www.sec.gov/Archives/edgar/data/1585689/000158568924000023/q42023earningsrelease.htm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Reports Fourth Quarter and Full Year Results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Worldwide Holdings Inc.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https://www.sec.gov/Archives/edgar/data/1585689/000158568923000032/q42022earningsrelease.htm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Reports Fourth Quarter and Full Year Results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Worldwide Holdings Inc.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https://www.sec.gov/Archives/edgar/data/1585689/000158568922000009/a2021-q4earningsrelease.htm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Reports Fourth Quarter and Full Year Results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Worldwide Holdings Inc.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https://www.sec.gov/Archives/edgar/data/1585689/000158568921000011/a2020-q4earningsrelease.htm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Reports Fourth Quarter and Full Year Results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Worldwide Holdings Inc.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https://www.sec.gov/Archives/edgar/data/1585689/000158568920000010/a2019-q4earningsrelease.htm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Reports Fourth Quarter and Full Year Results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Worldwide Holdings Inc.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https://www.sec.gov/Archives/edgar/data/1585689/000158568919000032/a2018-q4earningsrelease.htm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Hilton (10-K): balance, flujos, intangibles, pasivos de contratos 2016-2025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https://data.sec.gov/api/xbrl/companyfacts/CIK0001585689.json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2023 (balance de 2022 y 2023: marcas, contratos, pasivos de fidelidad)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Worldwide Holdings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https://www.sec.gov/Archives/edgar/data/1585689/000158568924000027/hlt-20231231.htm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2021 (balance de 2020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Worldwide Holdings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https://www.sec.gov/Archives/edgar/data/1585689/000158568922000013/hlt-20211231.htm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2T26 (generada por máquina)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Platform Aeronaut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https://transcripts.platformaeronaut.com/transcripts/HLT-2Q26-transcript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Announces Planned Transfer of Stock Listing to Nasdaq (historia: 1946, 2013, de 10 a 28 marcas)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Worldwide Holdings Inc.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https://www.sec.gov/Archives/edgar/data/1585689/000158568926000045/projectrepositionrelease.htm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Hotels Group, Annual Report 2025 y Half Year Results 2026: tamaño de la industria (≈ 750.000 M USD), cinco grandes 24 %, oferta de EE. UU. (STR) — leídos en el informe de IHG de este repositorio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Hotels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https://www.ihgplc.com/~/media/Files/I/Ihg-Plc/results/2026/half-year-results-2026/stock-exchange-announcement.pdf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de los 10-K 2025 de Marriott, Wyndham, Choice y Airbnb y ESEF de Accor (ingresos y resultado de explotación), recogidos en el informe de IHG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y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https://data.sec.gov/api/xbrl/companyfacts/CIK0001048286.json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Introduces the Hilton AI Planner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Hospitality 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https://www.hospitalitynet.org/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CEO calls the rise of AI «unstoppable»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https://finance.yahoo.com/quote/HLT/news/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removes Minneapolis hotel after franchise refuses to host US immigration agents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https://www.reuters.com/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faces ADA lawsuit over bed heights in accessible hotel rooms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Class Actions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https://topclassactions.com/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reaches $12M settlement with San Francisco banquet workers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Journal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https://www.dailyjournal.com/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comisiones, remuneración, accionistas significativos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Worldwide Holdings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https://www.sec.gov/Archives/edgar/data/1585689/000158568926000023/hlt-20260401.htm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14-may-2026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Worldwide Holdings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https://www.sec.gov/Archives/edgar/data/1585689/000158568926000037/hlt-20260514.htm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retiro de Christopher Silcock y cambios en la dirección (5-may-2026)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Worldwide Holdings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https://www.sec.gov/Archives/edgar/data/1585689/000119312526205180/d29790d8k.htm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presentados entre el 21-oct-2025 y el 21-oct-2026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https://www.sec.gov/cgi-bin/browse-edgar?action=getcompany&amp;CIK=0001585689&amp;type=4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 Moore has been appointed as EVP &amp; Chief Technology Officer at Hilton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Hospitality 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https://www.hospitalitynet.org/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Yahoo Finance: HLT, SPY y PEJ (herramientas/bolsa.mjs) y movimiento (herramientas/movimiento.mjs)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https://finance.yahoo.com/quote/HLT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de Hilton y comparables (precio, capitalización, valor empresa, EBITDA, PER adelantado, consenso de BPA, recomendaciones y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https://query2.finance.yahoo.com/v10/finance/quoteSummary/HLT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5,12 % 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https://home.treasury.gov/resource-center/data-chart-center/interest-rates/daily-treasury-rates.csv/2026/all?type=daily_treasury_yield_curve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y nota: traslado de la cotización al Nasdaq el 5-nov-2026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Worldwide Holdings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https://www.sec.gov/Archives/edgar/data/1585689/000158568926000045/hlt-20261020.htm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Hilton Announces Third Quarter 2026 Earnings Release Date (27-oct-2026)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 (vía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https://finviz.com/news/397222/hilton-announces-third-quarter-2026-earnings-release-date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de Choice Hotels: compra de Radisson Hotels Americas (675 M USD) y nota de Hyatt sobre Apple Leisure Group (2.700 M USD), recogidos en el informe de IHG del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y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https://www.sec.gov/Archives/edgar/data/1046311/000119312522172398/d358861d8k.htm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de HLT (RSS): Deutsche Bank a comprar (13-ago-2026), Wolfe (2-sep), rebaja (27-jul), «Valuation Has Gone A Bit Too Far» (1-jun)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https://seekingalpha.com/api/sa/combined/HLT.xml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HLT: traslado al Nasdaq y posible entrada en el Nasdaq-100 (Dow Jones Newswires); máximo histórico con 6,2 veces el volumen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https://api.stocktwits.com/api/2/streams/symbol/HLT.json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Merlintrader: «Can 6.1% Net Unit Growth Outrun a $6.3 Billion Deficit?» (3-sep) y hoteles tras renta, inversión y deuda (25-sep)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Merlintrader (vía 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https://www.merlintrader.com/hilton-worldwide-stock-hub/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Cálculos propios del analista sobre las cuentas de Hilton (ROIC operativo, cuota de habitaciones, BPA proyectado)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Cálculo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89,1 %</w:t>
      </w:r>
      <w:r>
        <w:t xml:space="preserve"> · Secciones con menos del 60 % de campos cubiertos: </w:t>
      </w:r>
      <w:r>
        <w:rPr>
          <w:b/>
          <w:bCs/>
        </w:rPr>
        <w:t xml:space="preserve">ninguna</w:t>
      </w:r>
      <w:r>
        <w:t xml:space="preserve"> · Generado el 21 oct 2026.</w:t>
      </w:r>
    </w:p>
    <w:p>
      <w:pPr>
        <w:pStyle w:val="Nota"/>
        <w:spacing w:after="100"/>
      </w:pPr>
      <w:r>
        <w:t xml:space="preserve">Cifras en millones de USD, ejercicio natural, US GAAP. La cuenta va en la base «ajustada» de Hilton, la de la guía, del BPA ajustado y del consenso: ingresos sin los reembolsos de costes de los hoteles gestionados y franquiciados (3.700-3.900 M al año que Hilton cobra y paga sin margen) y con la amortización de los costes de captación de contratos devuelta; EBITDA = EBITDA ajustado − pagos en acciones (170 M en 2025), y beneficio = beneficio ajustado por partidas especiales [2, 3]. El balance y los flujos son los del 10-K y el 10-Q (XBRL de la SEC) [4, 14]. El patrimonio es negativo (−6.303 M a 30-jun-2026) por las recompras: el ROE no significa nada y el ROIC se mide también sobre el capital operativo [4]. Los pasivos de Hilton Honors (3.077 M) y los ingresos diferidos (2.532 M) son pasivos de explotación, no deuda: se cancelan con estancias y crecen con el sistema [1, 4]. Precio: cierre del 20-oct-2026 (359,29 USD) [31]; la sesión del 21-oct abre a las 13:30 UTC, después de hacer el análisis, y la decisión se comprueba con el precio del día en las pruebas de robustez. El PER actual de la regla usa el BPA de los próximos 12 meses (2,3 meses de 2026e y 9,7 de 2027e), la misma base que la historia. </w:t>
      </w:r>
      <w:r>
        <w:rPr>
          <w:b/>
        </w:rPr>
        <w:t xml:space="preserve">Los resultados del 3T26 salen el 27-oct-2026, seis días después del corte</w:t>
      </w:r>
      <w:r>
        <w:t xml:space="preserve"> [36]: no están en este informe. Consenso de 2028 y calificación crediticia sin fuente primaria. Calificaciones ESG sin comprobar.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Hilton Worldwide Holdings Inc. (HLT)</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359,29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(253,54 – 360,40)</c:v>
                </c:pt>
                <c:pt idx="1">
                  <c:v>Precio objetivo de los analistas (270,00 – 390,00)</c:v>
                </c:pt>
                <c:pt idx="2">
                  <c:v>Comparables: PER NTM (148,75 – 268,57)</c:v>
                </c:pt>
                <c:pt idx="3">
                  <c:v>DCF (WACC y g ± 0,5) (117,05 – 162,93)</c:v>
                </c:pt>
                <c:pt idx="4">
                  <c:v>Escenarios (bajista – alcista) (81,18 – 157,09)</c:v>
                </c:pt>
                <c:pt idx="5">
                  <c:v>DCF con la prima implícita del mercado (4,2 %)</c:v>
                </c:pt>
                <c:pt idx="6">
                  <c:v>Precio actual (359,29)</c:v>
                </c:pt>
              </c:strCache>
            </c:strRef>
          </c:cat>
          <c:val>
            <c:numRef>
              <c:f>Hoja1!$B$2:$B$8</c:f>
              <c:numCache>
                <c:formatCode>#,##0</c:formatCode>
                <c:ptCount val="7"/>
                <c:pt idx="0">
                  <c:v>253.54</c:v>
                </c:pt>
                <c:pt idx="1">
                  <c:v>270</c:v>
                </c:pt>
                <c:pt idx="2">
                  <c:v>148.75</c:v>
                </c:pt>
                <c:pt idx="3">
                  <c:v>117.05</c:v>
                </c:pt>
                <c:pt idx="4">
                  <c:v>81.18</c:v>
                </c:pt>
                <c:pt idx="5">
                  <c:v>157.12</c:v>
                </c:pt>
                <c:pt idx="6">
                  <c:v>357.49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(253,54 – 360,40)</c:v>
                </c:pt>
                <c:pt idx="1">
                  <c:v>Precio objetivo de los analistas (270,00 – 390,00)</c:v>
                </c:pt>
                <c:pt idx="2">
                  <c:v>Comparables: PER NTM (148,75 – 268,57)</c:v>
                </c:pt>
                <c:pt idx="3">
                  <c:v>DCF (WACC y g ± 0,5) (117,05 – 162,93)</c:v>
                </c:pt>
                <c:pt idx="4">
                  <c:v>Escenarios (bajista – alcista) (81,18 – 157,09)</c:v>
                </c:pt>
                <c:pt idx="5">
                  <c:v>DCF con la prima implícita del mercado (4,2 %)</c:v>
                </c:pt>
                <c:pt idx="6">
                  <c:v>Precio actual (359,29)</c:v>
                </c:pt>
              </c:strCache>
            </c:strRef>
          </c:cat>
          <c:val>
            <c:numRef>
              <c:f>Hoja1!$C$2:$C$8</c:f>
              <c:numCache>
                <c:formatCode>#,##0</c:formatCode>
                <c:ptCount val="7"/>
                <c:pt idx="0">
                  <c:v>106.85999999999999</c:v>
                </c:pt>
                <c:pt idx="1">
                  <c:v>120</c:v>
                </c:pt>
                <c:pt idx="2">
                  <c:v>119.82</c:v>
                </c:pt>
                <c:pt idx="3">
                  <c:v>45.88000000000001</c:v>
                </c:pt>
                <c:pt idx="4">
                  <c:v>75.91</c:v>
                </c:pt>
                <c:pt idx="5">
                  <c:v>38.69999999999999</c:v>
                </c:pt>
                <c:pt idx="6">
                  <c:v>3.599999999999966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Gestión y franquicia</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2315</c:v>
                </c:pt>
                <c:pt idx="1">
                  <c:v>1138</c:v>
                </c:pt>
                <c:pt idx="2">
                  <c:v>1809</c:v>
                </c:pt>
                <c:pt idx="3">
                  <c:v>2619</c:v>
                </c:pt>
                <c:pt idx="4">
                  <c:v>3055</c:v>
                </c:pt>
                <c:pt idx="5">
                  <c:v>3339</c:v>
                </c:pt>
                <c:pt idx="6">
                  <c:v>3575</c:v>
                </c:pt>
              </c:numCache>
            </c:numRef>
          </c:val>
        </c:ser>
        <c:ser>
          <c:idx val="1"/>
          <c:order val="1"/>
          <c:tx>
            <c:strRef>
              <c:f>Hoja1!$C$1</c:f>
              <c:strCache>
                <c:ptCount val="1"/>
                <c:pt idx="0">
                  <c:v>Propiedad</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1422</c:v>
                </c:pt>
                <c:pt idx="1">
                  <c:v>421</c:v>
                </c:pt>
                <c:pt idx="2">
                  <c:v>598</c:v>
                </c:pt>
                <c:pt idx="3">
                  <c:v>1076</c:v>
                </c:pt>
                <c:pt idx="4">
                  <c:v>1244</c:v>
                </c:pt>
                <c:pt idx="5">
                  <c:v>1255</c:v>
                </c:pt>
                <c:pt idx="6">
                  <c:v>1233</c:v>
                </c:pt>
              </c:numCache>
            </c:numRef>
          </c:val>
        </c:ser>
        <c:ser>
          <c:idx val="2"/>
          <c:order val="2"/>
          <c:tx>
            <c:strRef>
              <c:f>Hoja1!$D$1</c:f>
              <c:strCache>
                <c:ptCount val="1"/>
                <c:pt idx="0">
                  <c:v>Otros, corporativo y eliminaciones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58</c:v>
                </c:pt>
                <c:pt idx="1">
                  <c:v>70</c:v>
                </c:pt>
                <c:pt idx="2">
                  <c:v>69</c:v>
                </c:pt>
                <c:pt idx="3">
                  <c:v>79</c:v>
                </c:pt>
                <c:pt idx="4">
                  <c:v>152</c:v>
                </c:pt>
                <c:pt idx="5">
                  <c:v>202</c:v>
                </c:pt>
                <c:pt idx="6">
                  <c:v>203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Gestión y franquicia</c:v>
                </c:pt>
                <c:pt idx="1">
                  <c:v>Propiedad</c:v>
                </c:pt>
                <c:pt idx="2">
                  <c:v>Otros, corporativo y eliminaciones</c:v>
                </c:pt>
              </c:strCache>
            </c:strRef>
          </c:cat>
          <c:val>
            <c:numRef>
              <c:f>Hoja1!$B$2:$B$4</c:f>
              <c:numCache>
                <c:formatCode>General</c:formatCode>
                <c:ptCount val="3"/>
                <c:pt idx="0">
                  <c:v>71.3</c:v>
                </c:pt>
                <c:pt idx="1">
                  <c:v>24.6</c:v>
                </c:pt>
                <c:pt idx="2">
                  <c:v>4.1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EE. UU.</c:v>
                </c:pt>
                <c:pt idx="1">
                  <c:v>Resto del mundo</c:v>
                </c:pt>
              </c:strCache>
            </c:strRef>
          </c:cat>
          <c:val>
            <c:numRef>
              <c:f>Hoja1!$B$2:$B$3</c:f>
              <c:numCache>
                <c:formatCode>0"%"</c:formatCode>
                <c:ptCount val="2"/>
                <c:pt idx="0">
                  <c:v>79.1</c:v>
                </c:pt>
                <c:pt idx="1">
                  <c:v>20.9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de la industria hotelera mundial; 2025 de IHG/STR, resto estimación propia))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2023</c:v>
                </c:pt>
                <c:pt idx="1">
                  <c:v>2024</c:v>
                </c:pt>
                <c:pt idx="2">
                  <c:v>2025</c:v>
                </c:pt>
                <c:pt idx="3">
                  <c:v>2026e</c:v>
                </c:pt>
                <c:pt idx="4">
                  <c:v>2027e</c:v>
                </c:pt>
                <c:pt idx="5">
                  <c:v>2028e</c:v>
                </c:pt>
              </c:strCache>
            </c:strRef>
          </c:cat>
          <c:val>
            <c:numRef>
              <c:f>Hoja1!$B$2:$B$7</c:f>
              <c:numCache>
                <c:formatCode>#,##0</c:formatCode>
                <c:ptCount val="6"/>
                <c:pt idx="0">
                  <c:v>690000</c:v>
                </c:pt>
                <c:pt idx="1">
                  <c:v>720000</c:v>
                </c:pt>
                <c:pt idx="2">
                  <c:v>750000</c:v>
                </c:pt>
                <c:pt idx="3">
                  <c:v>780000</c:v>
                </c:pt>
                <c:pt idx="4">
                  <c:v>810000</c:v>
                </c:pt>
                <c:pt idx="5">
                  <c:v>845000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Hilton</c:v>
                </c:pt>
                <c:pt idx="1">
                  <c:v>Marriott International</c:v>
                </c:pt>
                <c:pt idx="2">
                  <c:v>InterContinental Hotels Group</c:v>
                </c:pt>
                <c:pt idx="3">
                  <c:v>Wyndham Hotels &amp; Resorts</c:v>
                </c:pt>
                <c:pt idx="4">
                  <c:v>Choice Hotels International</c:v>
                </c:pt>
                <c:pt idx="5">
                  <c:v>Accor</c:v>
                </c:pt>
                <c:pt idx="6">
                  <c:v>Airbnb</c:v>
                </c:pt>
              </c:strCache>
            </c:strRef>
          </c:cat>
          <c:val>
            <c:numRef>
              <c:f>Hoja1!$B$2:$B$8</c:f>
              <c:numCache>
                <c:formatCode>0.0"%"</c:formatCode>
                <c:ptCount val="7"/>
                <c:pt idx="0">
                  <c:v>66.3</c:v>
                </c:pt>
                <c:pt idx="1">
                  <c:v>15.8</c:v>
                </c:pt>
                <c:pt idx="2">
                  <c:v>51.3</c:v>
                </c:pt>
                <c:pt idx="3">
                  <c:v>28.1</c:v>
                </c:pt>
                <c:pt idx="4">
                  <c:v>28.1</c:v>
                </c:pt>
                <c:pt idx="5">
                  <c:v>14.3</c:v>
                </c:pt>
                <c:pt idx="6">
                  <c:v>20.8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4</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strCache>
            </c:strRef>
          </c:cat>
          <c:val>
            <c:numRef>
              <c:f>Hoja1!$B$2:$B$17</c:f>
              <c:numCache>
                <c:formatCode>#,##0</c:formatCode>
                <c:ptCount val="16"/>
                <c:pt idx="0">
                  <c:v>3695</c:v>
                </c:pt>
                <c:pt idx="1">
                  <c:v>3795</c:v>
                </c:pt>
                <c:pt idx="2">
                  <c:v>1629</c:v>
                </c:pt>
                <c:pt idx="3">
                  <c:v>2476</c:v>
                </c:pt>
                <c:pt idx="4">
                  <c:v>3774</c:v>
                </c:pt>
                <c:pt idx="5">
                  <c:v>4451</c:v>
                </c:pt>
                <c:pt idx="6">
                  <c:v>4796</c:v>
                </c:pt>
                <c:pt idx="7">
                  <c:v>5011</c:v>
                </c:pt>
                <c:pt idx="8">
                  <c:v>5337</c:v>
                </c:pt>
                <c:pt idx="9">
                  <c:v>5764</c:v>
                </c:pt>
                <c:pt idx="10">
                  <c:v>6196</c:v>
                </c:pt>
                <c:pt idx="11">
                  <c:v>6630</c:v>
                </c:pt>
                <c:pt idx="12">
                  <c:v>7061</c:v>
                </c:pt>
                <c:pt idx="13">
                  <c:v>7484</c:v>
                </c:pt>
                <c:pt idx="14">
                  <c:v>7858</c:v>
                </c:pt>
                <c:pt idx="15">
                  <c:v>8173</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strCache>
            </c:strRef>
          </c:cat>
          <c:val>
            <c:numRef>
              <c:f>Hoja1!$C$2:$C$17</c:f>
              <c:numCache>
                <c:formatCode>#,##0</c:formatCode>
                <c:ptCount val="16"/>
                <c:pt idx="0">
                  <c:v>1974</c:v>
                </c:pt>
                <c:pt idx="1">
                  <c:v>2154</c:v>
                </c:pt>
                <c:pt idx="2">
                  <c:v>745</c:v>
                </c:pt>
                <c:pt idx="3">
                  <c:v>1436</c:v>
                </c:pt>
                <c:pt idx="4">
                  <c:v>2437</c:v>
                </c:pt>
                <c:pt idx="5">
                  <c:v>2920</c:v>
                </c:pt>
                <c:pt idx="6">
                  <c:v>3253</c:v>
                </c:pt>
                <c:pt idx="7">
                  <c:v>3555</c:v>
                </c:pt>
                <c:pt idx="8">
                  <c:v>3869</c:v>
                </c:pt>
                <c:pt idx="9">
                  <c:v>4236</c:v>
                </c:pt>
                <c:pt idx="10">
                  <c:v>4604</c:v>
                </c:pt>
                <c:pt idx="11">
                  <c:v>4972</c:v>
                </c:pt>
                <c:pt idx="12">
                  <c:v>5331</c:v>
                </c:pt>
                <c:pt idx="13">
                  <c:v>5688</c:v>
                </c:pt>
                <c:pt idx="14">
                  <c:v>5972</c:v>
                </c:pt>
                <c:pt idx="15">
                  <c:v>6211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53.4</c:v>
                </c:pt>
                <c:pt idx="1">
                  <c:v>56.8</c:v>
                </c:pt>
                <c:pt idx="2">
                  <c:v>45.7</c:v>
                </c:pt>
                <c:pt idx="3">
                  <c:v>58</c:v>
                </c:pt>
                <c:pt idx="4">
                  <c:v>64.6</c:v>
                </c:pt>
                <c:pt idx="5">
                  <c:v>65.6</c:v>
                </c:pt>
                <c:pt idx="6">
                  <c:v>67.8</c:v>
                </c:pt>
                <c:pt idx="7">
                  <c:v>70.9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49.4</c:v>
                </c:pt>
                <c:pt idx="1">
                  <c:v>52.2</c:v>
                </c:pt>
                <c:pt idx="2">
                  <c:v>33.7</c:v>
                </c:pt>
                <c:pt idx="3">
                  <c:v>51</c:v>
                </c:pt>
                <c:pt idx="4">
                  <c:v>60.5</c:v>
                </c:pt>
                <c:pt idx="5">
                  <c:v>62.2</c:v>
                </c:pt>
                <c:pt idx="6">
                  <c:v>63.8</c:v>
                </c:pt>
                <c:pt idx="7">
                  <c:v>66.3</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28.2</c:v>
                </c:pt>
                <c:pt idx="1">
                  <c:v>29.7</c:v>
                </c:pt>
                <c:pt idx="2">
                  <c:v>1.7</c:v>
                </c:pt>
                <c:pt idx="3">
                  <c:v>23.6</c:v>
                </c:pt>
                <c:pt idx="4">
                  <c:v>36</c:v>
                </c:pt>
                <c:pt idx="5">
                  <c:v>36.8</c:v>
                </c:pt>
                <c:pt idx="6">
                  <c:v>37.1</c:v>
                </c:pt>
                <c:pt idx="7">
                  <c:v>38.5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1">
                  <c:v>4.6</c:v>
                </c:pt>
                <c:pt idx="4">
                  <c:v>3.7</c:v>
                </c:pt>
                <c:pt idx="5">
                  <c:v>7.1</c:v>
                </c:pt>
                <c:pt idx="6">
                  <c:v>10.9</c:v>
                </c:pt>
                <c:pt idx="7">
                  <c:v>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114</c:v>
                </c:pt>
                <c:pt idx="1">
                  <c:v>121</c:v>
                </c:pt>
                <c:pt idx="2">
                  <c:v>173</c:v>
                </c:pt>
                <c:pt idx="3">
                  <c:v>157</c:v>
                </c:pt>
                <c:pt idx="4">
                  <c:v>128</c:v>
                </c:pt>
                <c:pt idx="5">
                  <c:v>122</c:v>
                </c:pt>
                <c:pt idx="6">
                  <c:v>120</c:v>
                </c:pt>
                <c:pt idx="7">
                  <c:v>123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0</c:v>
                </c:pt>
                <c:pt idx="4">
                  <c:v>0</c:v>
                </c:pt>
                <c:pt idx="5">
                  <c:v>0</c:v>
                </c:pt>
                <c:pt idx="6">
                  <c:v>0</c:v>
                </c:pt>
                <c:pt idx="7">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60</c:v>
                </c:pt>
                <c:pt idx="1">
                  <c:v>67</c:v>
                </c:pt>
                <c:pt idx="2">
                  <c:v>92</c:v>
                </c:pt>
                <c:pt idx="3">
                  <c:v>96</c:v>
                </c:pt>
                <c:pt idx="4">
                  <c:v>100</c:v>
                </c:pt>
                <c:pt idx="5">
                  <c:v>109</c:v>
                </c:pt>
                <c:pt idx="6">
                  <c:v>97</c:v>
                </c:pt>
                <c:pt idx="7">
                  <c:v>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1096</c:v>
                </c:pt>
                <c:pt idx="1">
                  <c:v>1137</c:v>
                </c:pt>
                <c:pt idx="2">
                  <c:v>590</c:v>
                </c:pt>
                <c:pt idx="3">
                  <c:v>-10</c:v>
                </c:pt>
                <c:pt idx="4">
                  <c:v>1537</c:v>
                </c:pt>
                <c:pt idx="5">
                  <c:v>1659</c:v>
                </c:pt>
                <c:pt idx="6">
                  <c:v>1777</c:v>
                </c:pt>
                <c:pt idx="7">
                  <c:v>1903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1041</c:v>
                </c:pt>
                <c:pt idx="1">
                  <c:v>1129</c:v>
                </c:pt>
                <c:pt idx="2">
                  <c:v>28</c:v>
                </c:pt>
                <c:pt idx="3">
                  <c:v>584</c:v>
                </c:pt>
                <c:pt idx="4">
                  <c:v>1357</c:v>
                </c:pt>
                <c:pt idx="5">
                  <c:v>1638</c:v>
                </c:pt>
                <c:pt idx="6">
                  <c:v>1780</c:v>
                </c:pt>
                <c:pt idx="7">
                  <c:v>1930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17.7</c:v>
                </c:pt>
                <c:pt idx="1">
                  <c:v>19.9</c:v>
                </c:pt>
                <c:pt idx="2">
                  <c:v>5.2</c:v>
                </c:pt>
                <c:pt idx="3">
                  <c:v>13.8</c:v>
                </c:pt>
                <c:pt idx="4">
                  <c:v>25.6</c:v>
                </c:pt>
                <c:pt idx="5">
                  <c:v>31.7</c:v>
                </c:pt>
                <c:pt idx="6">
                  <c:v>35.9</c:v>
                </c:pt>
                <c:pt idx="7">
                  <c:v>38.9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9.9</c:v>
                </c:pt>
                <c:pt idx="1">
                  <c:v>9.9</c:v>
                </c:pt>
                <c:pt idx="2">
                  <c:v>9.9</c:v>
                </c:pt>
                <c:pt idx="3">
                  <c:v>9.9</c:v>
                </c:pt>
                <c:pt idx="4">
                  <c:v>9.9</c:v>
                </c:pt>
                <c:pt idx="5">
                  <c:v>9.9</c:v>
                </c:pt>
                <c:pt idx="6">
                  <c:v>9.9</c:v>
                </c:pt>
                <c:pt idx="7">
                  <c:v>9.9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188.9</c:v>
                </c:pt>
                <c:pt idx="1">
                  <c:v>3272.5</c:v>
                </c:pt>
                <c:pt idx="2">
                  <c:v>-2.8</c:v>
                </c:pt>
                <c:pt idx="3">
                  <c:v>-50.5</c:v>
                </c:pt>
                <c:pt idx="4">
                  <c:v>-141.1</c:v>
                </c:pt>
                <c:pt idx="5">
                  <c:v>-94.6</c:v>
                </c:pt>
                <c:pt idx="6">
                  <c:v>-58.5</c:v>
                </c:pt>
                <c:pt idx="7">
                  <c:v>-42.3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3.48</c:v>
                </c:pt>
                <c:pt idx="1">
                  <c:v>3.46</c:v>
                </c:pt>
                <c:pt idx="2">
                  <c:v>9.76</c:v>
                </c:pt>
                <c:pt idx="3">
                  <c:v>5.11</c:v>
                </c:pt>
                <c:pt idx="4">
                  <c:v>3.09</c:v>
                </c:pt>
                <c:pt idx="5">
                  <c:v>2.88</c:v>
                </c:pt>
                <c:pt idx="6">
                  <c:v>3.03</c:v>
                </c:pt>
                <c:pt idx="7">
                  <c:v>3.22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25</c:v>
                </c:pt>
                <c:pt idx="1">
                  <c:v>619</c:v>
                </c:pt>
                <c:pt idx="2">
                  <c:v>12</c:v>
                </c:pt>
                <c:pt idx="3">
                  <c:v>1360</c:v>
                </c:pt>
                <c:pt idx="4">
                  <c:v>4124</c:v>
                </c:pt>
                <c:pt idx="5">
                  <c:v>7319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0</c:v>
                </c:pt>
                <c:pt idx="1">
                  <c:v>0</c:v>
                </c:pt>
                <c:pt idx="2">
                  <c:v>0</c:v>
                </c:pt>
                <c:pt idx="3">
                  <c:v>0</c:v>
                </c:pt>
                <c:pt idx="4">
                  <c:v>0</c:v>
                </c:pt>
                <c:pt idx="5">
                  <c:v>0</c:v>
                </c:pt>
                <c:pt idx="6">
                  <c:v>236</c:v>
                </c:pt>
                <c:pt idx="7">
                  <c:v>4</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181</c:v>
                </c:pt>
                <c:pt idx="1">
                  <c:v>172</c:v>
                </c:pt>
                <c:pt idx="2">
                  <c:v>42</c:v>
                </c:pt>
                <c:pt idx="3">
                  <c:v>0</c:v>
                </c:pt>
                <c:pt idx="4">
                  <c:v>123</c:v>
                </c:pt>
                <c:pt idx="5">
                  <c:v>158</c:v>
                </c:pt>
                <c:pt idx="6">
                  <c:v>150</c:v>
                </c:pt>
                <c:pt idx="7">
                  <c:v>143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1721</c:v>
                </c:pt>
                <c:pt idx="1">
                  <c:v>1538</c:v>
                </c:pt>
                <c:pt idx="2">
                  <c:v>296</c:v>
                </c:pt>
                <c:pt idx="3">
                  <c:v>0</c:v>
                </c:pt>
                <c:pt idx="4">
                  <c:v>1590</c:v>
                </c:pt>
                <c:pt idx="5">
                  <c:v>2338</c:v>
                </c:pt>
                <c:pt idx="6">
                  <c:v>2893</c:v>
                </c:pt>
                <c:pt idx="7">
                  <c:v>3182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Ejecutivo</c:v>
                </c:pt>
                <c:pt idx="2">
                  <c:v>Independiente</c:v>
                </c:pt>
              </c:strCache>
            </c:strRef>
          </c:cat>
          <c:val>
            <c:numRef>
              <c:f>Hoja1!$B$2:$B$4</c:f>
              <c:numCache>
                <c:formatCode>0</c:formatCode>
                <c:ptCount val="3"/>
                <c:pt idx="0">
                  <c:v>1</c:v>
                </c:pt>
                <c:pt idx="1">
                  <c:v>1</c:v>
                </c:pt>
                <c:pt idx="2">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The Vanguard Group</c:v>
                </c:pt>
                <c:pt idx="1">
                  <c:v>BlackRock</c:v>
                </c:pt>
                <c:pt idx="2">
                  <c:v>Consejeros y directivos (14 personas)</c:v>
                </c:pt>
              </c:strCache>
            </c:strRef>
          </c:cat>
          <c:val>
            <c:numRef>
              <c:f>Hoja1!$B$2:$B$4</c:f>
              <c:numCache>
                <c:formatCode>0.0"%"</c:formatCode>
                <c:ptCount val="3"/>
                <c:pt idx="0">
                  <c:v>11.1</c:v>
                </c:pt>
                <c:pt idx="1">
                  <c:v>8.4</c:v>
                </c:pt>
                <c:pt idx="2">
                  <c:v>2.7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28.7</c:v>
                </c:pt>
                <c:pt idx="1">
                  <c:v>44.5</c:v>
                </c:pt>
                <c:pt idx="2">
                  <c:v>-9.4</c:v>
                </c:pt>
                <c:pt idx="3">
                  <c:v>55.5</c:v>
                </c:pt>
                <c:pt idx="4">
                  <c:v>0.5</c:v>
                </c:pt>
                <c:pt idx="5">
                  <c:v>40.2</c:v>
                </c:pt>
                <c:pt idx="6">
                  <c:v>-18.7</c:v>
                </c:pt>
                <c:pt idx="7">
                  <c:v>44.7</c:v>
                </c:pt>
                <c:pt idx="8">
                  <c:v>36.1</c:v>
                </c:pt>
                <c:pt idx="9">
                  <c:v>16.5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14.6</c:v>
                </c:pt>
                <c:pt idx="1">
                  <c:v>18.4</c:v>
                </c:pt>
                <c:pt idx="2">
                  <c:v>51.3</c:v>
                </c:pt>
                <c:pt idx="3">
                  <c:v>35.6</c:v>
                </c:pt>
                <c:pt idx="4">
                  <c:v>17.5</c:v>
                </c:pt>
                <c:pt idx="5">
                  <c:v>19.3</c:v>
                </c:pt>
                <c:pt idx="6">
                  <c:v>22</c:v>
                </c:pt>
                <c:pt idx="7">
                  <c:v>22.5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18.9</c:v>
                </c:pt>
                <c:pt idx="1">
                  <c:v>18.9</c:v>
                </c:pt>
                <c:pt idx="2">
                  <c:v>18.9</c:v>
                </c:pt>
                <c:pt idx="3">
                  <c:v>18.9</c:v>
                </c:pt>
                <c:pt idx="4">
                  <c:v>18.9</c:v>
                </c:pt>
                <c:pt idx="5">
                  <c:v>18.9</c:v>
                </c:pt>
                <c:pt idx="6">
                  <c:v>18.9</c:v>
                </c:pt>
                <c:pt idx="7">
                  <c:v>18.9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2455</c:v>
                </c:pt>
                <c:pt idx="1">
                  <c:v>2649</c:v>
                </c:pt>
                <c:pt idx="2">
                  <c:v>2890</c:v>
                </c:pt>
                <c:pt idx="3">
                  <c:v>3133</c:v>
                </c:pt>
                <c:pt idx="4">
                  <c:v>3370</c:v>
                </c:pt>
                <c:pt idx="5">
                  <c:v>3608</c:v>
                </c:pt>
                <c:pt idx="6">
                  <c:v>3807</c:v>
                </c:pt>
                <c:pt idx="7">
                  <c:v>3978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16846</c:v>
                </c:pt>
                <c:pt idx="1">
                  <c:v>27677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359,29</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81.18</c:v>
                </c:pt>
                <c:pt idx="1">
                  <c:v>136.96</c:v>
                </c:pt>
                <c:pt idx="2">
                  <c:v>157.09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359,29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(253,54 – 360,40)</c:v>
                </c:pt>
                <c:pt idx="1">
                  <c:v>Precio objetivo de los analistas (270,00 – 390,00)</c:v>
                </c:pt>
                <c:pt idx="2">
                  <c:v>Comparables: PER NTM (148,75 – 268,57)</c:v>
                </c:pt>
                <c:pt idx="3">
                  <c:v>DCF (WACC y g ± 0,5) (117,05 – 162,93)</c:v>
                </c:pt>
                <c:pt idx="4">
                  <c:v>Escenarios (bajista – alcista) (81,18 – 157,09)</c:v>
                </c:pt>
                <c:pt idx="5">
                  <c:v>DCF con la prima implícita del mercado (4,2 %)</c:v>
                </c:pt>
                <c:pt idx="6">
                  <c:v>Precio actual (359,29)</c:v>
                </c:pt>
              </c:strCache>
            </c:strRef>
          </c:cat>
          <c:val>
            <c:numRef>
              <c:f>Hoja1!$B$2:$B$8</c:f>
              <c:numCache>
                <c:formatCode>#,##0</c:formatCode>
                <c:ptCount val="7"/>
                <c:pt idx="0">
                  <c:v>253.54</c:v>
                </c:pt>
                <c:pt idx="1">
                  <c:v>270</c:v>
                </c:pt>
                <c:pt idx="2">
                  <c:v>148.75</c:v>
                </c:pt>
                <c:pt idx="3">
                  <c:v>117.05</c:v>
                </c:pt>
                <c:pt idx="4">
                  <c:v>81.18</c:v>
                </c:pt>
                <c:pt idx="5">
                  <c:v>157.12</c:v>
                </c:pt>
                <c:pt idx="6">
                  <c:v>357.49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(253,54 – 360,40)</c:v>
                </c:pt>
                <c:pt idx="1">
                  <c:v>Precio objetivo de los analistas (270,00 – 390,00)</c:v>
                </c:pt>
                <c:pt idx="2">
                  <c:v>Comparables: PER NTM (148,75 – 268,57)</c:v>
                </c:pt>
                <c:pt idx="3">
                  <c:v>DCF (WACC y g ± 0,5) (117,05 – 162,93)</c:v>
                </c:pt>
                <c:pt idx="4">
                  <c:v>Escenarios (bajista – alcista) (81,18 – 157,09)</c:v>
                </c:pt>
                <c:pt idx="5">
                  <c:v>DCF con la prima implícita del mercado (4,2 %)</c:v>
                </c:pt>
                <c:pt idx="6">
                  <c:v>Precio actual (359,29)</c:v>
                </c:pt>
              </c:strCache>
            </c:strRef>
          </c:cat>
          <c:val>
            <c:numRef>
              <c:f>Hoja1!$C$2:$C$8</c:f>
              <c:numCache>
                <c:formatCode>#,##0</c:formatCode>
                <c:ptCount val="7"/>
                <c:pt idx="0">
                  <c:v>106.85999999999999</c:v>
                </c:pt>
                <c:pt idx="1">
                  <c:v>120</c:v>
                </c:pt>
                <c:pt idx="2">
                  <c:v>119.82</c:v>
                </c:pt>
                <c:pt idx="3">
                  <c:v>45.88000000000001</c:v>
                </c:pt>
                <c:pt idx="4">
                  <c:v>75.91</c:v>
                </c:pt>
                <c:pt idx="5">
                  <c:v>38.69999999999999</c:v>
                </c:pt>
                <c:pt idx="6">
                  <c:v>3.599999999999966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