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18 de 20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del BPA base ≤ 25 % anual desde el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97,1 %</w:t>
      </w:r>
      <w:r>
        <w:t xml:space="preserve"> · Secciones con menos del 60 % de campos cubiertos: </w:t>
      </w:r>
      <w:r>
        <w:rPr>
          <w:b/>
          <w:bCs/>
        </w:rPr>
        <w:t xml:space="preserve">ninguna</w:t>
      </w:r>
      <w:r>
        <w:t xml:space="preserve"> · Generado el 14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2026-10-14T17:04:42.347Z</dcterms:created>
  <dcterms:modified xsi:type="dcterms:W3CDTF">2026-10-14T17:04:42.347Z</dcterms:modified>
</cp:coreProperties>
</file>

<file path=docProps/custom.xml><?xml version="1.0" encoding="utf-8"?>
<Properties xmlns="http://schemas.openxmlformats.org/officeDocument/2006/custom-properties" xmlns:vt="http://schemas.openxmlformats.org/officeDocument/2006/docPropsVTypes"/>
</file>