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PepsiCo, Inc.</w:t>
      </w:r>
    </w:p>
    <w:p>
      <w:pPr>
        <w:spacing w:after="60"/>
        <w:rPr>
          <w:color w:val="52514E"/>
          <w:sz w:val="22"/>
          <w:szCs w:val="22"/>
        </w:rPr>
      </w:pPr>
      <w:r>
        <w:rPr>
          <w:color w:val="52514E"/>
          <w:sz w:val="22"/>
          <w:szCs w:val="22"/>
        </w:rPr>
        <w:t xml:space="preserve">PEP · Nasdaq Global Select Market · ISIN US7134481081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123,73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n.d.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+26,8 % (del valor intrínseco: falta el objetivo a 12 meses)</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151,16 USD · mercado 164,85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169.250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PepsiCo,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 / US7134481081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www.pepsico.com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123,73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123,47 – 171,48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169.250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210.294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8,2 M acciones/día, ≈ 1.118 M USD/día (3 meses, 64 sesiones) [76]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n.d.</w:t>
      </w:r>
      <w:r>
        <w:t xml:space="preserve"> frente a 123,73 · Rentabilidad a 12 meses </w:t>
      </w:r>
      <w:r>
        <w:rPr>
          <w:b/>
          <w:bCs/>
        </w:rPr>
        <w:t xml:space="preserve">+26,8 % (del valor intrínseco: falta el objetivo a 12 meses)</w:t>
      </w:r>
      <w:r>
        <w:t xml:space="preserve"> · Valor intrínseco 151,16 USD · con la prima implícita del mercado: 164,85 (+33,2 %) · Alcista / bajista +60,0 % / -25,0 %</w:t>
      </w:r>
    </w:p>
    <w:p>
      <w:pPr>
        <w:spacing w:after="100"/>
      </w:pPr>
      <w:r>
        <w:rPr>
          <w:b/>
        </w:rPr>
        <w:t xml:space="preserve">La recomendación y por qué.</w:t>
      </w:r>
      <w:r>
        <w:t xml:space="preserve"> Comprar, con convicción baja. El valor objetivo es de 151,16 USD frente a un precio de 123,73 USD: un potencial del 22,2 % y una rentabilidad total esperada del 26,8 % con el dividendo del 4,6 %. El alcista gana un 60,0 % y el bajista pierde un 25,0 %, una asimetría de 2,40 veces. A este precio el mercado descuenta que PepsiCo no vuelve a crecer, y los datos de 2026 no lo sostienen. La convicción es baja porque nuestras cifras están en el consenso o por debajo, así que la diferencia nace del coste del capital, y las estimaciones bajan.</w:t>
      </w:r>
    </w:p>
    <w:p>
      <w:pPr>
        <w:spacing w:after="100"/>
      </w:pPr>
      <w:r>
        <w:rPr>
          <w:b/>
        </w:rPr>
        <w:t xml:space="preserve">El negocio.</w:t>
      </w:r>
      <w:r>
        <w:t xml:space="preserve"> Es calidad castigada más que declive, pero con una herida real en Norteamérica. El ROIC es del 21,3 %, casi tres veces el WACC del 7,58 %, y el margen EBITDA recurrente (19,5 %) está en máximos de cinco años. El volumen de snacks de Norteamérica cayó de 2023 a 2025 tras subir precios un 10 % en 2023 [3]. En 2026 vuelve a crecer, pero comprado con precio: −2 puntos en el 2T26 y un 8 % menos de beneficio core en divisa constante en ese segmento [16]. En bebidas la cuota en EE. UU. bajó del 19 % al 16 % entre 2023 y 2025 [1]. Internacional, el 41 % de las ventas, crece un 7 % orgánico [16].</w:t>
      </w:r>
    </w:p>
    <w:p>
      <w:pPr>
        <w:spacing w:after="100"/>
      </w:pPr>
      <w:r>
        <w:rPr>
          <w:b/>
        </w:rPr>
        <w:t xml:space="preserve">Sector y ciclo.</w:t>
      </w:r>
      <w:r>
        <w:t xml:space="preserve"> Los fármacos GLP-1 (un 5,5 % menos de gasto en el súper en los hogares que los usan) [45], la marca blanca (21,3 % del gran consumo de EE. UU.) [47] y el SNAP sin refrescos en 22 estados [49] presionan el volumen. Es un riesgo de nivel, no de supervivencia: en patatas fritas Frito-Lay tiene el 56 % y la marca blanca el 9,5 % [46].</w:t>
      </w:r>
    </w:p>
    <w:p>
      <w:pPr>
        <w:spacing w:after="100"/>
      </w:pPr>
      <w:r>
        <w:rPr>
          <w:b/>
        </w:rPr>
        <w:t xml:space="preserve">Finanzas.</w:t>
      </w:r>
      <w:r>
        <w:t xml:space="preserve"> La conversión en caja es buena (86 % en diez años), pero los cargos «no recurrentes» se repiten cada año (3.414 M en 2025) [1] y el DCF los descuenta. El dividendo, que ha subido 54 años seguidos [13], se llevó el 93 % del flujo libre de 2025. Con la deuda neta ajustada en 2,3 veces el EBITDA y rating A1/A+ [72, 73], está cubierto, pero sin margen para recompras grandes.</w:t>
      </w:r>
    </w:p>
    <w:p>
      <w:pPr>
        <w:spacing w:after="100"/>
      </w:pPr>
      <w:r>
        <w:rPr>
          <w:b/>
        </w:rPr>
        <w:t xml:space="preserve">Equipo y gobierno.</w:t>
      </w:r>
      <w:r>
        <w:t xml:space="preserve"> Resta poco. Elliott forzó en diciembre de 2025 un plan de costes, precios más bajos y renovación del consejo, aunque la refranquicia del embotellado quedó descartada [21, 69]. La guía se rebajó a mitad de año en 2024 y 2025, y el primer semestre de 2026 va por debajo del rango de BPA [16].</w:t>
      </w:r>
    </w:p>
    <w:p>
      <w:pPr>
        <w:spacing w:after="100"/>
      </w:pPr>
      <w:r>
        <w:rPr>
          <w:b/>
        </w:rPr>
        <w:t xml:space="preserve">Valoración.</w:t>
      </w:r>
      <w:r>
        <w:t xml:space="preserve"> El DCF da 161,63 USD; los comparables, 131,53 USD por PER y 140,67 USD por EV/EBITDA. El precio implica una rentabilidad anual del 8,7 %, frente al 7,58 % de WACC y al 7,19 % que pide hoy el mercado. Equivale a un crecimiento del −0,1 % anual o un margen del 16,9 %, por debajo del peor año de la década. Cotiza a 11,1 veces el EBITDA, por debajo de su mínimo en diez años (12,9 veces). Con la prima del mercado el valor objetivo sube a 164,85 USD: las dos reglas dicen Comprar.</w:t>
      </w:r>
    </w:p>
    <w:p>
      <w:pPr>
        <w:spacing w:after="100"/>
      </w:pPr>
      <w:r>
        <w:rPr>
          <w:b/>
        </w:rPr>
        <w:t xml:space="preserve">Riesgos y catalizadores.</w:t>
      </w:r>
      <w:r>
        <w:t xml:space="preserve"> Un punto menos de margen resta un 8 % (148,76 USD); medio punto más de WACC, un 12 % (142,95 USD). Los resultados del 3T26 salen hoy mismo, 8-oct, antes de la apertura [81], y este informe no los incluye. La revisión de la distribución de Norteamérica llega a finales de 2026 [21].</w:t>
      </w:r>
    </w:p>
    <w:p>
      <w:pPr>
        <w:spacing w:after="100"/>
      </w:pPr>
      <w:r>
        <w:rPr>
          <w:b/>
        </w:rPr>
        <w:t xml:space="preserve">Qué cambiaría la decisión.</w:t>
      </w:r>
      <w:r>
        <w:t xml:space="preserve"> La regla da Comprar por debajo de 148,29 USD y Vender por encima de 181,24 USD. Pasaríamos a Mantener si hoy rebaja la guía de 2026, si el volumen de snacks de Norteamérica vuelve a ser negativo con el precio también negativo, o si el bono a 10 años supera 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n.d.</w:t>
      </w:r>
      <w:r>
        <w:t xml:space="preserve"> (rentabilidad +26,8 % (del valor intrínseco: falta el objetivo a 12 meses)) · Valor intrínseco: 151,16 USD (+22,2 % sobre 123,73) · con la prima implícita del mercado: 164,85 (+33,2 %)</w:t>
      </w:r>
    </w:p>
    <w:p>
      <w:pPr>
        <w:spacing w:after="100"/>
      </w:pPr>
      <w:r>
        <w:t xml:space="preserve">PepsiCo es el líder de los snacks salados de EE. UU. y el segundo grupo de bebidas refrescantes del país [1]. Vende 96.904 M USD al año con un margen EBITDA recurrente del 19,5 % y un ROIC del 21,3 %. Frito-Lay tiene el 56 % de las patatas fritas de EE. UU. [46] y la distribución directa a tienda es una barrera que la marca blanca no ha roto: en patatas fritas solo pesa el 9,5 %.</w:t>
      </w:r>
    </w:p>
    <w:p>
      <w:pPr>
        <w:spacing w:after="100"/>
      </w:pPr>
      <w:r>
        <w:t xml:space="preserve">El precio descuenta un estancamiento. A 123,73 USD, el mínimo de 52 semanas y un 28 % por debajo del máximo de febrero [76], PepsiCo cotiza a 11,1 veces el EBITDA, por debajo de su mínimo en diez años, y a 14,6 veces el beneficio de los próximos 12 meses. El DCF inverso dice que el mercado espera ventas planas (−0,1 % anual) o un margen del 16,9 %, por debajo del peor año de la década (17,5 % en 2022).</w:t>
      </w:r>
    </w:p>
    <w:p>
      <w:pPr>
        <w:spacing w:after="100"/>
      </w:pPr>
      <w:r>
        <w:t xml:space="preserve">El mercado acierta en que Norteamérica ha perdido poder de precio: el volumen solo ha vuelto bajando precios y la cuota en bebidas ha caído tres puntos en dos años [1, 16]. Se equivoca al extender ese diagnóstico al grupo: internacional crece un 7 % orgánico [16] y el margen recurrente no ha bajado. Para invertir hay que creer que Norteamérica se estabiliza con volumen plano y que el margen aguanta en torno al 19,8 %, que es menos de lo que promete la dirección.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 / -25,0 %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7,6 %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26,8 %, asimetría de 2,40, bajista del -25,0 % y el precio descuenta 3,3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148,29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148,29 y 181,24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181,24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los resultados del 3T26 rebajan la guía de BPA core de 2026 por debajo del +4 % en divisa constante, pasaríamos a Mantener.</w:t>
      </w:r>
    </w:p>
    <w:p>
      <w:pPr>
        <w:pStyle w:val="ListParagraph"/>
        <w:numPr>
          <w:ilvl w:val="0"/>
          <w:numId w:val="2"/>
        </w:numPr>
        <w:spacing w:after="60"/>
      </w:pPr>
      <w:r>
        <w:t xml:space="preserve">Si el volumen orgánico de PFNA vuelve a ser negativo con el precio neto también negativo en un trimestre, pasaríamos a Mantener.</w:t>
      </w:r>
    </w:p>
    <w:p>
      <w:pPr>
        <w:pStyle w:val="ListParagraph"/>
        <w:numPr>
          <w:ilvl w:val="0"/>
          <w:numId w:val="2"/>
        </w:numPr>
        <w:spacing w:after="60"/>
      </w:pPr>
      <w:r>
        <w:t xml:space="preserve">Si el margen operativo core del grupo baja del 15 % en 2026, pasaríamos a Mantener.</w:t>
      </w:r>
    </w:p>
    <w:p>
      <w:pPr>
        <w:pStyle w:val="ListParagraph"/>
        <w:numPr>
          <w:ilvl w:val="0"/>
          <w:numId w:val="2"/>
        </w:numPr>
        <w:spacing w:after="60"/>
      </w:pPr>
      <w:r>
        <w:t xml:space="preserve">Si el bono del Tesoro a 10 años supera el 5,5 % de forma sostenida, revisaríamos el WACC y probablemente a Mantener.</w:t>
      </w:r>
    </w:p>
    <w:p>
      <w:pPr>
        <w:pStyle w:val="ListParagraph"/>
        <w:numPr>
          <w:ilvl w:val="0"/>
          <w:numId w:val="2"/>
        </w:numPr>
        <w:spacing w:after="60"/>
      </w:pPr>
      <w:r>
        <w:t xml:space="preserve">Si la acción supera los 181,24 USD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volumen de Norteamérica sigue cayendo por los GLP-1, la marca blanca y la fatiga de precios, y que PepsiCo tendrá que elegir entre margen y volumen. El consenso de BPA ya baja de 8,54 USD en 2026 a 8,47 USD en 2027 [79], cuatro bancos recortaron su precio objetivo la primera semana de octubre [81] y el precio implica una rentabilidad del 8,7 % anual.</w:t>
      </w:r>
    </w:p>
    <w:p>
      <w:pPr>
        <w:keepNext/>
        <w:spacing w:after="100"/>
      </w:pPr>
      <w:r>
        <w:rPr>
          <w:b/>
          <w:bCs/>
        </w:rPr>
        <w:t xml:space="preserve">Lo que creemos nosotros.</w:t>
      </w:r>
    </w:p>
    <w:p>
      <w:pPr>
        <w:spacing w:after="100"/>
      </w:pPr>
      <w:r>
        <w:t xml:space="preserve">El riesgo es de nivel, no de declive continuo. Con volumen plano en Norteamérica, internacional al 6-7 % y un margen recurrente del 19,8 % (medio punto por debajo del consenso de 2028), PepsiCo vale 161,63 USD por DCF. No somos más optimistas que el consenso en ventas ni en márgenes.</w:t>
      </w:r>
    </w:p>
    <w:p>
      <w:pPr>
        <w:keepNext/>
        <w:spacing w:after="100"/>
      </w:pPr>
      <w:r>
        <w:rPr>
          <w:b/>
          <w:bCs/>
        </w:rPr>
        <w:t xml:space="preserve">Por qué podemos tener razón.</w:t>
      </w:r>
    </w:p>
    <w:p>
      <w:pPr>
        <w:spacing w:after="100"/>
      </w:pPr>
      <w:r>
        <w:t xml:space="preserve">La diferencia está en el coste del capital: el mercado exige a PepsiCo más que a un valor de beta 0,65 por el miedo al volumen. Los datos de 2026 (el mayor aumento del volumen orgánico del grupo desde 2022 y la guía confirmada tres veces) [16] van en contra de ese miedo, pero la mejora se ha comprado con precio, y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3,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estable</w:t>
      </w:r>
      <w:r>
        <w:t xml:space="preserve">: ROIC del 21,3 % frente a un WACC del 7,58 %, entre el 18 % y el 22 % desde 2019.</w:t>
      </w:r>
    </w:p>
    <w:p>
      <w:pPr>
        <w:pStyle w:val="ListParagraph"/>
        <w:numPr>
          <w:ilvl w:val="0"/>
          <w:numId w:val="2"/>
        </w:numPr>
        <w:spacing w:after="60"/>
      </w:pPr>
      <w:r>
        <w:rPr>
          <w:b/>
        </w:rPr>
        <w:t xml:space="preserve">Precio en mínimos de diez años</w:t>
      </w:r>
      <w:r>
        <w:t xml:space="preserve">: 11,1 veces el EBITDA frente a una media del 15,5 y un mínimo previo de 12,9.</w:t>
      </w:r>
    </w:p>
    <w:p>
      <w:pPr>
        <w:pStyle w:val="ListParagraph"/>
        <w:numPr>
          <w:ilvl w:val="0"/>
          <w:numId w:val="2"/>
        </w:numPr>
        <w:spacing w:after="60"/>
      </w:pPr>
      <w:r>
        <w:rPr>
          <w:b/>
        </w:rPr>
        <w:t xml:space="preserve">El mercado descuenta ventas planas</w:t>
      </w:r>
      <w:r>
        <w:t xml:space="preserve">: el DCF inverso implica un crecimiento del −0,1 % anual o un margen del 16,9 %.</w:t>
      </w:r>
    </w:p>
    <w:p>
      <w:pPr>
        <w:pStyle w:val="ListParagraph"/>
        <w:numPr>
          <w:ilvl w:val="0"/>
          <w:numId w:val="2"/>
        </w:numPr>
        <w:spacing w:after="60"/>
      </w:pPr>
      <w:r>
        <w:rPr>
          <w:b/>
        </w:rPr>
        <w:t xml:space="preserve">Internacional tira</w:t>
      </w:r>
      <w:r>
        <w:t xml:space="preserve">: +7 % orgánico en el 2T26 y el 41 % de las ventas [16].</w:t>
      </w:r>
    </w:p>
    <w:p>
      <w:pPr>
        <w:pStyle w:val="ListParagraph"/>
        <w:numPr>
          <w:ilvl w:val="0"/>
          <w:numId w:val="2"/>
        </w:numPr>
        <w:spacing w:after="60"/>
      </w:pPr>
      <w:r>
        <w:rPr>
          <w:b/>
        </w:rPr>
        <w:t xml:space="preserve">Dividendo del 4,6 %</w:t>
      </w:r>
      <w:r>
        <w:t xml:space="preserve"> que ha subido 54 años seguidos, con rating A1/A+ [13, 72, 73].</w:t>
      </w:r>
    </w:p>
    <w:p>
      <w:pPr>
        <w:pStyle w:val="Heading2"/>
      </w:pPr>
      <w:r>
        <w:t xml:space="preserve">En contra</w:t>
      </w:r>
    </w:p>
    <w:p>
      <w:pPr>
        <w:pStyle w:val="ListParagraph"/>
        <w:numPr>
          <w:ilvl w:val="0"/>
          <w:numId w:val="2"/>
        </w:numPr>
        <w:spacing w:after="60"/>
      </w:pPr>
      <w:r>
        <w:rPr>
          <w:b/>
        </w:rPr>
        <w:t xml:space="preserve">Norteamérica compra volumen con precio</w:t>
      </w:r>
      <w:r>
        <w:t xml:space="preserve">: −2 puntos de precio neto y −8 % de beneficio core en snacks en el 2T26 [16].</w:t>
      </w:r>
    </w:p>
    <w:p>
      <w:pPr>
        <w:pStyle w:val="ListParagraph"/>
        <w:numPr>
          <w:ilvl w:val="0"/>
          <w:numId w:val="2"/>
        </w:numPr>
        <w:spacing w:after="60"/>
      </w:pPr>
      <w:r>
        <w:rPr>
          <w:b/>
        </w:rPr>
        <w:t xml:space="preserve">Cuota de bebidas a la baja</w:t>
      </w:r>
      <w:r>
        <w:t xml:space="preserve">: del 19 % al 16 % en EE. UU. entre 2023 y 2025, y margen de PBNA del 3,9 % [1].</w:t>
      </w:r>
    </w:p>
    <w:p>
      <w:pPr>
        <w:pStyle w:val="ListParagraph"/>
        <w:numPr>
          <w:ilvl w:val="0"/>
          <w:numId w:val="2"/>
        </w:numPr>
        <w:spacing w:after="60"/>
      </w:pPr>
      <w:r>
        <w:rPr>
          <w:b/>
        </w:rPr>
        <w:t xml:space="preserve">Cargos que no son puntuales</w:t>
      </w:r>
      <w:r>
        <w:t xml:space="preserve">: 1.800-3.400 M al año de «no recurrentes» desde 2023 [1].</w:t>
      </w:r>
    </w:p>
    <w:p>
      <w:pPr>
        <w:pStyle w:val="ListParagraph"/>
        <w:numPr>
          <w:ilvl w:val="0"/>
          <w:numId w:val="2"/>
        </w:numPr>
        <w:spacing w:after="60"/>
      </w:pPr>
      <w:r>
        <w:rPr>
          <w:b/>
        </w:rPr>
        <w:t xml:space="preserve">Dividendo justo de caja</w:t>
      </w:r>
      <w:r>
        <w:t xml:space="preserve">: se llevó el 93 % del flujo libre en 2025, con la deuda neta en 2,2 veces el EBITDA.</w:t>
      </w:r>
    </w:p>
    <w:p>
      <w:pPr>
        <w:pStyle w:val="ListParagraph"/>
        <w:numPr>
          <w:ilvl w:val="0"/>
          <w:numId w:val="2"/>
        </w:numPr>
        <w:spacing w:after="60"/>
      </w:pPr>
      <w:r>
        <w:rPr>
          <w:b/>
        </w:rPr>
        <w:t xml:space="preserve">Credibilidad de la guía</w:t>
      </w:r>
      <w:r>
        <w:t xml:space="preserve">: rebajada a mitad de año en 2024 y 2025; el primer semestre de 2026 va por debajo del rango de BPA [16].</w:t>
      </w:r>
    </w:p>
    <w:p>
      <w:pPr>
        <w:pStyle w:val="Heading2"/>
      </w:pPr>
      <w:r>
        <w:t xml:space="preserve">Qué tiene que pasar para que la tesis funcione</w:t>
      </w:r>
    </w:p>
    <w:p>
      <w:pPr>
        <w:spacing w:after="100"/>
      </w:pPr>
      <w:r>
        <w:t xml:space="preserve">La tesis depende de que Norteamérica se estabilice sin seguir sacrificando precio. La señal de que no se cumple es un trimestre con el volumen orgánico de PFNA negativo y el precio neto también negativo: significaría que las bajadas de precio no han comprado volumen duradero. La segunda señal es la guía: si los resultados del 3T26 de hoy o la guía de 2027 en febrero rebajan el BPA, el mercado habría tenido razón al pedir más rentabilidad.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de PFNA (impacto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puntos en el 2T26 (+1 en el semestre)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con precio neto 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inversión en precio compra volumen duradero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 PFNA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−3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margen se está regalando para recuperar volumen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que sostiene el crecimiento del grupo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16,9 %; el DCF supone un 19,8 %.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Dividendos sobre 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100 % dos años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caja para crecer el dividendo, la deuda sube y peligra el rating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 / 10,6x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 / 14,6x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PepsiCo se constituyó en Delaware en 1919 y se trasladó a Carolina del Norte en 1986 [1]. Su forma actual, un grupo de snacks y bebidas, se completó con la fusión con Quaker Oats en agosto de 2001, que trajo Gatorade [35], y con la compra de sus dos grandes embotelladores, PBG y PAS, en febrero de 2010, que la convirtió en embotelladora en Norteamérica [36]. Ramon Laguarta es consejero delegado desde octubre de 2018 y presidente desde 2019 [37]. Desde entonces ha rotado la cartera: compró SodaStream (2018), Rockstar, Pioneer Foods y Be &amp; Cheery (2020) [37, 38], vendió los zumos a PAI en 2022 quedándose un 39 % [39], y en 2024-2025 compró Sabra, Siete y poppi mientras cedía Rockstar a Celsius tras deteriorarla [1]. En diciembre de 2025 pactó con el activista Elliott un plan de precios más bajos, recorte de costes y revisión de la distribución en Norteamérica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Delaware; reincorporada en Carolina del Norte en 1986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The Quaker Oats Company (2 de agosto), que aporta Quaker y Gatorade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sus embotelladores ancla, Pepsi Bottling Group y PepsiAmericas (26 de febrero): PepsiCo pasa a consolidar el embotellado en Norteamérica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Laguarta, consejero delegado (octubre); compra de SodaStream (diciembre) [37].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Rockstar Energy, Pioneer Foods (Sudáfrica) y Be &amp; Cheery (snacks en línea, China)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Tropicana, Naked y otros zumos a PAI Partners, reteniendo el 39 % de Tropicana Brands Group [39]; acuerdo de distribución con Celsius y 550 M USD en preferentes convertibles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barritas y cereales de Quaker: 136 M USD de cargos en 2023 y 187 M en 2024 [1]; la demanda del fiscal general de Nueva York por contaminación plástica abre una serie de litigios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organización en seis segmentos; compras de poppi (1.950 M USD) y Siete (1.200 M USD); Rockstar se deteriora en 1.863 M USD y su marca en EE. UU. y Canadá pasa a Celsius a cambio de preferentes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Elliott (8 de diciembre): precios más asequibles en PFNA, cierre de tres plantas, recorte de casi el 20 % de las referencias en EE. UU. y al menos 100 pb de mejora del margen core en tres años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PFNA baja precios (precio efectivo neto −2 % en el 2T26) y recupera volumen (+1 % en el primer semestre) y cuota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PepsiCo fabrica, comercializa y distribuye bebidas y alimentos de conveniencia en más de 200 países [1]. En 2025 facturó 93.925 M USD: el 58 % en alimentos de conveniencia (Lay's, Doritos, Cheetos, Tostitos, Ruffles, Quaker, Sabra, Siete) y el 42 % en bebidas (Pepsi, Mountain Dew, Gatorade, Aquafina, Bubly, poppi, SodaStream) [1]. En Norteamérica el reparto es mitad y mitad; fuera, 69 % alimentos y 31 % bebidas [1]. Desde 2025 reporta seis segmentos: PepsiCo Foods North America (PFNA), PepsiCo Beverages North America (PBNA), International Beverages Franchise, EMEA, LatAm Foods y Asia Pacific Foods [1]. EE. UU. pesa 52.228 M USD (56 % de las ventas), seguido de México (6.947 M), Rusia (4.768 M) y Canadá (3.729 M) [1]. Vende a mayoristas, cadenas de alimentación, tiendas de conveniencia, discount, clubes, comercio electrónico, hostelería y a embotelladores independientes; la mayor parte de los snacks llega a la tienda por reparto directo (DSD), con empleados que reponen el lineal [1]. Emplea a unas 306.000 personas, 125.000 en EE. UU. [1].</w:t>
      </w:r>
    </w:p>
    <w:p>
      <w:pPr>
        <w:pStyle w:val="Heading2"/>
      </w:pPr>
      <w:r>
        <w:t xml:space="preserve">Cómo gana dinero</w:t>
      </w:r>
    </w:p>
    <w:p>
      <w:pPr>
        <w:spacing w:after="100"/>
      </w:pPr>
      <w:r>
        <w:t xml:space="preserve">El margen sale sobre todo de los snacks de Norteamérica: PFNA ganó 6.173 M USD de resultado operativo en 2025 (6.545 M en base core), el 46 % de la suma de los seis segmentos (estimación propia: 6.173 / 13.516), mientras PBNA, con ventas parecidas, ganó 1.089 M reportados tras 1.539 M de deterioro de Rockstar (3.285 M core) [1]. En bebidas conviven dos modelos: el embotellado propio (36 % de las ventas del grupo), con más ingresos pero menos margen, y la venta de concentrado a embotelladores, de margen alto y poco capital [1]. El crecimiento de 2022-2024 vino del precio y no del volumen: en 2023 el precio efectivo neto subió un 13 % y el volumen orgánico cayó un 3 %; en 2024, +4 % y −2 %; en 2025, +4 % y −2 % [1, 2, 3]. El negocio es estacional, con el tercer trimestre como el más fuerte y el primero como el más flojo [1]. Los costes de materias primas (patata, maíz, aceites, azúcar, PET, aluminio) restaron 5 puntos al beneficio operativo de 2025, con 6 puntos de aranceles en PBNA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Walmart y sus filiales (incluido Sam's Club) supusieron cerca del 14 % de las ventas consolidadas de 2025, con ventas en todos los segmentos; su pérdida tendría un efecto material en PFNA y PBNA [1]. No hay contratos largos con los minoristas: la relación se sostiene con incentivos (rápels por volumen, pagos por espacio en lineal, promociones), y con los embotelladores independientes mediante contratos exclusivos por territorio y la llamada financiación a embotelladores, negociada cada año [1]. El poder de precios se demostró en 2022-2023 (precio efectivo neto +13 % en el grupo y +10 % en Frito-Lay Norteamérica en 2023 [3]), pero se agotó: en 2024 Frito-Lay solo subió un 2 % y perdió un 2,5 % de volumen [2], y en el 2T26 PFNA ya bajaba precios (precio efectivo neto −2 %) para recuperar volumen y cuota [16], dentro del plan de asequibilidad pactado con Elliott en diciembre de 2025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2,4 %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trimestral 3T24-2T26: 1 %, 2,1 %, 1 %, 2 %, 1 %, 2,1 %, 2,6 %, 2,4 % [7, 8, 9, 10, 11, 12, 13, 14, 15, 16]. Año 2025: 1,7 %; guía 2026: 2-4 % [13,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PFNA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−1,5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0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(3T24-4T24 = FLNA, la parte grande del antiguo perímetro): −1, −3, −3, −1,5, −4, −2, +2, 0. El volumen vuelve a cero a cambio de precio neto negativo (−1 en 1T26, −2 en 2T26) [7, 8, 9, 10, 11, 12,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PBNA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−2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−3, −3, −1, −4, −4, −5, −4, −2. En unidades el volumen de PBNA cayó un 4 % en el 2T26 (refrescos −3 %, no carbonatadas −4 %), con 0,5 pp de efecto del traspaso del agua en packs a un tercero [7,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total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−1,5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−2, −1, −2, −1,5, −3, −2, 0, +1. En el 2T26 el volumen de alimentación global creció un 3 % y el de bebidas un 2 %, empujados por internacional [7,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7 % (6 % en el semestre)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trimestres seguidos con crecimiento orgánico al menos de un dígito medio; Norteamérica cayó un 0,5 % orgánico en el 2T26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+2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4,5 pp en el 4T25, 2 pp en 1T26 y 2T26; PFNA en negativo [7, 8,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 sin partidas que afectan a la comparabilidad: 14.698 M y 14.912 M [1]. En el 2T26 el margen core bajó 40 pb por inversión en asequibilidad en Norteamérica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Walmart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concentrado vendido a embotelladores para Walmart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suma de dos categorías de consumo masivo: snacks salados (patatas fritas, tortilla chips, snacks de maíz y queso) y bebidas refrescantes no alcohólicas (refrescos, agua embotellada, isotónicas, energéticas, tés y cafés listos para tomar). El perímetro de referencia es EE. UU., que genera el 56 % de las ventas de PepsiCo [1] y la mayor parte de su beneficio. Para los snacks se usa la serie de Circana que publica Utz en sus 10-K (ventas minoristas en canales medidos) [30, 40, 41, 42, 43]; para bebidas, la de Beverage Marketing Corporation [44]. Las dos no se suman en la serie porque miden cosas distintas. El crecimiento histórico se calcula con las tasas anuales publicadas (+15,8 % en 2022, +8,7 % en 2023, +0,7 % en 2024 y −0,5 % en 2025) [30, 40, 41, 42], porque el tamaño de 2025 (42.000 M USD) salta frente a 2024 (39.000 M) pese a una caída de ventas: Circana amplió el perímetro. El CR5 es el de patatas fritas (estimación propia con datos de Circana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Snacks salados en EE. UU.: ≈ 42.000 M USD de ventas minoristas en 2025, dentro de un mercado de snacks de ≈ 148.000 M USD (Circana, citado por Utz) [30]. Bebidas refrescantes en EE. UU.: 255.300 M USD de ventas minoristas en 2024 (+3,3 %) y 36.400 millones de galones (+1,0 %) (Beverage Marketing Corporation) [44]. Solo patatas fritas de bolsa: 11.600 M USD en los 52 semanas a mayo de 2025 (Circana)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minoristas de snacks salados en EE. UU. (Circana, vía Utz))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snacks de Norteamérica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Norteamérica subió el precio efectivo neto un 10 % en 2023 con −1 % de volumen [3]; en 2024, +2 % y −2,5 % [2]; PFNA en 2025, +1 % y −2 % (snacks salados −3 %) [1]. En el 2T26 PFNA ya bajaba precios (−2 %) con volumen plano; en el semestre, +1 % de volumen [16]. Las ventas minoristas de snacks salados en EE. UU. cayeron un 0,5 % en 2025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contra la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Cornell con datos de panel de Numerator (2.623 hogares, enero 2023-julio 2024) halla que los hogares con un usuario de GLP-1 recortan un 5,5 % su gasto en supermercado a los seis meses (8,6 % los de renta alta), con las mayores caídas en snacks salados, dulces y refrescos [45]. PepsiCo lo cita como riesgo en su 10-K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 la 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pasó del 19,1 % al 21,3 % de las ventas en valor del gran consumo de EE. UU. entre 2021 y 2025 (23,5 % en unidades), con +3,3 % en 2025 frente a +1,2 % de las marcas (PLMA/Circana) [47]. En patatas fritas sigue baja: 1.100 M USD de 11.600 M (9,5 %), aunque creció un 1,5 % mientras Frito-Lay caía un 0,8 %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Energéticas y bebidas funcionales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creció un 10,7 % en 2025 con un margen operativo del 29,2 % [24] y Celsius pasó de 1.356 a 2.515 M USD [25]. PepsiCo llega por compra (poppi, 1.950 M USD) y distribución (Celsius, Alani Nu) [1], mientras su marca propia Rockstar acabó deteriorada en 1.863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sobre salud y envases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estados de EE. UU. tienen aprobadas exenciones para excluir refrescos y golosinas del SNAP (marzo de 2026), con ocho más en trámite [49]; la FDA pide eliminar seis colorantes sintéticos antes de finales de 2026 [50]; impuestos a bebidas azucaradas y responsabilidad ampliada del productor en envases en varias jurisdicciones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el volumen de snacks creció un 10 % en Asia-Pacífico y un 4 % en EMEA, y el de bebidas franquiciadas un 5 %, frente a un volumen plano en PFNA y −4 % en bebidas de Norteamérica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salados hay un líder claro (Frito-Lay, 56 % de las patatas fritas [46]) y una cola de unas 1.300 marcas que suman solo 2.900 M USD [30]; la rivalidad se intensifica en 2026 con bajadas de precio de PFNA [16]. En bebidas es un duopolio con Coca-Cola, que tiene el 20 % de las bebidas refrescantes de EE. UU. frente al 16 % de PepsiCo, que ha cedido tres puntos desde el 19 % de 2023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 supone el 14 % de las ventas de PepsiCo [1]; la concentración minorista, los discount y el abandono del reparto directo por algunos clientes aumentan su peso [1]. La marca blanca alcanza el 21,3 % del gran consumo en valor [47].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(patata, maíz, aceites, azúcar, PET, aluminio) se compran en mercado abierto a varios proveedores y geografías, con coberturas [1]. Aun así, restaron 5 puntos al beneficio operativo de 2025 y los aranceles 6 puntos en PBNA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la red de reparto directo y el espacio en lineal son barreras: Utz, el número dos regional, gana un 1,4 % sobre ventas [29]. En bebidas funcionales sí entran marcas nuevas con éxito (Celsius, Alani Nu, poppi), pero acaban compradas o distribuidas por los grandes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GLP-1 recortan un 5,5 % el gasto en alimentación de los hogares que los usan, con los snacks salados y los refrescos entre lo más castigado [45]; la marca blanca crece más que las marcas [47] y el consumidor migra hacia opciones con proteína, fibra o sin azúcar [1].</w:t>
            </w:r>
          </w:p>
        </w:tc>
      </w:tr>
    </w:tbl>
    <w:p>
      <w:pPr>
        <w:spacing w:after="160" w:before="0"/>
      </w:pPr>
    </w:p>
    <w:p>
      <w:pPr>
        <w:pStyle w:val="Heading2"/>
      </w:pPr>
      <w:r>
        <w:t xml:space="preserve">Ciclo</w:t>
      </w:r>
    </w:p>
    <w:p>
      <w:pPr>
        <w:spacing w:after="100"/>
      </w:pPr>
      <w:r>
        <w:t xml:space="preserve">Las ventas de snacks salados en EE. UU. pasaron de crecer un 15,8 % en 2022 y un 8,7 % en 2023, casi todo por precio, a +0,7 % en 2024 y −0,5 % en 2025 [30, 40, 41, 42]; las bebidas, de crecimientos de dos dígitos en 2021-2022 a +7,8 % en 2023 y +3,3 % en 2024, con volumen plano [44]. El sector es defensivo: los snacks salados crecieron a un 4 % anual en 2007-2010 [43] y tuvieron un pico de consumo en 2020 [43]. El ciclo de subidas de precio de 2022-2023 se ha agotado y la industria ha pasado a defender volumen con precio.</w:t>
      </w:r>
    </w:p>
    <w:p>
      <w:pPr>
        <w:pStyle w:val="Heading2"/>
      </w:pPr>
      <w:r>
        <w:t xml:space="preserve">Regulación</w:t>
      </w:r>
    </w:p>
    <w:p>
      <w:pPr>
        <w:spacing w:after="100"/>
      </w:pPr>
      <w:r>
        <w:t xml:space="preserve">En EE. UU. la agenda MAHA ha pasado a medidas concretas: la FDA anunció en abril de 2025 la retirada de seis colorantes sintéticos (Rojo 40, Amarillos 5 y 6, Azules 1 y 2, Verde 3) antes de finales de 2026 y la revocación de otros dos [50], y PepsiCo ya retira colorantes artificiales de Lay's, Doritos y Cheetos [1]. A marzo de 2026, 22 estados tenían aprobado excluir refrescos y golosinas (algunos también energéticas) de las compras con SNAP, con calendarios entre enero y agosto de 2026 y ocho solicitudes más en trámite [49]. Fuera, impuestos al azúcar, la ley inglesa de promoción y colocación de alimentos, sistemas de depósito de envases, responsabilidad ampliada del productor y vetos a plásticos de un solo uso y PFAS [1].</w:t>
      </w:r>
    </w:p>
    <w:p>
      <w:pPr>
        <w:pStyle w:val="Heading2"/>
      </w:pPr>
      <w:r>
        <w:t xml:space="preserve">Tendencias y disrupción</w:t>
      </w:r>
    </w:p>
    <w:p>
      <w:pPr>
        <w:spacing w:after="100"/>
      </w:pPr>
      <w:r>
        <w:t xml:space="preserve">Tres cambios juegan en contra del modelo histórico: los GLP-1, que recortan el gasto en snacks y refrescos de sus usuarios [45]; la marca blanca y el discount, que ganan cuota [1, 47]; y clientes que se alejan del reparto directo [1]. A favor juegan la demanda de bebidas funcionales y energéticas (Monster +10,7 % en 2025 [24], Celsius casi duplica ventas [25]), el consumo fuera de casa y el crecimiento internacional [16]. PepsiCo responde con porciones controladas, ingredientes más simples, proteína y fibra (Doritos Protein, Simply NKD), poppi y bebidas prebióticas [13, 16, 21]. Gana en funcionales por compra, no por marca propia, y pierde en refrescos de cola: en 2024 Pepsi cayó al cuarto puesto de los refrescos de EE. UU., por detrás de Coca-Cola, Dr Pepper y Sprite (Beverage Digest) [48].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snacks salados de EE. UU.: Frito-Lay vende 6.500 M USD del total de 11.600 M de patatas fritas de bolsa (56 %), más de cuatro veces el siguiente, Kellanova (1.500 M) [46]. En bebidas refrescantes de EE. UU. es 2.º, con el 16 % frente al 20 % de Coca-Cola en 2025 [1], y fuera de EE. UU. Coca-Cola tiene una ventaja significativa en refrescos en muchos mercados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bebidas: 20 % de las bebidas refrescantes de EE. UU. en canales medidos frente al 16 % de PepsiCo en 2025 (Circana, citado por PepsiCo) [1]. Modelo de concentrado casi sin embotellado propio, de ahí el margen; resultado operativo de 13.762 M USD sobre 47.941 M de ingresos en 2025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Dr Pepper, Canada Dry y del café en monodosis Keurig; licencia sus refrescos a embotelladores de Coca-Cola y de PepsiCo [32], y PepsiCo fabrica y distribuye Dr Pepper en parte de EE. UU. [1]. Ingresos de 16.603 M USD y resultado operativo de 3.575 M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energéticas, distribuida por el sistema de Coca-Cola, que es accionista relevante y se compromete a no competir en energéticas en ciertos territorios [33]. Ventas de 8.294 M USD (+10,7 %) y margen operativo del 29,2 % en 2025 [24]: el segmento que más crece y más gana de las bebidas.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funcionales (Celsius, Alani Nu y Rockstar en EE. UU. y Canadá, comprada a PepsiCo en 2025) [1, 31]. Es a la vez rival y socio: PepsiCo la distribuye, tiene preferentes convertibles y dos consejeros, y fue el 43,2 % de sus ventas en 2025 [31]. Ingresos de 2.515 M USD (casi el doble que en 2024 por Alani Nu) y margen del 5,6 % lastrado por 327 M de reestructuración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Snacks dulces (galletas, chocolate) y salados de cereal; compite por el mismo espacio de snacking. Margen operativo del 9,2 % en 2025, desde el 17,4 % de 2024, con el cacao disparado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Campbell's (Snyder's-Lance)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snacks salados de marca en EE. UU. (Snyder's, Kettle, Cape Cod, Pepperidge Farm). Su segmento Snacks vendió 3.816 M USD en el ejercicio a agosto de 2026 (−6 %) y su resultado cayó un 28 % hasta 386 M, con deterioros de las marcas Snyder's of Hanover, Kettle y Cape Cod [28,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Cereales, barritas y snacks de grano (Chex Mix, Bugles); rival de Quaker. El margen del 4,8 % del ejercicio a mayo de 2026 incluye 1.750 M USD de deterioro de fondo de comercio e intangibles; sin él rondaría el 14 % (estimación propia: (886 + 1.750) / 18.425)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Utz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dos en snacks salados de marca en su región núcleo (~7 % de las ventas minoristas allí) y el rival puro más directo de Frito-Lay [30]. Ingresos de 1.439 M USD y margen operativo del 1,4 % en 2025 [29]: la escala de PepsiCo es lo que separa un margen del 25 % de uno del 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consumo. La densidad de rutas de reparto directo da ventaja, pero es de escala, no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Frito-Lay perdió un 2,5 % de volumen en 2024 con solo un 2 % de subida de precio [2] y la marca blanca de patatas creció mientras Frito-Lay caía [31].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Lay's, Doritos, Cheetos, Gatorade y Pepsi sostuvieron subidas del 10 % (Frito-Lay) y del 12 % (PBNA) en 2023 con caídas de volumen limitadas (−1 % y −5 %) [3]. La marca de bebidas es más débil: Rockstar se deterioró en 1.863 M USD [1] y la cuota en bebidas refrescantes de EE. UU. bajó del 19 % al 16 % en dos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directo con más de 300.000 empleados y la escala de compras permiten márgenes que los rivales de snacks no alcanzan: PFNA ganó 6.173 M USD en 2025 [1], frente a un margen operativo del 1,4 % de Utz [13] y del 10,1 % del segmento Snacks de Campbell's (386 M sobre 3.816 M)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1.300 marcas pequeñas de snacks salados suman solo 2.900 M USD de ventas [14]; Frito-Lay tiene más del 50 % de las patatas fritas [31]. Un mercado así no admite un segundo sistema de reparto directo nacional con la misma rentabilidad.</w:t>
            </w:r>
          </w:p>
        </w:tc>
      </w:tr>
    </w:tbl>
    <w:p>
      <w:pPr>
        <w:spacing w:after="160" w:before="0"/>
      </w:pPr>
    </w:p>
    <w:p>
      <w:pPr>
        <w:pStyle w:val="Heading2"/>
      </w:pPr>
      <w:r>
        <w:t xml:space="preserve">Amenazas</w:t>
      </w:r>
    </w:p>
    <w:p>
      <w:pPr>
        <w:spacing w:after="100"/>
      </w:pPr>
      <w:r>
        <w:t xml:space="preserve">El foso de snacks es amplio pero se estrecha por tres vías. </w:t>
      </w:r>
      <w:r>
        <w:rPr>
          <w:b/>
        </w:rPr>
        <w:t xml:space="preserve">Precio</w:t>
      </w:r>
      <w:r>
        <w:t xml:space="preserve">: la marca blanca y el discount ganan cuota [47] y PFNA ha tenido que bajar precios en 2026 (−2 % en el 2T26) para recuperar volumen [16]; si eso se generaliza, el margen de PFNA, el que más pesa en el grupo, se comprime (probabilidad media-alta). </w:t>
      </w:r>
      <w:r>
        <w:rPr>
          <w:b/>
        </w:rPr>
        <w:t xml:space="preserve">Demanda</w:t>
      </w:r>
      <w:r>
        <w:t xml:space="preserve">: los GLP-1 recortan el gasto de sus usuarios en snacks y refrescos [45]; su efecto crece con la penetración (probabilidad alta, impacto gradual). </w:t>
      </w:r>
      <w:r>
        <w:rPr>
          <w:b/>
        </w:rPr>
        <w:t xml:space="preserve">Canal</w:t>
      </w:r>
      <w:r>
        <w:t xml:space="preserve">: clientes que abandonan el reparto directo [1] y la revisión de la distribución en Norteamérica [21] pueden erosionar la ventaja de costes. En bebidas el foso ya es estrecho: −3 puntos de cuota desde 2023 [1, 3] y crecimiento en energéticas a través de Celsius, un socio que también compite [31].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4,6 %</w:t>
      </w:r>
      <w:r>
        <w:t xml:space="preserve">, EBITDA </w:t>
      </w:r>
      <w:r>
        <w:rPr>
          <w:b/>
          <w:bCs/>
        </w:rPr>
        <w:t xml:space="preserve">4,1 %</w:t>
      </w:r>
      <w:r>
        <w:t xml:space="preserve">, BPA </w:t>
      </w:r>
      <w:r>
        <w:rPr>
          <w:b/>
          <w:bCs/>
        </w:rPr>
        <w:t xml:space="preserve">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62.799 M en 2016 a 93.925 M en 2025 [1, 20], pero el salto se concentró en 2021-2023 (+30 % en tres años) con precio y adquisiciones (Rockstar, Pioneer Foods y Be &amp; Cheery en 2020; Siete y poppi en 2025) [1, 4]. Desde 2023 el crecimiento se ha parado: +0,4 % en 2024 y +2,3 % en 2025, con orgánico del 2,0 % y 1,7 % y volumen orgánico negativo los dos años [1, 13, 14]. El margen operativo publicado cayó de 14,0 % en 2024 a 12,2 % en 2025 por el deterioro de Rockstar (1.863 M en tres segmentos), cargos de adquisición de poppi y Siete y 5 puntos de inflación de materias primas; en términos core se mantuvo en 15,9 % [1]. PFNA, el motor de margen, bajó su beneficio core un 6 % en 2025 [1]. En el primer semestre de 2026 las ventas crecen un 7,3 % (2,5 % orgánico, 3 puntos de divisa y 2 de perímetro) y el beneficio operativo publicado un 65 % por comparar con los deterioros de 2025; el core sube un 6 % [7, 16]. Años no comparables: 2017 y 2018 por la reforma fiscal de EE. UU. (impuestos de 4.694 M en 2017 y beneficio fiscal neto de 3.370 M en 2018), 2020 por adquisiciones, 2022 por la venta de zumos y 53 semanas.</w:t>
      </w:r>
    </w:p>
    <w:p>
      <w:pPr>
        <w:pStyle w:val="Heading2"/>
      </w:pPr>
      <w:r>
        <w:t xml:space="preserve">Ajustes y partidas no recurrentes</w:t>
      </w:r>
    </w:p>
    <w:p>
      <w:pPr>
        <w:spacing w:after="100"/>
      </w:pPr>
      <w:r>
        <w:t xml:space="preserve">PepsiCo deja dentro del beneficio operativo partidas que su cuenta core excluye: plan de productividad 2019 (reestructuración: 964 M en 2025, 698 M en 2024), deterioros e «impairment and other charges» (1.946 M en 2025, sobre todo Rockstar; 714 M en 2024 por TBG; 1.230 M en 2023, sobre todo SodaStream), cargos de adquisiciones (453 M en 2025 por poppi y Siete), valoración a mercado de derivados de materias primas, impuestos indirectos y retirada de producto de Quaker [1, 2]. Su total (core menos publicado) va en no_recurrentes_en_ebitda: 608, 214, 510, 311, 451, 252, 813, 1.889, 1.811 y 3.414 M de 2016 a 2025 [1, 2, 3, 4, 5, 6]; 2016 sale del 10-K de 2017, antes de reclasificar las pensiones. </w:t>
      </w:r>
      <w:r>
        <w:rPr>
          <w:b/>
        </w:rPr>
        <w:t xml:space="preserve">Se repiten todos los años</w:t>
      </w:r>
      <w:r>
        <w:t xml:space="preserve">: el plan de productividad se amplió hasta 2030 con 6.150 M de cargos previstos (3.600 M ya incurridos y unos 900 M en 2026) [1]. LTM jun-26: 967 M (3.414 + −119 del semestre 2026 − 2.328 del semestre 2025) [7]. EBITDA = beneficio operativo publicado + amortizaciones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EBITDA trimestral = beneficio operativo core + amortizaciones</w:t>
      </w:r>
      <w:r>
        <w:t xml:space="preserve"> (sin las partidas que afectan a la comparabilidad); el BPA es el publicado. El cuarto trimestre tiene 16 semanas y los demás 12, de ahí su menor margen; el 4T se obtiene restando el acumulado a 36 semanas del año [1, 9, 12]. Los porcentajes orgánicos de 2024-2025 vienen redondeados de los 10-Q [9, 10, 11, 12].</w:t>
      </w:r>
    </w:p>
    <w:p>
      <w:pPr>
        <w:spacing w:after="100"/>
      </w:pPr>
      <w:r>
        <w:t xml:space="preserve">En el 1T26 (16-abr-26) la dirección destacó el giro de PFNA: volumen orgánico +2 % tras invertir en asequibilidad e innovación, y confirmó la guía [15, 18]. En el 2T26 (9-jul-26) el tono cambió: Norteamérica fue «más floja de lo previsto», cayó un 0,5 % orgánico, el consumidor recortó gasto por la inflación y la mejora será «más gradual»; internacional creció un 7 % [17]. Mantuvo la guía 2026 (orgánico 2-4 %, BPA core en divisa constante 4-6 %, devolución de 8.900 M), pero avisó de más inflación de costes en el segundo semestre y de un BPA concentrado en el 4T [17]. La mayoría de las preguntas fueron sobre Norteamérica: por qué el volumen de PFNA se quedó plano pese a la asequibilidad, la distancia frente a los mercados de prueba del otoño, la presión de márgenes en PBNA y el retorno de las promociones; también sobre poppi, Siete y apetito por más compras [19]. No dio cifras de cuánto reinvierte en precio ni plazo para recuperar el margen de Norteamérica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Rockstar Energy (mar-20, 3.850 M), Pioneer Foods (mar-20, 1.226 M) y Be &amp; Cheery (jun-20, 698 M): 6.372 M de caja en adquisiciones; entran en la cuenta solo una parte del año.; 2022: Venta del 61 % de Tropicana, Naked y otros zumos (Juice Transaction, ene-22) por 3.456 M de caja y un 39 % de la nueva sociedad; el negocio sale de la cuenta y 2022 fue un ejercicio de 53 semanas.; 2025: Siete Foods (ene-25) y poppi (may-25): adquisiciones por 3.391 M de caja; aportan ~1 punto de crecimiento de ventas en 2025 y otro en 2026 según la empresa.).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32.068 M en 2019 a 49.182 M en 2025 y a 53.214 M en junio de 2026; la neta (con inversiones a corto) pasó de 26.330 M a 39.652 M en 2025 y 42.498 M en junio, por estacionalidad del circulante (clientes +1.990 M en el semestre) [1, 7]. Sobre el EBITDA recurrente de 2025 (18.363 M) la deuda neta es de unas 2,2 veces. En 2025 obtuvo 8.189 M con emisiones a largo plazo (7.000 M en dólares con cupones del 4,1 % al 5,0 % y 1.000 M de euros al 3,45 % y 4,05 %), destinados a fines generales y a amortizar papel comercial [1]. El circulante es negativo de forma estructural (proveedores y otros pasivos corrientes de 25.903 M frente a 17.351 M de clientes y existencias) y se apoya en plazos de pago de 60-90 días y confirming [1]. El coste medio de 3,8 % es el gasto bruto por intereses de 2025 (1.840 M) sobre la deuda bruta media; vencen unos 4.000 M al año entre 2027 y 2030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70.110</w:t>
      </w:r>
      <w:r>
        <w:t xml:space="preserve">, conversión </w:t>
      </w:r>
      <w:r>
        <w:rPr>
          <w:b/>
          <w:bCs/>
        </w:rPr>
        <w:t xml:space="preserve">86 %</w:t>
      </w:r>
      <w:r>
        <w:t xml:space="preserve"> del beneficio neto; adquisiciones 15.753, dividendos 57.978, recompras 16.606.</w:t>
      </w:r>
    </w:p>
    <w:p>
      <w:pPr>
        <w:spacing w:after="100"/>
      </w:pPr>
      <w:r>
        <w:rPr>
          <w:b/>
        </w:rPr>
        <w:t xml:space="preserve">El capex va neto de ventas de inmovilizado</w:t>
      </w:r>
      <w:r>
        <w:t xml:space="preserve">, como en el flujo libre de la empresa (528 M de ventas de activos en 2025). El flujo operativo osciló entre 9.400 M y 13.400 M; el pico de 2023 (13.442 M) se debió a circulante y no se repitió (12.087 M en 2025, con 772 M del impuesto de transición y 796 M de pagos de reestructuración) [1]. El flujo libre fue de 8.122 M en 2023, 7.531 M en 2024 y 8.200 M en 2025, con el capex bruto bajando de 5.518 M a 4.415 M (4,7 % de las ventas) tras el ciclo de inversión en capacidad de 2021-2024 [1, 3]. El dividendo (7.638 M en 2025) consume ya el 93 % del flujo libre y, con las recompras de 1.000 M, la devolución supera el flujo libre desde 2024; la diferencia y las compras (3.391 M en 2025) se financian con deuda [1]. LTM a junio de 2026 el flujo libre sube a 9.712 M (operativo 13.456 M, capex neto 3.744 M) pese a pagar los últimos 965 M del impuesto de transición [7]. La empresa no separa capex de mantenimiento y de crecimiento; su guía 2026 es capex inferior al 5 % de las ventas y conversión de caja de al menos el 80 % [13,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PepsiCo desde 1990 (36 años) y su opinión es favorable, sin salvedades [1]. La cuenta no tiene capitalización relevante de gastos ni ingresos de reconocimiento dudoso: vende producto terminado a distribuidores y minoristas con cobro a corto plazo. La señal que importa es otra: </w:t>
      </w:r>
      <w:r>
        <w:rPr>
          <w:b/>
        </w:rPr>
        <w:t xml:space="preserve">los gastos «no recurrentes» se repiten todos los años</w:t>
      </w:r>
      <w:r>
        <w:t xml:space="preserve">. Sumaron 1.889 M en 2023, 1.811 M en 2024 y 3.414 M en 2025, este último con 1.863 M de deterioro de Rockstar [1]. El plan de productividad prevé 6.150 M de cargos hasta 2030, de los que 5.100 M en caja; a junio de 2026 se habían gastado 3.000 M en caja, así que quedan unos 2.100 M, la mayoría hasta 2027 [7]. Por eso el DCF no parte del margen recurrente sin más: lo recorta medio punto frente al consenso. Los tres indicadores no muestran alarmas. El Altman Z de 3,40 está en zona segura y el Beneish M de −2,54 queda lejos del umbral de manipulación (−1,78). El Piotroski F de 5 sobre 9 refleja un año flojo: en 2025 empeoraron el ROA, el margen bruto y el endeudamiento.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menos publicado: 1.889 M (2023), 1.811 M (2024) y 3.414 M (2025); el plan de productividad prevé ~900 M de cargos en 2026 y sigue hasta 2030 [1]. El EBITDA recurrente sobrevalora el beneficio de caja si estos cargos son estructurales.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1.863 M (2025), SodaStream 862 M (2023) y holgura mínima del fondo de comercio de SodaStream; Be &amp; Cheery 139 M en total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con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1.681 M de facturas confirmadas a dic-25 (+14 %); plazos de pago de 60-90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a Rusia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 las ventas, 5 % de los activos y 20 % de la caja del grupo a dic-25; 1.415 M de cargos en 2022 por la guerra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fiscales inciertas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Asunto crítico de auditoría; el tipo de 2025 (19,0 %) se benefició de liberar intereses federales provisionados, y la empresa espera un 22 % core en 2026 por el impuesto mínimo global [1, 17].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7,6 %.</w:t>
      </w:r>
    </w:p>
    <w:p>
      <w:pPr>
        <w:spacing w:after="100"/>
      </w:pPr>
      <w:r>
        <w:t xml:space="preserve">PepsiCo crea valor con holgura. El ROIC fue del 21,3 % en 2025, casi tres veces el WACC del 7,58 %, y se ha movido entre el 18,1 % y el 22,4 % desde 2019, con el fondo de comercio dentro del capital invertido. Lo que lo sostiene es el margen: un EBITDA recurrente del 19,6 % de las ventas con una rotación del capital invertido de unas 1,7 veces (93.925 M de ventas sobre 56.705 M de capital invertido). El ROE del 42,9 % está inflado por la recompra de acciones a lo largo de décadas, que deja un patrimonio de solo 20.406 M [1]. Frente a los comparables, el ROIC de PepsiCo es el doble de la mediana (11 %) y está a la altura del de Coca-Cola (20,1 %), con un modelo que embotella y distribuye y por tanto tiene más activos [83]. La calidad del crecimiento reciente es peor que la del pasado: Rockstar (4.729 M) acabó con 1.863 M de deterioro y SodaStream (3.300 M) con 862 M, de modo que buena parte del capital invertido desde 2018 en bebidas no ha rendido lo que el resto del grupo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13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9.159 M y equivalentes + 371 M de inversiones a corto a dic-25 (10.716 M en total a 13-jun-26); dos líneas de crédito comprometidas no dispuestas de 5.000 M cada una (a cinco años hasta may-31 y a 364 días hasta may-27, renovadas en 2026) y acceso al papel comercial Tier 1 (2.641 M emitidos a dic-25)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A1/P-1, perspectiva estable (feb-2026); S&amp;P A+/A-1, estable (última acción localizada, feb-2025) [72, 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por arrendamiento operativo (3.846 M a dic-25, US GAAP) no se suman a la deuda porque su gasto ya está en el EBITDA; los financieros no son materiales [1]. Pensiones: déficit de 233 M en EE. UU. y de 468 M en asistencia médica de jubilados, frente a superávit de 725 M en los planes internacionales; neto, +24 M (pasivos reconocidos 1.372 M y activos 1.396 M) [1]. El impuesto de transición de la reforma fiscal de 2017 (965 M) se pagó en abril de 2026, último pago [1, 17]. Programa de confirming: 1.681 M de facturas confirmadas pendientes a dic-25 (1.478 M en 2024) [1]. Contraprestación contingente de poppi: valor razonable de unos 200 M en la fecha de compra, máximo 300 M si cumple hitos hasta el 3T27 [1]. Compromisos con la Comisión de Competencia de Sudáfrica por Pioneer Foods de 8.800 M de rand (~500 M USD a la fecha de compra) [4]. Rusia: 5 % de las ventas y 20 % de la caja del grupo a dic-25 [1].</w:t>
      </w:r>
    </w:p>
    <w:p>
      <w:pPr>
        <w:pStyle w:val="Heading1"/>
      </w:pPr>
      <w:r>
        <w:t xml:space="preserve">12. Asignación de capital</w:t>
      </w:r>
    </w:p>
    <w:p>
      <w:pPr>
        <w:pStyle w:val="Confianza"/>
        <w:spacing w:after="100"/>
      </w:pPr>
      <w:r>
        <w:t xml:space="preserve">Confianza: Alta</w:t>
      </w:r>
    </w:p>
    <w:p>
      <w:pPr>
        <w:spacing w:after="100"/>
      </w:pPr>
      <w:r>
        <w:t xml:space="preserve">PepsiCo prioriza el dividendo: en febrero de 2026 lo subió un 4 %, a 5,92 USD anuales (1,48 por trimestre desde junio), su 54.º aumento anual consecutivo [13]. La guía de 2026 prevé devolver unos 8.900 M: 7.900 M en dividendos y 1.000 M en recompras, dentro de un nuevo programa de hasta 10.000 M aprobado el 3-feb-26 [13, 17]. Las recompras se han reducido a 1.000 M anuales desde 2023 (3.000 M en 2016 y 2019) [1, 6]. La dirección dice que devuelve el flujo libre a los accionistas manteniendo el acceso al papel comercial Tier 1 y la disciplina en la asignación de capital [1, 17]. Las compras recientes son de marcas pequeñas de crecimiento (Siete, poppi, Sabra) y participaciones (Celsius)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SodaStream (máquinas de agua con gas, Israel)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(3.200 M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862 M en 2023 y el fondo de comercio de la unidad apenas cubre su valor contable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Pioneer Foods (alimentación y bebidas, Sudáfrica)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de una filial, devueltos en abril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compromisos de 8.800 M de rand con las autoridades sudafricanas; Sudáfrica vendió 1.767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Energy (bebidas energéticas,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3.850 M al contado + 880 M de contraprestación contingente por ventajas fiscales, liquidada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1.863 M en 2025 y cesión de la marca en EE. UU. y Canadá (0,5 bn) a Celsius en ago-25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 &amp; Cheery (alimentación online,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59 M (2023) y 80 M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61 % de Tropicana, Naked y otros zumos a PAI Partners (TBG)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3.456 M de caja + 39 % de la nueva sociedad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en TBG y las cuentas a cobrar se deterioraron: 321 M (2023) y 691 M (2024)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 (preferentes convertibles +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 M en caja (2022) + serie B valorada en 585 M a cambio de caja y la marca Rockstar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de 1.852 M a dic-25; Celsius tiene casi el 20 % de la categoría de energéticas en EE. UU.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Sabra (50 % restante, hummus)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contable de 122 M al revaluar el 50 % previo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Foods (Garza Food Ventures, alimentación mexicano-americana)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contribuye al crecimiento de PFNA en 2026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poppi (VNGR Beverage, refresco prebiótico)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1.950 M en caja + 200 M de contraprestación contingente (máximo 300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422 M de cargos de adquisición en PBNA en 2025 [1].</w:t>
            </w:r>
          </w:p>
        </w:tc>
      </w:tr>
    </w:tbl>
    <w:p>
      <w:pPr>
        <w:spacing w:after="160" w:before="0"/>
      </w:pPr>
    </w:p>
    <w:p>
      <w:pPr>
        <w:spacing w:after="100"/>
      </w:pPr>
      <w:r>
        <w:t xml:space="preserve">La dirección prioriza el dividendo por encima de todo, y la caja ya no da para todo a la vez. Entre 2016 y 2025 PepsiCo generó 70.110 M de flujo libre, con una conversión del 86 % del beneficio, y repartió 57.978 M en dividendos y 16.606 M en recompras: el 106 % del flujo libre. Además gastó 15.753 M en compras. La diferencia la puso la deuda: la deuda neta pasó de 20.820 M en 2016 a 39.652 M en 2025, de 1,63 a 2,16 veces el EBITDA recurrente. Como asignadora de capital, el historial es desigual. El dividendo ha subido 54 años seguidos, el último un 4 %, hasta 5,92 USD anuales [13]. Las compras grandes de bebidas, en cambio, salieron mal: Rockstar se deterioró y su marca acabó cedida a Celsius, SodaStream perdió 862 M y Tropicana se vendió con pérdidas posteriores [1]. Las de 2025 (Siete por 1.200 M y poppi por 1.950 M) compran crecimiento en nichos, pero son pequeñas para mover un grupo de 94.000 M de ventas.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1996 (antes, Chupa Chups); dirigió Europa y fue presidente de la compañía en 2017-2018. CEO desde octubre de 2018 y presidente desde 2019. Con él, el crecimiento orgánico fue del 9,5 % en 2021, 14,4 % en 2022 y 9,5 % en 2023, pero cayó al 2,0 % en 2024 y al 1,7 % en 2025, con el BPA core en divisa constante plano en 2025 [1, 13, 14, 62, 63, 64, 65]. Consejero de IBM desde el 1 de marzo de 2026 [1]. 320.143 acciones (0,023 % del capital)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(Steve) Schmitt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7 de octubre de 2025 con efecto el 10 de noviembre de 2025; viene de Walmart, donde fue CFO de Walmart U.S. desde 2021, y antes de Yum! Brands (2006-2016). Sustituye a Jamie Caulfield, que se jubila tras una transición hasta el 15 de mayo de 2026. Fichaje con prima de entrada de 3,5 M USD en efectivo y 7 M USD en acciones restringidas a dos años [1, 55]. Sin acciones a 26 de febrero de 2026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 Krishnan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PepsiCo North America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2006; dirigió International Beverages, la división de bebidas de Norteamérica (desde febrero de 2024) y U.S. Beverages (2025). Desde diciembre de 2025 lleva el negocio unificado de bebidas y alimentación de Norteamérica, el centro de la revisión que pidió Elliott, en sustitución de Steven Williams, que deja de ser alto directivo [1,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Willemsen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International Beverages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1995; dirigió África, Oriente Medio y Asia del Sur (2019-2024) y la empresa conjunta Pepsi-Lipton. Vendió 6.500 acciones en el mercado el 4 de marzo de 2026 por 1,07 M USD [1,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Silviu Popovici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Europa, Oriente Medio y África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Wimm-Bill-Dann (2011); dirigió Rusia y Europa (2019-2024). Desde enero de 2025 lleva EMEA, el segmento internacional que sostiene el crecimiento del grupo [1]. 105.274 acciones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Athina Kanioura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Latin America Foods y directora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estrategia y transformación desde 2020 (antes, Accenture); desde diciembre de 2025 dirige también Latin America Foods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crecimiento orgánico de un dígito medio y BPA core en divisa constante de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+14,4 %; BPA core en divisa constante +11 %.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Feb-2023: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orgánico de al menos +4 % y BPA core en divisa constante de al menos +8 %. En octubre de 2024 rebajó el orgánico a «bajo de un dígito» y mantuvo el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+2,0 %; BPA core en divisa constante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orgánico de un dígito bajo y BPA core en divisa constante de un dígito medio. En abril de 2025 rebajó el BPA a «aproximadamente plano» por aranceles y consumo débil.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+1,7 %; BPA core en divisa constante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 del 8-dic-2025, confirmada en feb, abr y jul-2026: orgánico +2-4 % (lo alto del rango en el 2S) y BPA core en divisa constante +4-6 %; conversión de caja libre ≥80 %; inversión &lt;5 % de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orgánico +2,5 % y BPA core en divisa constante +3 %, por debajo del rango.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en dos tiempos. De 2021 a 2023 la dirección batió con holgura sus guías, ayudada por la inflación. Desde 2024 ha rebajado la guía a mitad de ejercicio dos años seguidos: el orgánico en octubre de 2024 y el BPA en abril de 2025, que acabó plano. La guía de 2026 se ha mantenido tres veces, pero el BPA core en divisa constante del primer semestre (+3 %) va por debajo del rango de +4-6 % [13, 14, 15, 16, 62, 63, 64, 65, 66, 67]. La cúpula se ha renovado casi entera en un año, en plena campaña de Elliott: director financiero llegado de Walmart, Norteamérica unificada bajo Ram Krishnan y Latinoamérica para Athina Kanioura [1, 55, 56]. Laguarta sigue como presidente y consejero delegado desde 2018-2019 y no hay sucesor anunciado. El proxy solo dice que el consejo revisa la sucesión del consejero delegado [51].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 Conde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(Presiding Director) desde el 6-may-2026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presidió Retribuciones hasta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(fue coordinador de 2013 a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Bailey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Diamond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Dina Dublon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Gass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 Gibbs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de Yum! Brands)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J.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Pohlad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consejero delegado de PepsiAmericas, embotellador)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Vasella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Alberto Weisser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Sostenibilidad y Políticas Públicas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(hasta la reorganización de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5-jun-2025: 137,68 M acciones (10,04 %) a 30-may-2025 [61]. Tras la reorganización interna del 12-ene-2026, Vanguard Group declara 0 % a 13-mar-2026 y las posiciones se reparten entre filiales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13G del 29-abr-2026: 102,76 M acciones (7,51 %) a 31-mar-2026, tras la reorganización de Vanguard. No es una venta comparable: parte de lo que antes declaraba Vanguard Group ya no se agrega aquí [59,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111,85 M acciones según su 13G de 25-ene-2024 (datos a 31-dic-2023), última que recoge el proxy de 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Anunció una inversión de 4.000 M USD el 2-sep-2025 [68]. En sus 13F declara 1.275.000 acciones (0,09 %; 172,6 M USD a 30-jun-2026), sin cambios del 3T25 al 2T26 [70, 71]. El resto de la exposición no aparece en el 13F, que no recoge derivados; la prensa la estima en ~2 % del capital. No ha presentado 13D.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1.643.663 acciones a 26-feb-2026, más 311.708 acciones fantasma de consejeros. Robert Pohlad tiene 1.069.659 (0,08 %) y Laguarta 320.143 (0,02 %)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recompradas)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 M acciones recompradas en balance a 13-jun-2026, frente a 1.366 M en circulación (26,8 % de las emitidas; no votan). Recompras previstas para 2026: unos 1.000 M USD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 Laguarta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Willemsen (CEO International Beverages)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Flavell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 Laguarta en 2025: 23,90 M USD, frente a 28,81 M en 2024 y 33,91 M en 2023. Se reparte en 1,80 M de fijo, 3,14 M de variable anual, 11,55 M en PSU (valor de concesión) y 2,64 M de cobro en efectivo a largo plazo, más 4,13 M de pensiones y 0,65 M de otros conceptos. Es 449 veces el salario mediano (53.296 USD) [51]. El variable anual de 2025 se medía contra objetivos internos: orgánico del 3,0 % (real 1,7 %), BPA core en divisa constante del +7,0 % (real 0 %) y caja libre de 9.900 M (real 10.000 M) [51]. Las PSU miden al 50 % el crecimiento del BPA core en divisa constante y al 50 % el orgánico, de media en tres años; las de 2023 cobraron el 88,4 %. El incentivo en efectivo ligado al TSR relativo cobró el 50 % (TSR a tres años del −12,3 %, percentil 25) [51]. Desde 2026 el incentivo largo se paga todo en acciones: PSU con multiplicador de TSR (75-125 %) y RSU por tiempo; la concesión de Laguarta para 2026 es de 19 M USD [51]. Hay </w:t>
      </w:r>
      <w:r>
        <w:rPr>
          <w:i/>
        </w:rPr>
        <w:t xml:space="preserve">clawback</w:t>
      </w:r>
      <w:r>
        <w:t xml:space="preserve"> amplio y política que lleva a votación cualquier indemnización en efectivo de más de 2,99 veces salario más variable [51]. Ninguna métrica mide el ROIC. El «say on pay» sacó un 88,8 % a favor en 2024, un 86,1 % en 2025 y un 88,6 % en 2026 [52, 53, 54].</w:t>
      </w:r>
    </w:p>
    <w:p>
      <w:pPr>
        <w:pStyle w:val="Heading2"/>
      </w:pPr>
      <w:r>
        <w:t xml:space="preserve">Operaciones vinculadas, estructura de control y defensas</w:t>
      </w:r>
    </w:p>
    <w:p>
      <w:pPr>
        <w:spacing w:after="100"/>
      </w:pPr>
      <w:r>
        <w:t xml:space="preserve">Sin accionista de control. Hay una sola clase de acciones con un voto por acción, elección anual de todos los consejeros, mayoría de votos con dimisión, acceso al </w:t>
      </w:r>
      <w:r>
        <w:rPr>
          <w:i/>
        </w:rPr>
        <w:t xml:space="preserve">proxy</w:t>
      </w:r>
      <w:r>
        <w:t xml:space="preserve"> y convocatoria de junta extraordinaria con el 20 % del capital [51]. No hay píldora venenosa. Las operaciones vinculadas son menores: patrocinios con los Minnesota Twins y el Minnesota United, de la familia Pohlad, por unos 1,2 M USD al año [51]. La debilidad es la presidencia ejecutiva. Laguarta es presidente y consejero delegado; el contrapeso es un consejero coordinador independiente, Cesar Conde desde mayo de 2026 tras trece años de Ian Cook. La propuesta de presidente independiente sacó un 25,5 % a favor en 2026 [51, 52].</w:t>
      </w:r>
    </w:p>
    <w:p>
      <w:pPr>
        <w:spacing w:after="100"/>
      </w:pPr>
      <w:r>
        <w:rPr>
          <w:b/>
        </w:rPr>
        <w:t xml:space="preserve">Elliott.</w:t>
      </w:r>
      <w:r>
        <w:t xml:space="preserve"> El 2-sep-2025 Elliott Investment Management anunció una inversión de 4.000 M USD, se presentó como uno de los mayores accionistas y envió carta y presentación al consejo [68]. Calculaba una subida de más del 50 % y pedía cinco cosas. Primera: estudiar la refranquicia del embotellado de PepsiCo Beverages North America y podar marcas y referencias. Segunda: ajustar los costes de PepsiCo Foods North America al volumen real y vender activos no estratégicos. Tercera: reinvertir en crecimiento. Cuarta: publicar objetivos nuevos a medio plazo. Quinta: más supervisión y rendición de cuentas [68]. La empresa respondió con cambios en la cúpula y un plan. El 7-oct-2025 fichó a Steve Schmitt, CFO de Walmart U.S., para sustituir a Jamie Caulfield, y Darren Walker dejó el consejo [55]. El 8-dic-2025 publicó sus prioridades «tras un diálogo constructivo» con Elliott y con su apoyo explícito [21]. El plan recorta casi un 20 % de las referencias en EE. UU., ya había cerrado tres fábricas y baja precios por tramos de marca y canal. Promete al menos 100 pb de mejora del margen operativo core en tres ejercicios, una conversión de caja libre de al menos el 80 % en 2026 y el 90 % en 2027, inversión por debajo del 5 % de las ventas y más retribución al accionista en 2026-2027. Abre una revisión de la cadena de suministro y la distribución de Norteamérica, con actualización a finales de 2026, y se compromete a renovar el consejo [21]. El 9-dic-2025 Laguarta descartó la refranquicia completa del embotellado de Norteamérica. A cambio, prueba en Texas un modelo integrado de alimentación y bebidas [69]. El 15-dic-2025 Norteamérica pasó a un solo consejero delegado, Ram Krishnan [1, 56]. En la junta de 2026 entró David Gibbs (Yum!, experto en franquicias), salieron Agbaje y Page, y el consejo bajó de 15 a 13 miembros. El 17-sep-2026 se anunció a Joaquin Duato (J&amp;J) para el 1-dic-2026 [51, 52, 57]. No hay acuerdo formal presentado a la SEC: el 8-K fue solo informativo (Item 7.01), sin pacto de abstención ni puesto en el consejo para Elliott. A octubre de 2026 Elliott mantiene en su 13F del 2T26 las mismas 1.275.000 acciones [70]. La refranquicia completa está descartada. Lo pendiente es la actualización de finales de 2026 sobre la distribución de Norteamérica y si la guía de 2026 se cumple.</w:t>
      </w:r>
    </w:p>
    <w:p>
      <w:pPr>
        <w:pStyle w:val="Heading2"/>
      </w:pPr>
      <w:r>
        <w:t xml:space="preserve">Señales de alerta</w:t>
      </w:r>
    </w:p>
    <w:p>
      <w:pPr>
        <w:pStyle w:val="ListParagraph"/>
        <w:numPr>
          <w:ilvl w:val="0"/>
          <w:numId w:val="2"/>
        </w:numPr>
        <w:spacing w:after="60"/>
      </w:pPr>
      <w:r>
        <w:t xml:space="preserve">Campaña activista de Elliott (inversión anunciada de 4.000 M USD, 2-sep-2025), resuelta sin pacto formal. La empresa aceptó un plan de costes, precios y renovación del consejo el 8-dic-2025, pero descartó la refranquicia completa del embotellado. La revisión de la distribución de Norteamérica se presentará a finales de 2026 y es el siguiente punto de tensión si la guía falla [21, 68, 69, 70].</w:t>
      </w:r>
    </w:p>
    <w:p>
      <w:pPr>
        <w:pStyle w:val="ListParagraph"/>
        <w:numPr>
          <w:ilvl w:val="0"/>
          <w:numId w:val="2"/>
        </w:numPr>
        <w:spacing w:after="60"/>
      </w:pPr>
      <w:r>
        <w:t xml:space="preserve">Rotación en finanzas: nuevo director financiero en noviembre de 2025 (Steve Schmitt, de Walmart) tras la salida de Jamie Caulfield, y nueva interventora general (Christine Tammara) desde mayo de 2025 por jubilación de Marie Gallagher. El auditor sigue siendo KPMG, con un 7,4 % de votos en contra a su ratificación en 2026 [52, 55, 75].</w:t>
      </w:r>
    </w:p>
    <w:p>
      <w:pPr>
        <w:pStyle w:val="ListParagraph"/>
        <w:numPr>
          <w:ilvl w:val="0"/>
          <w:numId w:val="2"/>
        </w:numPr>
        <w:spacing w:after="60"/>
      </w:pPr>
      <w:r>
        <w:t xml:space="preserve">Fichaje del director financiero caro y garantizado: 3,5 M USD de prima de entrada y 7 M USD en acciones restringidas sin condiciones de resultados [55].</w:t>
      </w:r>
    </w:p>
    <w:p>
      <w:pPr>
        <w:pStyle w:val="ListParagraph"/>
        <w:numPr>
          <w:ilvl w:val="0"/>
          <w:numId w:val="2"/>
        </w:numPr>
        <w:spacing w:after="60"/>
      </w:pPr>
      <w:r>
        <w:t xml:space="preserve">Ventas de directivos en 12 meses (6,15 M USD; ninguna compra en el mercado). Laguarta vendió 27.945 acciones el 2-mar-2026 por 4,68 M USD, fuera de un plan 10b5-1 [58].</w:t>
      </w:r>
    </w:p>
    <w:p>
      <w:pPr>
        <w:pStyle w:val="ListParagraph"/>
        <w:numPr>
          <w:ilvl w:val="0"/>
          <w:numId w:val="2"/>
        </w:numPr>
        <w:spacing w:after="60"/>
      </w:pPr>
      <w:r>
        <w:t xml:space="preserve">Guía rebajada a mitad de ejercicio en 2024 (orgánico) y 2025 (BPA). El primer semestre de 2026 va por debajo del rango de BPA core en divisa constante [14, 15, 16, 66, 67].</w:t>
      </w:r>
    </w:p>
    <w:p>
      <w:pPr>
        <w:pStyle w:val="ListParagraph"/>
        <w:numPr>
          <w:ilvl w:val="0"/>
          <w:numId w:val="2"/>
        </w:numPr>
        <w:spacing w:after="60"/>
      </w:pPr>
      <w:r>
        <w:t xml:space="preserve">Litigios por contaminación de plásticos (Nueva York en apelación, Baltimore, Los Ángeles, Islas Vírgenes) sin cuantía reclamada; la empresa los considera no materiales [1, 7]. La FTC retiró por 3-0 el 22-may-2025 la demanda por discriminación de precios a favor de Walmart (Robinson-Patman), presentada en enero de 2025 [74].</w:t>
      </w:r>
    </w:p>
    <w:p>
      <w:pPr>
        <w:pStyle w:val="ListParagraph"/>
        <w:numPr>
          <w:ilvl w:val="0"/>
          <w:numId w:val="2"/>
        </w:numPr>
        <w:spacing w:after="60"/>
      </w:pPr>
      <w:r>
        <w:t xml:space="preserve">Consejo con antigüedad alta en las comisiones clave: Vasella (desde 2002) y Dublon (2005) en Retribuciones, y Pohlad, ex embotellador de Pepsi, presidiendo Nombramientos. Pohlad y Vasella recibieron los mayores votos en contra de 2026 (8,7 % y 8,3 %) [51, 52].</w:t>
      </w:r>
    </w:p>
    <w:p>
      <w:pPr>
        <w:pStyle w:val="ListParagraph"/>
        <w:numPr>
          <w:ilvl w:val="0"/>
          <w:numId w:val="2"/>
        </w:numPr>
        <w:spacing w:after="60"/>
      </w:pPr>
      <w:r>
        <w:t xml:space="preserve">Rating sin presión: Moody's A1/P-1 estable, mantenido al calificar la emisión en euros de febrero de 2026 [72]. S&amp;P A+/A-1 estable (última confirmación localizada, febrero de 2025) [73].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9 de julio de 2026, con los resultados del 2T26, PepsiCo reafirmó la guía de 2026, toda en base no GAAP [16]: ingresos orgánicos +2-4 %, BPA core a tipo de cambio constante +4-6 %, tipo impositivo core de ~22 %, inversión por debajo del 5 % de las ventas, conversión de caja libre de al menos el 80 % y ~8.900 M USD devueltos al accionista (7.900 M en dividendos y 1.000 M en recompras) [16]. Con ~1 punto a favor de la divisa y ~1 punto de las compras netas de 2025 (Siete y poppi), la guía implica ventas publicadas +4-6 % y BPA core +5-7 % [16]. Sobre el BPA core de 8,14 USD de 2025 [1, 81], eso da 8,55-8,71 USD: el consenso (8,54-8,55) está en el suelo del rango [79, 81]. Los resultados del 3T26 se publican el 8 de octubre de 2026, antes de la apertura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 analistas; BPA core (no GAAP) [79]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124,00 – 180,00</w:t>
            </w:r>
          </w:p>
        </w:tc>
      </w:tr>
    </w:tbl>
    <w:p>
      <w:pPr>
        <w:spacing w:after="160" w:before="0"/>
      </w:pPr>
    </w:p>
    <w:p>
      <w:pPr>
        <w:pStyle w:val="Heading2"/>
      </w:pPr>
      <w:r>
        <w:t xml:space="preserve">Revisiones de estimaciones</w:t>
      </w:r>
    </w:p>
    <w:p>
      <w:pPr>
        <w:spacing w:after="100"/>
      </w:pPr>
      <w:r>
        <w:t xml:space="preserve">No hay series gratuitas de revisiones del BPA a 3 y 12 meses (MarketScreener las da solo en gráfico y Zacks bloquea el acceso). Lo que sí se ve es el sentido: las recomendaciones de compra han bajado de 8 en mayo de 2026 a 5 en octubre y las de mantener han subido de 14 a 18 [81]. Entre el 1 y el 6 de octubre, antes de los resultados del 3T26, cuatro bancos recortaron su precio objetivo: RBC de 161 a 150 USD, Wells Fargo de 140 a 135, UBS de 159 a 145 y Barclays de 142 a 133; Goldman Sachs mantuvo 180 y compra [81]. JPMorgan bajó a neutral con 138 USD [80]. Los analistas citan el riesgo creciente sobre el beneficio de 2027 y la debilidad de Norteamérica [80]. Las estimaciones solo vienen de MarketScreener; Stock Analysis (S&amp;P Global) coincide en ingresos y BPA de 2026 (98.870 M y 8,55 USD) [81].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PepsiCo cierra el 7 de octubre de 2026 en 123,73 USD, en su mínimo de 52 semanas y un 27,8 % por debajo del máximo de 171,48 USD del 12 de febrero de 2026 [76]. En cinco años la acción ha perdido un 1,4 % anual con dividendos, frente al +13,7 % del S&amp;P 500 (SPY) y el +5,9 % del consumo básico (XLP) [76]. La brecha se abre en 2023: tres años seguidos en negativo (−3,3 %, −7,6 % y −1,8 %) mientras el índice ganaba más de un 17 % cada año [76]. La caída máxima, del 30,3 %, va de mayo de 2023 a mayo de 2025 [76]. En 2026 la presión se concentra en mayo-octubre: las mayores caídas diarias fueron el 11 de mayo (−3,4 %) y el 9 de julio (−3,3 %, día de resultados del 2T26) [7, 76], y entre el 1 y el 6 de octubre cinco bancos recortaron su precio objetivo antes de los resultados del 3T26 [81]. La posición corta es del 1,89 % del capital [82].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PepsiCo cotiza a 11,1 veces el EBITDA de los últimos 12 meses, por debajo del mínimo de los diez cierres de ejercicio (12,9 veces en 2025) y un 28 % por debajo de la media (15,5 veces). El PER de 16,2 veces también está en el percentil 10 de su historia, aunque la media de 26,2 veces está inflada por años con el beneficio contable deprimido por cargos. Dos cosas estructurales explican parte del descuento: el bono a 10 años ha pasado de menos del 1 % en 2020 al 5,28 % de hoy [77], lo que castiga a los valores que se compran por el dividendo, y el volumen de Norteamérica cae desde 2023 [1]. Lo que el múltiplo no recoge es que el margen recurrente sigue en máximos de cinco años (19,5 %).</w:t>
      </w:r>
    </w:p>
    <w:p>
      <w:pPr>
        <w:pStyle w:val="Heading1"/>
      </w:pPr>
      <w:r>
        <w:t xml:space="preserve">18. Comparables cotizados</w:t>
      </w:r>
    </w:p>
    <w:p>
      <w:pPr>
        <w:pStyle w:val="Confianza"/>
        <w:spacing w:after="100"/>
      </w:pPr>
      <w:r>
        <w:t xml:space="preserve">Confianza: Media</w:t>
      </w:r>
    </w:p>
    <w:p>
      <w:pPr>
        <w:spacing w:after="100"/>
      </w:pPr>
      <w:r>
        <w:t xml:space="preserve">Seis cotizadas estadounidenses de marca en bebidas y alimentación envasada, las dos actividades de PepsiCo: Coca-Cola y Keurig Dr Pepper (refrescos), Monster (energéticas), Mondelez (aperitivos dulces y galletas), Kraft Heinz y General Mills (alimentación envasada en EE. UU.). Fuera Nestlé y Hershey: MarketScreener no dio sus estimaciones de EBITDA por la vía usada y mezclar proveedores rompería la comparación entre los múltiplos de los últimos y los próximos 12 meses. Keurig Dr Pepper está distorsionada por la compra de JDE Peet's (ventas +58 % en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11,8x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13,0x / 21,1x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15,5x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2,7x / 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14,3 + 0,07 × crecimiento; R² = 0,01. El crecimiento explica poco los múltiplos de estos comparables (R² &lt; 0,3): la regresión no se usa en la valoración.</w:t>
      </w:r>
    </w:p>
    <w:p>
      <w:pPr>
        <w:spacing w:after="100"/>
      </w:pPr>
      <w:r>
        <w:t xml:space="preserve">PepsiCo cotiza a 10,6 veces el EBITDA de los próximos 12 meses y a 14,6 veces el beneficio, por debajo de las medianas de la muestra (11,8 y 15,5 veces). Con la mediana, su valor implícito es 140,67 USD por EV/EBITDA y 131,53 USD por PER. La mediana es frágil: quitando una sola empresa va de 10,0 a 13,5 veces (de 115,25 a 166,08 USD por acción), porque la muestra tiene dos grupos. Coca-Cola (21,9 veces) y Monster (24,6 veces) son negocios de concentrado o de marca sin fábricas, con márgenes EBITDA del 31-33 %. Kraft Heinz (8,6 veces) y General Mills (9,7 veces) venden alimentación envasada sin crecimiento [83, 84, 85, 86, 87, 88]. PepsiCo está en medio: margen del 19,5 %, pero ROIC del 21,3 %, el doble de la mediana. Un descuento frente a Mondelez (13,5 veces) no se justifica por rentabilidad sino por el volumen de Norteamérica. La regresión entre múltiplo y crecimiento no explica nada (R² 0,01)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JDE Peet's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31,85 EUR por acción; valor empresa ~23.000 M USD (EUR/USD 1,16); 12,9x el EBITDA ajustado estimado de 2026 (10,5x con sinergias), múltiplo de los próximos 12 meses y no de los últimos [98].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 Kellogg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Ferrero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USD por acción en efectivo; valor empresa 3.100 M USD; prima del 40 % sobre la media ponderada de 30 sesiones. La nota no publica múltiplo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1.950 M USD en efectivo más 200 M de pago contingente (valor razonable).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(Garza Food Ventures)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USD en efectivo.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83,50 USD por acción en efectivo; valor empresa 35.900 M USD con la deuda neta asumida; 16,4x el EBITDA ajustado de los últimos 12 meses a junio de 2024; prima del 44 % sobre la media de 30 sesiones sin afectar. Ventas de 2023 de más de 13.000 M USD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34,25 USD por acción en efectivo y acciones; valor empresa ~5.600 M USD con ~900 M de deuda neta; 17,2x el EBITDA ajustado estimado de 2023 (13,2x con 100 M de sinergias)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USD por acción en efectivo; valor empresa 2.700 M USD; 19,8x el EBITDA ajustado de los últimos 12 meses sin sinergias (14,6x con ~50 M de sinergias)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(15,5x – 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184,82 – 216,99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con múltiplo publicado se pagaron entre 12,9x y 19,8x el EBITDA ajustado (mediana ~16,8x), muy por encima de los ~11x a los que cotiza PepsiCo. Son, sin embargo, objetivos mucho más pequeños, salvo Kellanova (35.900 M USD) y JDE Peet's (~23.000 M). Con ~211.000 M USD de valor empresa, PepsiCo no es un objetivo verosímil: los únicos compradores con tamaño serían otros grandes de consumo, y el antimonopolio en bebidas y aperitivos lo hace inviable. Las propias compras de PepsiCo de 2025 (Siete y poppi, 3.150 M USD) no publicaron múltiplo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primer año (2026e) se fija en el +5,3 %: es el consenso de ventas (98.874 M) [79] y cae dentro de la guía publicada de +4-6 %, que suma un 2-4 % orgánico, un punto de divisa y un punto de las compras de 2025 [16]. En el primer semestre las ventas crecieron un 7,3 %, un 2,5 % orgánico [16]. A partir de 2027 el crecimiento se apoya solo en el orgánico: +3,0 % en 2027 (consenso +2,8 %), +3,5 % en 2028-2029 (consenso de 2028 +3,5 %) y una bajada hasta el 3,0 % al final [79]. Es menos que la tasa anual compuesta de 2016-2025 (4,6 %), que llevaba dentro la inflación de precios de 2021-2023, y más que el orgánico de 2024-2025 (2,0 % y 1,7 %) [13, 14]. Supone que internacional siga creciendo en torno al 6 % y que Norteamérica deje de restar.</w:t>
      </w:r>
    </w:p>
    <w:p>
      <w:pPr>
        <w:keepNext/>
        <w:spacing w:after="100"/>
      </w:pPr>
      <w:r>
        <w:rPr>
          <w:b/>
          <w:bCs/>
        </w:rPr>
        <w:t xml:space="preserve">Márgenes.</w:t>
      </w:r>
    </w:p>
    <w:p>
      <w:pPr>
        <w:spacing w:after="100"/>
      </w:pPr>
      <w:r>
        <w:t xml:space="preserve">El margen EBITDA recurrente fue del 19,6 % en 2025 y del 19,5 % en los últimos 12 meses. El de 2026e (19,6 %) coincide con el consenso (19.370 M) [79]. Después baja al 19,4 % en 2027, por la inversión en precio de Norteamérica y la inflación de costes que la dirección anticipó para el segundo semestre [17], y vuelve al 19,8 % desde 2029. Queda medio punto por debajo del consenso de 2028 (20,0 %) a propósito: los cargos de reestructuración se repiten cada año y aún quedan unos 2.100 M de caja del plan de productividad [7]. La dirección promete al menos 100 pb más de margen operativo core en tres años [21]; no se le da crédito, porque en 2024-2025 rebajó la guía a mitad de año [66, 67]. El 19,8 % está por debajo del 20,1-20,4 % de 2016-2018.</w:t>
      </w:r>
    </w:p>
    <w:p>
      <w:pPr>
        <w:keepNext/>
        <w:spacing w:after="100"/>
      </w:pPr>
      <w:r>
        <w:rPr>
          <w:b/>
          <w:bCs/>
        </w:rPr>
        <w:t xml:space="preserve">Inversión y circulante.</w:t>
      </w:r>
    </w:p>
    <w:p>
      <w:pPr>
        <w:spacing w:after="100"/>
      </w:pPr>
      <w:r>
        <w:t xml:space="preserve">La inversión baja del 5,4-6,0 % de las ventas en 2019-2024 al 4,1 % en 2025 [1], y la guía de 2026 la deja por debajo del 5 % [16]. El modelo usa un 4,6 % en 2026e y un 4,8 % en 2027-2029, para no suponer que el recorte de 2025 se mantiene. Después converge al 4,5 %, por encima de la amortización (3,7 %), como corresponde a un negocio que sigue creciendo. El circulante comercial se mantiene en el 6,0 % de las ventas, igual que en 2025 (4,7-5,4 % en 2016-2024). El tipo impositivo es del 21,5 %, entre el efectivo de 2025 (19,0 %) y el core que guía la empresa (~22 %) con el impuesto mínimo global [16].</w:t>
      </w:r>
    </w:p>
    <w:p>
      <w:pPr>
        <w:keepNext/>
        <w:spacing w:after="100"/>
      </w:pPr>
      <w:r>
        <w:rPr>
          <w:b/>
          <w:bCs/>
        </w:rPr>
        <w:t xml:space="preserve">Coste del capital.</w:t>
      </w:r>
    </w:p>
    <w:p>
      <w:pPr>
        <w:spacing w:after="100"/>
      </w:pPr>
      <w:r>
        <w:t xml:space="preserve">Tasa libre: el bono del Tesoro a 10 años al 5,28 % el 7-oct-2026 [77]. Prima de mercado: 5,0 %, en línea con la histórica a largo plazo; la implícita de hoy (4,20 %) se usa en la regla relativa [78]. Beta: 0,65, reapalancada desde las betas desapalancadas del sector de Damodaran (bebidas no alcohólicas 0,58 y alimentación 0,47, ponderadas por ventas, 0,52) con la deuda de PepsiCo a precios de mercado (31 % de la capitalización) [100]. La regresión frente al S&amp;P 500 da 0,55 ajustada (0,33 sin ajustar) y frente al MSCI World 0,58; frente al índice de consumo básico, 0,91, pero esa mide el riesgo relativo al sector, no al mercado, y no sirve para el CAPM [76]. La de dos años semanal (0,15) está deprimida por la caída propia de la acción mientras el mercado subía. Coste de la deuda: 5,8 % antes de impuestos (tasa libre más 0,5 puntos de un A1; estimación propia) [72]; peso de la deuda del 24 %. Resultado: coste del capital propio del 8,53 % y WACC del 7,58 %.</w:t>
      </w:r>
    </w:p>
    <w:p>
      <w:pPr>
        <w:keepNext/>
        <w:spacing w:after="100"/>
      </w:pPr>
      <w:r>
        <w:rPr>
          <w:b/>
          <w:bCs/>
        </w:rPr>
        <w:t xml:space="preserve">Valor terminal.</w:t>
      </w:r>
    </w:p>
    <w:p>
      <w:pPr>
        <w:spacing w:after="100"/>
      </w:pPr>
      <w:r>
        <w:t xml:space="preserve">Crecimiento a perpetuidad del 3,0 %: un 2,5 % de inflación en dólares y medio punto real, coherente con un bono al 5,28 % (queda por debajo de la tasa libre menos medio punto). Es menos que el crecimiento orgánico medio de 2016-2025 y supone que PepsiCo crece con la economía nominal, no por encima. El múltiplo de salida implícito es de 13,2 veces el EBITDA, frente a 12,0 veces de contraste (por debajo de la media histórica de 15,5 veces y cerca de los comparables de alimentación). Con 12 veces el crecimiento implícito sería del 2,51 %, así que los dos métodos son coherentes entre sí. El valor terminal pesa un 67 % del valor de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219,44</w:t>
            </w:r>
          </w:p>
        </w:tc>
      </w:tr>
    </w:tbl>
    <w:p>
      <w:pPr>
        <w:spacing w:after="160" w:before="0"/>
      </w:pPr>
    </w:p>
    <w:p>
      <w:pPr>
        <w:pStyle w:val="Heading2"/>
      </w:pPr>
      <w:r>
        <w:t xml:space="preserve">¿Puede la empresa sostener el crecimiento previsto?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13.125 M (9 % del NOPAT)</w:t>
            </w:r>
          </w:p>
        </w:tc>
      </w:tr>
    </w:tbl>
    <w:p>
      <w:pPr>
        <w:spacing w:after="160" w:before="0"/>
      </w:pPr>
    </w:p>
    <w:p>
      <w:pPr>
        <w:spacing w:after="100"/>
      </w:pPr>
      <w:r>
        <w:t xml:space="preserve">La proyección apenas necesita inversión neta de la amortización (reinversión acumulada de 13.125 M, el 9 % del NOPAT, con un capex bruto medio del 4,7 %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 (base: 19,8 %)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7,6 %)</w:t>
            </w:r>
          </w:p>
        </w:tc>
      </w:tr>
    </w:tbl>
    <w:p>
      <w:pPr>
        <w:spacing w:after="160" w:before="0"/>
      </w:pPr>
    </w:p>
    <w:p>
      <w:pPr>
        <w:spacing w:after="100"/>
      </w:pPr>
      <w:r>
        <w:t xml:space="preserve">El DCF da 161,63 USD por acción, un 30,6 % por encima del precio, con un valor terminal que pesa el 67 %. Lo importante es lo que descuenta el precio. A 123,73 USD, el mercado paga un crecimiento de las ventas del −0,1 % anual en 2027-2035 con nuestros márgenes, o un margen EBITDA del 16,9 % con nuestro crecimiento, frente al 19,8 % que suponemos. El 16,9 % está por debajo del peor año de la década (17,5 % en 2022, con todo el choque de costes) y se parece al margen de hoy con los cargos de reestructuración tratados como permanentes. Dicho de otra forma, el precio implica una rentabilidad anual del 8,7 %, frente a un WACC del 7,58 % y al 7,19 % que pide el mercado con su prima actual. Eso es exigente para el mercado y conservador para nosotros: nuestras cifras están en el consenso o algo por debajo, así que la diferencia no viene de ser más optimistas en ventas o márgenes. Viene de que el mercado ha subido la rentabilidad que pide a PepsiCo por el riesgo de volumen. Si el WACC fuera del 8,6 %, el valor bajaría a 127,63 USD, casi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Norteamérica no se recupera pese a las bajadas de precio: los fármacos GLP-1 en pastilla llegan a más hogares y la marca blanca sigue ganando. El margen vuelve al 17,3 %, el de 2021-2022, y el crecimiento se queda en el 1,7 % de 2025. Los tipos siguen altos y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crece en torno al 6 % y Norteamérica se estabiliza con volumen plano y precio ligeramente positivo desde 2027. El margen recurrente sube del 19,4 % al 19,8 % con el plan de productividad, sin llegar a lo prometido.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asequibilidad y la poda de referencias devuelven el volumen positivo a los snacks de Norteamérica, poppi, Siete y Celsius aceleran bebidas y la dirección cumple los 100 pb de margen prometidos. El crecimiento medio llega al 4,2 % y el margen al 20,8 %.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23,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148,23 USD (+19,8 %).</w:t>
      </w:r>
    </w:p>
    <w:p>
      <w:pPr>
        <w:spacing w:after="100"/>
      </w:pPr>
      <w:r>
        <w:t xml:space="preserve">La asimetría favorece la compra, pero menos de lo que parece. El alcista gana un 60,0 % y el bajista pierde un 25,0 %, con una asimetría de 2,40 veces. El bajista no es cosmético: es la combinación de dos cosas que ya han pasado, el margen de 2021-2022 y el crecimiento de 2025, más medio punto de tipos, y lleva el valor a 92,76 USD. Le damos un 30 % de probabilidad porque el consenso de BPA ya baja de 2026 a 2027 [79] y cuatro bancos recortaron el precio objetivo en la primera semana de octubre [81]. El valor ponderado de los tres casos supera el precio: incluso con un bajista tan probable, el precio descuenta más de lo que pesa.</w:t>
      </w:r>
    </w:p>
    <w:p>
      <w:pPr>
        <w:pStyle w:val="Heading1"/>
      </w:pPr>
      <w:r>
        <w:t xml:space="preserve">22. Suma de partes</w:t>
      </w:r>
    </w:p>
    <w:p>
      <w:pPr>
        <w:pStyle w:val="Confianza"/>
        <w:spacing w:after="100"/>
      </w:pPr>
      <w:r>
        <w:t xml:space="preserve">Confianza: Media</w:t>
      </w:r>
    </w:p>
    <w:p>
      <w:pPr>
        <w:spacing w:after="100"/>
      </w:pPr>
      <w:r>
        <w:t xml:space="preserve">No se aplica. Los segmentos comparten fábricas, distribución directa a tienda y compras, y no hay comparables puros con cifras homogéneas para separar los snacks de Norteamérica, las bebidas de Norteamérica y el negocio internacional. La separación del embotellado que pidió Elliott quedó descartada por la dirección en diciembre de 2025 [69].</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23,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151,16 USD (+22,2 % sobre 123,73).</w:t>
      </w:r>
    </w:p>
    <w:p>
      <w:pPr>
        <w:spacing w:after="100"/>
      </w:pPr>
      <w:r>
        <w:t xml:space="preserve">El DCF y los escenarios pesan un 40 % cada uno porque son los únicos métodos que miden lo que está en duda: cuánto dura el crecimiento y a qué margen. Los comparables pesan un 20 %: la muestra está partida entre empresas de concentrado a 22-25 veces y de alimentación a 9-10 veces, y la mediana se mueve de 10,0 a 13,5 veces quitando una sola. Las transacciones no pesan: llevan prima de control (mediana de unas 16,8 veces el EBITDA) y con una capitalización de 169.250 M nadie va a comprar PepsiCo entera. La dispersión es amplia pero tiene una lectura clara: los métodos de mercado (131,53 USD por PER y 140,67 USD por EV/EBITDA) quedan entre el precio y el DCF, y los de flujos (161,63 USD el DCF) bastante por encima. La diferencia es el coste del capital que el mercado aplica hoy a PepsiCo.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confirma la guía de 2026 (orgánico +2-4 %, BPA core +4-6 % en divisa constante) con un semestre que va al +3 % de BPA, sería la primera vez desde 2023 que no la rebaja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revisión de la cadena de suministro y la distribución de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una separación parcial del embotellado o de la distribución liberaría capital [21, 69]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 la FDA para retirar seis colorantes sintéticos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reformulación en snacks y bebidas de colores (Cheetos, Doritos, Gatorade)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consejo Joaquin Duato (J&amp;J)</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Continúa la renovación del consejo comprometida en diciembre de 2025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BPA de 8,47 USD en 2027, por debajo de los 8,54 de 2026 [79]; una guía de crecimiento lo desmentiría. También dirá si el dividendo sube por 55.º año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del SNAP que excluyen refrescos y golosinas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aprobadas en 22 estados y ocho más en trámite; afecta al volumen de bebidas de Norteamérica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volumen de snacks de Norteamérica no se recupera pese a bajar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1 punto más bajo: 148,76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tiene el 56 % de las patatas fritas de EE. UU. y la marca blanca solo el 9,5 % [46]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de PFNA negativo dos trimestres seguidos con precio neto también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fármacos GLP-1 reducen el consumo de snacks y refrescos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(crecimiento 1 punto menor cada año: 148,98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raciones pequeñas, proteína y fibra; internacional menos expuesto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gasto en snacks salados de los hogares de EE. UU. medida por Circana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bebidas de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−6 % (estimación propia: PBNA es el 30 % de las ventas con un margen del 3,9 %)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 Celsius y Alani Nu en las categorías que crecen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bebidas refrescantes de EE. UU. por debajo del 16 % de 2025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o mayor prima exigida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+0,5 puntos: 142,95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un coste medio del 3,8 % y vencimientos escalonados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 5,1 %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−5 % por las ventas (estimación propia), más 1,34 USD por acción de caja: el 20 % de la caja del grupo estaba en Rusia a dic-2025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la caja retenida en Rusia no ha afectado hasta ahora a sus fuentes y usos de caja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a la salida de dividendos o expropiación de activos extranjeros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salud: SNAP, colorantes, impuestos al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Reformulaciones ya en marcha y versiones sin azúcar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estados con exenciones del SNAP (22 en marzo de 2026) [49]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rinden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(deterioro de la mitad de lo pagado por poppi y Siete)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fondo de comercio en PBNA o PFNA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 dividendo deja de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castigo en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A1/A+ y vencimientos de unos 4.000 M al año [1, 72, 73]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por encima del 90 % del flujo libre dos años seguidos</w:t>
            </w:r>
          </w:p>
        </w:tc>
      </w:tr>
    </w:tbl>
    <w:p>
      <w:pPr>
        <w:spacing w:after="160" w:before="0"/>
      </w:pPr>
    </w:p>
    <w:p>
      <w:pPr>
        <w:pStyle w:val="Heading2"/>
      </w:pPr>
      <w:r>
        <w:t xml:space="preserve">Pre-mortem</w:t>
      </w:r>
    </w:p>
    <w:p>
      <w:pPr>
        <w:spacing w:after="100"/>
      </w:pPr>
      <w:r>
        <w:t xml:space="preserve">Octubre de 2029: la acción ha perdido un 40 % y cotiza a unos 75 USD. La historia más probable empieza en 2027. Las bajadas de precio de Frito-Lay compraron volumen durante dos trimestres, pero en cuanto la competencia y la marca blanca respondieron, el volumen volvió a caer y el precio no se pudo recuperar. Los GLP-1 en pastilla, más baratos que los inyectables, llegaron a más del 15 % de los adultos de EE. UU., y el gasto en snacks salados de esos hogares cayó por encima del 5 % del estudio de Cornell [45]. En bebidas, la cuota siguió bajando del 16 % y poppi no compensó la caída de Pepsi y Mountain Dew. El margen recurrente volvió al 17-18 %, pero la dirección mantuvo el dividendo para no romper la racha de 55 años. La deuda neta subió por encima de 2,5 veces el EBITDA y Moody's rebajó la nota a A2. Con el bono por encima del 5 %, el mercado pagó por PepsiCo lo que paga por Kraft Heinz: 9 veces el EBITDA. La señal que lo habría avisado: el volumen orgánico de snacks de Norteamérica, negativo otra vez con el precio neto también negativo.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PepsiCo pesan tres asuntos. </w:t>
      </w:r>
      <w:r>
        <w:rPr>
          <w:b/>
        </w:rPr>
        <w:t xml:space="preserve">Salud y nutrición</w:t>
      </w:r>
      <w:r>
        <w:t xml:space="preserve">: es a la vez riesgo regulatorio (SNAP, colorantes, impuestos al azúcar [1, 49, 50]) y de demanda (GLP-1 [45]); la empresa reformula para reducir azúcar, sal y grasa saturada y retira colorantes artificiales de Lay's, Cheetos y Doritos [1]. </w:t>
      </w:r>
      <w:r>
        <w:rPr>
          <w:b/>
        </w:rPr>
        <w:t xml:space="preserve">Envases y plástico</w:t>
      </w:r>
      <w:r>
        <w:t xml:space="preserve">: es el origen de cuatro demandas de autoridades públicas por contaminación (Nueva York, Baltimore, Los Ángeles e Islas Vírgenes) [1] y de costes por depósitos y responsabilidad ampliada del productor [1]. </w:t>
      </w:r>
      <w:r>
        <w:rPr>
          <w:b/>
        </w:rPr>
        <w:t xml:space="preserve">Clima y agricultura</w:t>
      </w:r>
      <w:r>
        <w:t xml:space="preserve">: depende de patata, maíz y aceites expuestos al clima; tiene objetivos validados por SBTi alineados con 1,5 °C, pero en 2025 retrasó su objetivo de cero emisiones netas de 2040 a 2050 [51], y aspira a llevar 10 millones de acres a agricultura regenerativa en 2030 [51].</w:t>
      </w:r>
    </w:p>
    <w:p>
      <w:pPr>
        <w:pStyle w:val="Heading2"/>
      </w:pPr>
      <w:r>
        <w:t xml:space="preserve">Controversias</w:t>
      </w:r>
    </w:p>
    <w:p>
      <w:pPr>
        <w:spacing w:after="100"/>
      </w:pPr>
      <w:r>
        <w:t xml:space="preserve">Demandas por contaminación plástica: fiscal general de Nueva York (noviembre de 2023; desestimada en noviembre de 2024 y recurrida), Baltimore (junio de 2024; solo sigue la acusación de molestia pública), condado de Los Ángeles (octubre de 2024) e Islas Vírgenes de EE. UU. (abril de 2025); ninguna fija cuantía [1]. Retirada de barritas y cereales de Quaker en 2023-2024, con 323 M USD de cargos acumulados [1]. En 2025 retrasó su objetivo de cero emisiones netas a 2050 [51].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precio neto ha invertido PFNA en 2026 y en qué plazo espera recuperar el margen de Norteamérica?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el precio neto de PFNA bajó 2 puntos con volumen plano y el beneficio core en divisa constante cayó un 8 % [16]; la dirección no dio cifras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plan de productividad nuevo cuando termine el actual, o los cargos de reestructuración bajarán de forma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 recurrentes» suman entre 1.800 y 3.400 M al año desde 2023 [1]; si son permanentes, el margen sostenible es un punto menor y el valor baja a 148,76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estudia la revisión de la cadena de suministro y la distribución, y cuánto capital liberaría una separación parcial?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y la decisión llega a finales de 2026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diferencia de consumo mide la empresa entre hogares con y sin usuario de GLP-1 en sus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que más mueve el crecimiento a perpetuidad; el único dato público es un estudio de panel con datos de 2023-2024 [45].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cuota en bebidas refrescantes de EE. UU. bajó del 19 % al 16 % entre 2023 y 2025, y qué parte es por perder marcas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PBNA bajó del 9,4 % al 3,9 % en dos años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 subida del dividendo si el flujo libre no supera los 9.000 M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dividendo se llevó el 93 % del flujo libre [1], y la deuda neta ya está en 2,2 veces el EBITDA.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beneficio operativo y qué caja aporta Rusia, y qué pasaría con el negocio si tuviera que salir?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el 5,1 % de las ventas [1] y no está separado en la información por segmentos.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2 explicados. Fuentes: 100 (70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287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seis comparables de modelos muy distintos (concentrado de bebidas, energéticas, alimentación envasada), el crecimiento no explica los múltiplos (R² 0,01).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10,0x a 13,5x según qué comparable se quite (115,25 a 166,08 por acción): la muestra es frágil; explícalo y no le des mucho peso. Explicación: La muestra está partida en dos grupos (Coca-Cola y Monster a 22-25 veces frente a Kraft Heinz y General Mills a 9-10 veces). Por eso los comparables pesan solo un 20 % en el valor objetivo y el texto da el rango.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a 12 meses (PER propio × BPA propio)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Falta valoracion.objetivo_12m: la rentabilidad a 12 meses sale del valor intrínseco.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26,8 %, asimetría de 2,40, bajista del -25,0 % y el precio descuenta 3,3 puntos menos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89, 90, 91, 92, 93, 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uno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4T24-2T26 (no citan el consenso); 2) transcripción del 2T26 (los analistas no dan su cifra previa); 3) búsqueda web descartada por cupo reservado a gobierno y activistas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URL de la web de inversores con el patrón del 2T26 (q1-2026-pep-transcript.pdf), redirige al índice; 2) descargar.mjs --lista de la página de resultados (web con JavaScript, sin enlaces); 3) se usan los comentarios preparados del 1T26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8 del 10-K 2025 (no la publica; agrupa 25.956 M en 2031-2060); 2) 10-Q 2T26 (sin dato); 3) cálculo propio imposible sin el reparto de los tramos posteriores a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2021-2022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(reexpresa solo 2023-2025); 2) 10-K 2024 (segmentación antigua: FLNA, QFNA, PBNA, LatAm, Europe, AMESA, APAC); 3) reconstrucción descartada porque los segmentos internacionales cambiaron de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(próximos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Monster y Celsius: dan crecimiento pasado, no previsiones; 2) Beverage Marketing Corporation: las previsiones de volumen y valor de 2025 solo están en informes de pago; 3) búsqueda web de previsiones de snacks salados (Circana/Euromonitor):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mundial de snacks salados y bebidas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PepsiCo y de Coca-Cola: no publican el tamaño mundial; 2) Euromonitor y Statista: de pago; 3) páginas de historia e inversores de PepsiCo (404) y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(CR5) del total de snacks salados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solo su cuota regional (~7 %) y la cola de 1.300 marcas; 2) Circana vía Snack &amp; Bakery: cuotas por fabricante solo en patatas fritas; 3) cálculo propio con los cinco primeros fabricantes de patatas fritas (Frito-Lay, Kellanova, Campbell's, Utz, Herr): 9.397 / 11.600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Pepsi frente a Dr Pepper en refrescos de EE. UU.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Keurig Dr Pepper y de PepsiCo: no dan cuotas por marca; 2) Beverage Digest 2025 vía AJC: página bloqueada en Europa por RGPD; 3) Beverage Digest 2024 vía FOX: solo el ranking (Pepsi 4.ª tras Coca-Cola, Dr Pepper y Sprite),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ranking de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gasto en snacks salados de los usuarios de GLP-1 (cifra por categoría)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Cornell Chronicle (404); 2) eMarketer, Baking Business, NJBIZ y Supermarket Perimeter: 403; 3) AgFunderNews: confirma el −5,5 % total y que la mayor caída es en snacks salados, sin la cifra por categoría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buscador decía −11 %, sin documento abierto)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y 10-K 2025: no citan calificaciones; 2) página de Sustainalytics: solo metodología, sin la puntuación de la empresa sin registro; 3) MSCI y CDP necesitan JavaScript o registro y el cupo de búsquedas estaba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económica total de Elliott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13F-HR de Elliott del 3T25 al 2T26 en EDGAR: solo 1.275.000 acciones, sin derivados; 2) presentaciones de PepsiCo en EDGAR: Elliott no ha presentado 13D ni 13G; 3) nota de prensa de Elliott (2-sep-2025): solo «4.000 M USD», sin número de acciones ni porcentaje; la prensa habla de ~2 %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la posición del 13F (0,09 %) y los 4.000 M USD anunciados; el ~2 % no se usa como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actual de BlackRock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cita la 13G de ene-2024 (8,2 %); 2) lista de presentaciones de PepsiCo en EDGAR: ninguna 13G de BlackRock posterior a ene-2024; 3) sin fuente secundaria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el 8,2 % de la última 13G, con su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solo dice que el consejo revisa la sucesión del CEO y de la dirección; 2) 8-K de 2024-2026: ningún anuncio; 3) búsqueda web: nada sobre un sucesor de Laguarta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comentario que no hay sucesor anunciado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última acción posterior a feb-2025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los umbrales A2/A de las cláusulas de garantías; 2) Alacra Store (S&amp;P): la última ficha localizada es del 5-feb-2025, A+ estable; 3) búsqueda web: sin acción posterior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A+ estable con la fecha de feb-2025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el capital de Krishnan, Willemsen y Kanioura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no son consejeros ni directivos con retribución publicada, así que no aparecen en la tabla de participaciones; 2) Form 4 del último año: solo operaciones, sin saldo total agregado; 3) 10-K: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en texto; 2) Zacks, estimaciones detalladas (7/30/60/90 días): bloqueo antibot; 3) Internet Archive para una captura antigua de Stock Analysis: WebFetch no puede abrir web.archive.org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el cambio de recomendaciones y de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y Hershey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dirección de la ficha (dos búsquedas no la devolvieron); 2) página del sector Food &amp; Beverages de MarketScreener: no lista los enlaces; 3) Stock Analysis da sus múltiplos de los últimos 12 meses pero no el EBITDA estimado, y mezclar proveedores rompe la comparación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seis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desde FRED (DGS10)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descargar-sec.mjs con la serie completa: timeout; 2) descargar-sec.mjs con rango corto: timeout; 3) descargar.mjs: timeout. Resuelto con la curva diaria del Tesoro de EE. UU., que es la fuente de DGS10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con la fuente original (Tesoro): 5,28 %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Siete, poppi y WK Kellogg; Hershey-LesserEvil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de PepsiCo: solo el precio; 2) nota de prensa de WK Kellogg en EDGAR: solo valor empresa y prima; 3) búsqueda de texto completo de EDGAR para LesserEvil: solo menciones en los resultados de Hershey, sin precio ni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poppi y WK Kellogg con múltiplo null; LesserEvil omitida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2025 (cerrado el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https://www.sec.gov/Archives/edgar/data/77476/000007747626000007/pep-20251227.htm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https://www.sec.gov/Archives/edgar/data/77476/000007747625000007/pep-20241228.htm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https://www.sec.gov/Archives/edgar/data/77476/000007747624000008/pep-20231230.htm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https://www.sec.gov/Archives/edgar/data/77476/000007747622000010/pep-20211225.htm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https://www.sec.gov/Archives/edgar/data/77476/000007747620000015/pepsico201910-k.htm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https://www.sec.gov/Archives/edgar/data/77476/000007747618000012/pepsico201710-k.htm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2T26 (24 semanas cerradas el 13-jun-2026)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https://www.sec.gov/Archives/edgar/data/77476/000007747626000035/pep-20260613.htm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1T26 (12 semanas cerradas el 21-mar-2026)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https://www.sec.gov/Archives/edgar/data/77476/000007747626000017/pep-20260321.htm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3T25 (36 semanas cerradas el 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https://www.sec.gov/Archives/edgar/data/77476/000007747625000053/pep-20250906.htm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2T25 (24 semanas cerradas el 14-jun-2025)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https://www.sec.gov/Archives/edgar/data/77476/000007747625000044/pep-20250614.htm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1T25 (12 semanas cerradas el 22-mar-2025)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https://www.sec.gov/Archives/edgar/data/77476/000007747625000019/pep-20250322.htm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3T24 (36 semanas cerradas el 7-sep-2024)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https://www.sec.gov/Archives/edgar/data/77476/000007747624000052/pep-20240907.htm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https://www.sec.gov/Archives/edgar/data/77476/000007747626000009/q420258-kxexhibit991.htm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del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https://www.sec.gov/Archives/edgar/data/77476/000007747625000008/q420248-kxexhibit991.htm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https://www.sec.gov/Archives/edgar/data/77476/000007747626000019/q120268-kxexhibit991.htm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https://www.sec.gov/Archives/edgar/data/77476/000007747626000037/q220268-kxexhibit991.htm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https://investors.pepsico.com/docs/pepsico-5v9wci20/media/Files/investors/q1-2026-prepared-management-remarks.pdf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(publicada por 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https://investors.pepsico.com/docs/pepsico-5v9wci20/media/Files/investors/q2-2026-pep-transcript.pdf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PepsiCo (CIK 0000077476): series anuales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Announces Priorities to Enhance Shareholder Value and Provides Preliminary 2026 Financial Outlook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https://www.sec.gov/Archives/edgar/data/77476/000007747625000059/exhibit991-pepsicopressrel.htm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Coca-Cola Company,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https://data.sec.gov/api/xbrl/companyfacts/CIK0000021344.json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https://data.sec.gov/api/xbrl/companyfacts/CIK0001418135.json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https://data.sec.gov/api/xbrl/companyfacts/CIK0000865752.json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https://data.sec.gov/api/xbrl/companyfacts/CIK0001341766.json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International,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https://data.sec.gov/api/xbrl/companyfacts/CIK0001103982.json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Inc., cifras anuales del 10-K del ejercicio a mayo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https://data.sec.gov/api/xbrl/companyfacts/CIK0000040704.json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cifras anuales del 10-K del ejercicio a agosto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https://data.sec.gov/api/xbrl/companyfacts/CIK0001739566.json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https://www.sec.gov/Archives/edgar/data/1739566/000162828026007757/utz-20251228.htm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https://www.sec.gov/Archives/edgar/data/1341766/000134176626000024/celh-20251231.htm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https://www.sec.gov/Archives/edgar/data/1418135/000141813526000016/kdp-20251231.htm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https://www.sec.gov/Archives/edgar/data/865752/000110465926020831/mnst-20251231x10k.htm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Form 10-K ejercicio a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https://www.sec.gov/Archives/edgar/data/16732/000001673226000026/cpb-20260802.htm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2002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https://www.sec.gov/Archives/edgar/data/77476/000007747602000024/k01b.htm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https://www.sec.gov/Archives/edgar/data/77476/000119312511040427/d10k.htm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https://www.sec.gov/Archives/edgar/data/77476/000007747619000017/pepsico201810-k.htm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https://www.sec.gov/Archives/edgar/data/77476/000007747621000007/pep-20201226.htm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https://www.sec.gov/Archives/edgar/data/77476/000007747623000007/pep-20221231.htm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https://www.sec.gov/Archives/edgar/data/1739566/000173956625000053/utz-20241229.htm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https://www.sec.gov/Archives/edgar/data/1739566/000173956624000054/utz-20231231.htm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https://www.sec.gov/Archives/edgar/data/1739566/000173956623000034/utz-20230101.htm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https://www.sec.gov/Archives/edgar/data/1739566/000173956622000086/utz-20220102.htm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Liquid Refreshment Beverage Market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Beverage Marketing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https://www.beveragemarketing.com/news-detail.asp?id=824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are GLP-1 drugs impacting spending on food and dietary supplements? (estudio de Cornell con datos de Numerator)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AgFunderNews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https://agfundernews.com/how-are-glp-1-drugs-impacting-spending-on-food-and-dietary-supplements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the Industry 2025: Chips are down, and up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https://www.snackandbakery.com/articles/114108-state-of-the-industry-2025-chips-are-down-and-up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private label industry reaches $282.8B in 2025 sales (PLMA,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https://www.snackandbakery.com/articles/115057-us-private-label-industry-reaches-2828b-in-2025-sales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 knocked out of America's top selling soft drinks (datos de Beverage Digest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11 Los Angeles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https://www.foxla.com/news/coca-cola-pepsi-best-selling-soda-pop-soft-drink-beverage-digest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USDA Approves More SNAP Waivers Limiting Soda and Candy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Civil 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https://civileats.com/2026/03/04/usda-approves-more-snap-waivers-limiting-soda-and-candy/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HHS, FDA to Phase Out Petroleum-Based Synthetic Dyes in Nation's Food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https://www.fda.gov/news-events/press-announcements/hhs-fda-phase-out-petroleum-based-synthetic-dyes-nations-food-supply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https://www.sec.gov/Archives/edgar/data/77476/000130817926000169/pep015012_def14a.htm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https://www.sec.gov/Archives/edgar/data/77476/000007747626000024/pep-20260506.htm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https://www.sec.gov/Archives/edgar/data/77476/000007747625000025/pep-20250507.htm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https://www.sec.gov/Archives/edgar/data/77476/000007747624000026/pep-20240501.htm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y 5.02: nombramiento de Steve Schmitt como CFO y salida de Darren Walker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https://www.sec.gov/Archives/edgar/data/77476/000007747625000055/pep-20251003.htm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Steven Williams deja el puesto de CEO de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https://www.sec.gov/Archives/edgar/data/77476/000007747625000062/pep-20251215.htm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Joaquin Duato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https://www.sec.gov/Archives/edgar/data/77476/000007747626000042/pep-20260917.htm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PepsiCo, 8-oct-2025 a 8-oct-2026 (agregado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https://www.sec.gov/cgi-bin/browse-edgar?action=getcompany&amp;CIK=0000077476&amp;type=4&amp;owner=include&amp;count=100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https://www.sec.gov/Archives/edgar/data/77476/000210011926000055/primary_doc.xml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13 de The Vanguard Group sobre PepsiCo (reorganización interna)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https://www.sec.gov/Archives/edgar/data/77476/000010290926002037/primary_doc.xml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12 de The Vanguard Group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https://www.sec.gov/Archives/edgar/data/77476/000093247125000680/primary_doc.xml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https://www.sec.gov/Archives/edgar/data/77476/000007747624000010/q420238-kxexhibit991.htm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https://www.sec.gov/Archives/edgar/data/77476/000007747623000009/q420228-kxexhibit991.htm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https://www.sec.gov/Archives/edgar/data/77476/000007747622000011/q420218-kxexhibit991.htm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https://www.sec.gov/Archives/edgar/data/77476/000007747621000009/q420208-kxexhibit991.htm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con la guía de 2024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https://www.sec.gov/Archives/edgar/data/77476/000007747624000054/q320248-kxexhibit991.htm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con la guía de 2025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https://www.sec.gov/Archives/edgar/data/77476/000007747625000022/q120258-kxexhibit991.htm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Sends Presentation to Board of Directors of PepsiCo Inc. (nota de prensa con la carta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https://elliottletters.com/wp-content/uploads/Press-Release_Elliott-Sends-Presentation-to-Board-of-Directors-of-PepsiCo-Inc.pdf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sesión de preguntas del 9-dic-2025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(FactSet CallStreet)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https://www.pepsico.com/docs/pepsico-5v9wci20/media/Files/investors/PepsiCo-Inc-December-9-2025-730-AM-ET-Transcript.pdf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2T26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https://www.sec.gov/Archives/edgar/data/1791786/000101359426000915/form13fInfoTable.xml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3T25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https://www.sec.gov/Archives/edgar/data/1791786/000101359425001440/informationtable.xml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assigns A1 to PepsiCo's new Euro unsecured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Market Forces (cita la nota de Moody's)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https://dmarketforces.com/moodys-assigns-a1-to-pepsicos-new-euro-unsecured-notes/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Inc.'s Senior Unsecured Notes Rated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(ficha en Alacra Store)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https://www.alacrastore.com/s-and-p-credit-research/PepsiCo-Inc-s-Senior-Unsecured-Notes-Rated-A-3318769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dismisses lawsuit against PepsiCo that was filed by Biden-era FTC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Press (ClickOnDetroit)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https://www.clickondetroit.com/business/2025/05/22/ftc-dismisses-lawsuit-against-pepsico-that-was-filed-by-biden-era-ftc/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Christine Tammara como interventora general (Controller)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https://www.sec.gov/Archives/edgar/data/77476/000007747624000058/pep-20241211.htm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PEP, SPY, XLP y URTH (cierres ajustados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Yr al 7 de octubre de 2026: 5,28 %)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(KO)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(MDLZ)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https://stockanalysis.com/stocks/mdlz/statistics/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(KDP)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(MNST)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https://stockanalysis.com/stocks/mnst/statistics/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(KHC)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(GIS)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https://www.marketscreener.com/quote/stock/THE-COCA-COLA-COMPANY-4819/finances/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https://www.marketscreener.com/quote/stock/MONDELEZ-INTERNATIONAL-IN-11499018/finances/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https://www.marketscreener.com/quote/stock/KEURIG-DR-PEPPER-INC-44644712/finances/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https://www.marketscreener.com/quote/stock/MONSTER-BEVERAGE-CORPORAT-22497283/finances/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https://www.marketscreener.com/quote/stock/KRAFT-HEINZ-22816979/finances/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https://www.marketscreener.com/quote/stock/GENERAL-MILLS-INC-12763/finances/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(nota de prensa conjunta, Exhibit 99.4 del 8-K de Kellanova)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https://www.sec.gov/Archives/edgar/data/55067/000119312524200233/d884455dex994.htm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to Acquire Hostess Brands, Inc.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https://www.sec.gov/Archives/edgar/data/91419/000119312523232051/d450269dex991.htm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to acquire Sovos Brands: presentación a inversores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https://www.sec.gov/Archives/edgar/data/16732/000095010323011620/dp198090_ex9901.htm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to acquire JDE Peet's: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https://www.sec.gov/Archives/edgar/data/1418135/000095014225002257/eh250670939_ex9902.htm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 to acquire WK Kellogg Co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https://www.sec.gov/Archives/edgar/data/1959348/000119312525157425/d72421dex991.htm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bebidas no alcohólicas y alimentación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84,7 %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PEP), cuentas y cotización en USD, US GAAP. El ejercicio es de 52 o 53 semanas y cierra el último sábado de diciembre (2025, el 27-dic); 2022 tuvo 53 semanas. Los trimestres son de 12 semanas y el cuarto de 16, así que el 4T no es comparable en margen con los demás [1]. El precio es el cierre del 7-oct-2026, porque la sesión del 8 no había cerrado a la fecha de corte [76]. Los resultados del 3T26 se publican el mismo 8-oct antes de la apertura de Nueva York [81] y este informe se cierra sin ellos: el último periodo publicado es el 2T26 (24 semanas al 13-jun-2026) [7]. El EBITDA del informe es el recurrente: beneficio operativo más amortizaciones, con los cargos de reestructuración, deterioros, valoración a mercado de coberturas y costes de compras devueltos con la conciliación de la propia empresa [1, 7]. Los pasivos por arrendamiento operativo (3.846 M) no van a la deuda, al puente ni al capital invertido, porque su gasto ya está dentro del EBITDA [1]. La segmentación vigente (seis segmentos) solo está publicada para 2023-2025 [1]. El consenso de estimaciones sale de un solo proveedor gratuito; las revisiones a 3 y 12 meses no están disponibles en cifras [79, 81]. Sin servicios de pago: faltan las calificaciones ESG, la cuota de mercado mundial y el consenso previo de cada trimestre.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PepsiCo, Inc. (PEP)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123,73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Hoja1!$B$2:$B$10</c:f>
              <c:numCache>
                <c:formatCode>#,##0</c:formatCode>
                <c:ptCount val="9"/>
                <c:pt idx="0">
                  <c:v>123.47</c:v>
                </c:pt>
                <c:pt idx="1">
                  <c:v>124</c:v>
                </c:pt>
                <c:pt idx="2">
                  <c:v>111.98</c:v>
                </c:pt>
                <c:pt idx="3">
                  <c:v>96.74</c:v>
                </c:pt>
                <c:pt idx="4">
                  <c:v>184.82</c:v>
                </c:pt>
                <c:pt idx="5">
                  <c:v>132.57</c:v>
                </c:pt>
                <c:pt idx="6">
                  <c:v>92.76</c:v>
                </c:pt>
                <c:pt idx="7">
                  <c:v>157.38</c:v>
                </c:pt>
                <c:pt idx="8">
                  <c:v>123.11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Hoja1!$C$2:$C$10</c:f>
              <c:numCache>
                <c:formatCode>#,##0</c:formatCode>
                <c:ptCount val="9"/>
                <c:pt idx="0">
                  <c:v>48.00999999999999</c:v>
                </c:pt>
                <c:pt idx="1">
                  <c:v>56</c:v>
                </c:pt>
                <c:pt idx="2">
                  <c:v>145.60999999999996</c:v>
                </c:pt>
                <c:pt idx="3">
                  <c:v>103.32000000000001</c:v>
                </c:pt>
                <c:pt idx="4">
                  <c:v>32.170000000000016</c:v>
                </c:pt>
                <c:pt idx="5">
                  <c:v>74.07</c:v>
                </c:pt>
                <c:pt idx="6">
                  <c:v>105.17999999999999</c:v>
                </c:pt>
                <c:pt idx="7">
                  <c:v>50.400000000000006</c:v>
                </c:pt>
                <c:pt idx="8">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PFNA (alimentación 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28015</c:v>
                </c:pt>
                <c:pt idx="1">
                  <c:v>27431</c:v>
                </c:pt>
                <c:pt idx="2">
                  <c:v>27528</c:v>
                </c:pt>
              </c:numCache>
            </c:numRef>
          </c:val>
        </c:ser>
        <c:ser>
          <c:idx val="1"/>
          <c:order val="1"/>
          <c:tx>
            <c:strRef>
              <c:f>Hoja1!$C$1</c:f>
              <c:strCache>
                <c:ptCount val="1"/>
                <c:pt idx="0">
                  <c:v>PBNA (bebidas 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27626</c:v>
                </c:pt>
                <c:pt idx="1">
                  <c:v>27769</c:v>
                </c:pt>
                <c:pt idx="2">
                  <c:v>28197</c:v>
                </c:pt>
              </c:numCache>
            </c:numRef>
          </c:val>
        </c:ser>
        <c:ser>
          <c:idx val="2"/>
          <c:order val="2"/>
          <c:tx>
            <c:strRef>
              <c:f>Hoja1!$D$1</c:f>
              <c:strCache>
                <c:ptCount val="1"/>
                <c:pt idx="0">
                  <c:v>IB Franchise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4559</c:v>
                </c:pt>
                <c:pt idx="1">
                  <c:v>4879</c:v>
                </c:pt>
                <c:pt idx="2">
                  <c:v>4997</c:v>
                </c:pt>
              </c:numCache>
            </c:numRef>
          </c:val>
        </c:ser>
        <c:ser>
          <c:idx val="3"/>
          <c:order val="3"/>
          <c:tx>
            <c:strRef>
              <c:f>Hoja1!$E$1</c:f>
              <c:strCache>
                <c:ptCount val="1"/>
                <c:pt idx="0">
                  <c:v>EMEA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16210</c:v>
                </c:pt>
                <c:pt idx="1">
                  <c:v>16658</c:v>
                </c:pt>
                <c:pt idx="2">
                  <c:v>18025</c:v>
                </c:pt>
              </c:numCache>
            </c:numRef>
          </c:val>
        </c:ser>
        <c:ser>
          <c:idx val="4"/>
          <c:order val="4"/>
          <c:tx>
            <c:strRef>
              <c:f>Hoja1!$F$1</c:f>
              <c:strCache>
                <c:ptCount val="1"/>
                <c:pt idx="0">
                  <c:v>LatAm Foods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10576</c:v>
                </c:pt>
                <c:pt idx="1">
                  <c:v>10568</c:v>
                </c:pt>
                <c:pt idx="2">
                  <c:v>10549</c:v>
                </c:pt>
              </c:numCache>
            </c:numRef>
          </c:val>
        </c:ser>
        <c:ser>
          <c:idx val="5"/>
          <c:order val="5"/>
          <c:tx>
            <c:strRef>
              <c:f>Hoja1!$G$1</c:f>
              <c:strCache>
                <c:ptCount val="1"/>
                <c:pt idx="0">
                  <c:v>Asia Pacific Foods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4485</c:v>
                </c:pt>
                <c:pt idx="1">
                  <c:v>4549</c:v>
                </c:pt>
                <c:pt idx="2">
                  <c:v>4629</c:v>
                </c:pt>
              </c:numCache>
            </c:numRef>
          </c:val>
        </c:ser>
        <c:ser>
          <c:idx val="6"/>
          <c:order val="6"/>
          <c:tx>
            <c:strRef>
              <c:f>Hoja1!$H$1</c:f>
              <c:strCache>
                <c:ptCount val="1"/>
                <c:pt idx="0">
                  <c:v>Gastos corporativos no asignados</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PFNA (alimentación Norteamérica)</c:v>
                </c:pt>
                <c:pt idx="1">
                  <c:v>PBNA (bebidas Norteamérica)</c:v>
                </c:pt>
                <c:pt idx="2">
                  <c:v>IB Franchise</c:v>
                </c:pt>
                <c:pt idx="3">
                  <c:v>EMEA</c:v>
                </c:pt>
                <c:pt idx="4">
                  <c:v>LatAm Foods</c:v>
                </c:pt>
                <c:pt idx="5">
                  <c:v>Asia Pacific Foods</c:v>
                </c:pt>
                <c:pt idx="6">
                  <c:v>Gastos corporativos no asignados</c:v>
                </c:pt>
              </c:strCache>
            </c:strRef>
          </c:cat>
          <c:val>
            <c:numRef>
              <c:f>Hoja1!$B$2:$B$8</c:f>
              <c:numCache>
                <c:formatCode>General</c:formatCode>
                <c:ptCount val="7"/>
                <c:pt idx="0">
                  <c:v>29.3</c:v>
                </c:pt>
                <c:pt idx="1">
                  <c:v>30</c:v>
                </c:pt>
                <c:pt idx="2">
                  <c:v>5.3</c:v>
                </c:pt>
                <c:pt idx="3">
                  <c:v>19.2</c:v>
                </c:pt>
                <c:pt idx="4">
                  <c:v>11.2</c:v>
                </c:pt>
                <c:pt idx="5">
                  <c:v>4.9</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México</c:v>
                </c:pt>
                <c:pt idx="2">
                  <c:v>Rusia</c:v>
                </c:pt>
                <c:pt idx="3">
                  <c:v>Canadá</c:v>
                </c:pt>
                <c:pt idx="4">
                  <c:v>China</c:v>
                </c:pt>
                <c:pt idx="5">
                  <c:v>Reino Unido</c:v>
                </c:pt>
                <c:pt idx="6">
                  <c:v>Otros (incl. Brasil 1,9 % y Sudáfrica 1,9 %)</c:v>
                </c:pt>
              </c:strCache>
            </c:strRef>
          </c:cat>
          <c:val>
            <c:numRef>
              <c:f>Hoja1!$B$2:$B$8</c:f>
              <c:numCache>
                <c:formatCode>0"%"</c:formatCode>
                <c:ptCount val="7"/>
                <c:pt idx="0">
                  <c:v>55.61</c:v>
                </c:pt>
                <c:pt idx="1">
                  <c:v>7.4</c:v>
                </c:pt>
                <c:pt idx="2">
                  <c:v>5.08</c:v>
                </c:pt>
                <c:pt idx="3">
                  <c:v>3.97</c:v>
                </c:pt>
                <c:pt idx="4">
                  <c:v>2.79</c:v>
                </c:pt>
                <c:pt idx="5">
                  <c:v>2.28</c:v>
                </c:pt>
                <c:pt idx="6">
                  <c:v>22.87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minoristas de snacks salados en EE. UU. (Circana, vía Utz))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30000</c:v>
                </c:pt>
                <c:pt idx="1">
                  <c:v>35000</c:v>
                </c:pt>
                <c:pt idx="2">
                  <c:v>38000</c:v>
                </c:pt>
                <c:pt idx="3">
                  <c:v>39000</c:v>
                </c:pt>
                <c:pt idx="4">
                  <c:v>42000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PepsiCo</c:v>
                </c:pt>
                <c:pt idx="1">
                  <c:v>The Coca-Cola Company</c:v>
                </c:pt>
                <c:pt idx="2">
                  <c:v>Keurig Dr Pepper</c:v>
                </c:pt>
                <c:pt idx="3">
                  <c:v>Monster Beverage</c:v>
                </c:pt>
                <c:pt idx="4">
                  <c:v>Celsius Holdings</c:v>
                </c:pt>
                <c:pt idx="5">
                  <c:v>Mondelez International</c:v>
                </c:pt>
                <c:pt idx="6">
                  <c:v>Campbell's (Snyder's-Lance)</c:v>
                </c:pt>
                <c:pt idx="7">
                  <c:v>General Mills</c:v>
                </c:pt>
                <c:pt idx="8">
                  <c:v>Utz Brands</c:v>
                </c:pt>
              </c:strCache>
            </c:strRef>
          </c:cat>
          <c:val>
            <c:numRef>
              <c:f>Hoja1!$B$2:$B$10</c:f>
              <c:numCache>
                <c:formatCode>0.0"%"</c:formatCode>
                <c:ptCount val="9"/>
                <c:pt idx="0">
                  <c:v>15.9</c:v>
                </c:pt>
                <c:pt idx="1">
                  <c:v>28.7</c:v>
                </c:pt>
                <c:pt idx="2">
                  <c:v>21.5</c:v>
                </c:pt>
                <c:pt idx="3">
                  <c:v>29.2</c:v>
                </c:pt>
                <c:pt idx="4">
                  <c:v>5.6</c:v>
                </c:pt>
                <c:pt idx="5">
                  <c:v>9.2</c:v>
                </c:pt>
                <c:pt idx="6">
                  <c:v>8.7</c:v>
                </c:pt>
                <c:pt idx="7">
                  <c:v>4.8</c:v>
                </c:pt>
                <c:pt idx="8">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62799</c:v>
                </c:pt>
                <c:pt idx="1">
                  <c:v>63525</c:v>
                </c:pt>
                <c:pt idx="2">
                  <c:v>64661</c:v>
                </c:pt>
                <c:pt idx="3">
                  <c:v>67161</c:v>
                </c:pt>
                <c:pt idx="4">
                  <c:v>70372</c:v>
                </c:pt>
                <c:pt idx="5">
                  <c:v>79474</c:v>
                </c:pt>
                <c:pt idx="6">
                  <c:v>86392</c:v>
                </c:pt>
                <c:pt idx="7">
                  <c:v>91471</c:v>
                </c:pt>
                <c:pt idx="8">
                  <c:v>91854</c:v>
                </c:pt>
                <c:pt idx="9">
                  <c:v>93925</c:v>
                </c:pt>
                <c:pt idx="10">
                  <c:v>98903</c:v>
                </c:pt>
                <c:pt idx="11">
                  <c:v>101870</c:v>
                </c:pt>
                <c:pt idx="12">
                  <c:v>105436</c:v>
                </c:pt>
                <c:pt idx="13">
                  <c:v>109126</c:v>
                </c:pt>
                <c:pt idx="14">
                  <c:v>112672</c:v>
                </c:pt>
                <c:pt idx="15">
                  <c:v>116334</c:v>
                </c:pt>
                <c:pt idx="16">
                  <c:v>119824</c:v>
                </c:pt>
                <c:pt idx="17">
                  <c:v>123419</c:v>
                </c:pt>
                <c:pt idx="18">
                  <c:v>127122</c:v>
                </c:pt>
                <c:pt idx="19">
                  <c:v>130935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12780</c:v>
                </c:pt>
                <c:pt idx="1">
                  <c:v>12859</c:v>
                </c:pt>
                <c:pt idx="2">
                  <c:v>13019</c:v>
                </c:pt>
                <c:pt idx="3">
                  <c:v>13034</c:v>
                </c:pt>
                <c:pt idx="4">
                  <c:v>13079</c:v>
                </c:pt>
                <c:pt idx="5">
                  <c:v>14124</c:v>
                </c:pt>
                <c:pt idx="6">
                  <c:v>15088</c:v>
                </c:pt>
                <c:pt idx="7">
                  <c:v>16823</c:v>
                </c:pt>
                <c:pt idx="8">
                  <c:v>17858</c:v>
                </c:pt>
                <c:pt idx="9">
                  <c:v>18363</c:v>
                </c:pt>
                <c:pt idx="10">
                  <c:v>19385</c:v>
                </c:pt>
                <c:pt idx="11">
                  <c:v>19763</c:v>
                </c:pt>
                <c:pt idx="12">
                  <c:v>20665</c:v>
                </c:pt>
                <c:pt idx="13">
                  <c:v>21607</c:v>
                </c:pt>
                <c:pt idx="14">
                  <c:v>22309</c:v>
                </c:pt>
                <c:pt idx="15">
                  <c:v>23034</c:v>
                </c:pt>
                <c:pt idx="16">
                  <c:v>23725</c:v>
                </c:pt>
                <c:pt idx="17">
                  <c:v>24437</c:v>
                </c:pt>
                <c:pt idx="18">
                  <c:v>25170</c:v>
                </c:pt>
                <c:pt idx="19">
                  <c:v>25925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55.1</c:v>
                </c:pt>
                <c:pt idx="1">
                  <c:v>54.7</c:v>
                </c:pt>
                <c:pt idx="2">
                  <c:v>54.6</c:v>
                </c:pt>
                <c:pt idx="3">
                  <c:v>55.1</c:v>
                </c:pt>
                <c:pt idx="4">
                  <c:v>54.8</c:v>
                </c:pt>
                <c:pt idx="5">
                  <c:v>53.3</c:v>
                </c:pt>
                <c:pt idx="6">
                  <c:v>53</c:v>
                </c:pt>
                <c:pt idx="7">
                  <c:v>54.2</c:v>
                </c:pt>
                <c:pt idx="8">
                  <c:v>54.6</c:v>
                </c:pt>
                <c:pt idx="9">
                  <c:v>54.1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20.4</c:v>
                </c:pt>
                <c:pt idx="1">
                  <c:v>20.2</c:v>
                </c:pt>
                <c:pt idx="2">
                  <c:v>20.1</c:v>
                </c:pt>
                <c:pt idx="3">
                  <c:v>19.4</c:v>
                </c:pt>
                <c:pt idx="4">
                  <c:v>18.6</c:v>
                </c:pt>
                <c:pt idx="5">
                  <c:v>17.8</c:v>
                </c:pt>
                <c:pt idx="6">
                  <c:v>17.5</c:v>
                </c:pt>
                <c:pt idx="7">
                  <c:v>18.4</c:v>
                </c:pt>
                <c:pt idx="8">
                  <c:v>19.4</c:v>
                </c:pt>
                <c:pt idx="9">
                  <c:v>19.6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16.6</c:v>
                </c:pt>
                <c:pt idx="1">
                  <c:v>16.5</c:v>
                </c:pt>
                <c:pt idx="2">
                  <c:v>16.4</c:v>
                </c:pt>
                <c:pt idx="3">
                  <c:v>15.8</c:v>
                </c:pt>
                <c:pt idx="4">
                  <c:v>15</c:v>
                </c:pt>
                <c:pt idx="5">
                  <c:v>14.4</c:v>
                </c:pt>
                <c:pt idx="6">
                  <c:v>14.3</c:v>
                </c:pt>
                <c:pt idx="7">
                  <c:v>15.2</c:v>
                </c:pt>
                <c:pt idx="8">
                  <c:v>16</c:v>
                </c:pt>
                <c:pt idx="9">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10.1</c:v>
                </c:pt>
                <c:pt idx="1">
                  <c:v>7.6</c:v>
                </c:pt>
                <c:pt idx="2">
                  <c:v>19.4</c:v>
                </c:pt>
                <c:pt idx="3">
                  <c:v>10.9</c:v>
                </c:pt>
                <c:pt idx="4">
                  <c:v>10.1</c:v>
                </c:pt>
                <c:pt idx="5">
                  <c:v>9.6</c:v>
                </c:pt>
                <c:pt idx="6">
                  <c:v>10.3</c:v>
                </c:pt>
                <c:pt idx="7">
                  <c:v>9.9</c:v>
                </c:pt>
                <c:pt idx="8">
                  <c:v>10.4</c:v>
                </c:pt>
                <c:pt idx="9">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-0.6</c:v>
                </c:pt>
                <c:pt idx="1">
                  <c:v>-0.2</c:v>
                </c:pt>
                <c:pt idx="2">
                  <c:v>-1.8</c:v>
                </c:pt>
                <c:pt idx="3">
                  <c:v>1</c:v>
                </c:pt>
                <c:pt idx="4">
                  <c:v>2.7</c:v>
                </c:pt>
                <c:pt idx="5">
                  <c:v>5.6</c:v>
                </c:pt>
                <c:pt idx="6">
                  <c:v>8.5</c:v>
                </c:pt>
                <c:pt idx="7">
                  <c:v>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c:v>
                </c:pt>
                <c:pt idx="1">
                  <c:v>2.1</c:v>
                </c:pt>
                <c:pt idx="2">
                  <c:v>1</c:v>
                </c:pt>
                <c:pt idx="3">
                  <c:v>2</c:v>
                </c:pt>
                <c:pt idx="4">
                  <c:v>1</c:v>
                </c:pt>
                <c:pt idx="5">
                  <c:v>2.1</c:v>
                </c:pt>
                <c:pt idx="6">
                  <c:v>2.6</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c:v>
                </c:pt>
                <c:pt idx="1">
                  <c:v>40</c:v>
                </c:pt>
                <c:pt idx="2">
                  <c:v>40</c:v>
                </c:pt>
                <c:pt idx="3">
                  <c:v>43</c:v>
                </c:pt>
                <c:pt idx="4">
                  <c:v>44</c:v>
                </c:pt>
                <c:pt idx="5">
                  <c:v>40</c:v>
                </c:pt>
                <c:pt idx="6">
                  <c:v>43</c:v>
                </c:pt>
                <c:pt idx="7">
                  <c:v>43</c:v>
                </c:pt>
                <c:pt idx="8">
                  <c:v>41</c:v>
                </c:pt>
                <c:pt idx="9">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c:v>
                </c:pt>
                <c:pt idx="1">
                  <c:v>37</c:v>
                </c:pt>
                <c:pt idx="2">
                  <c:v>39</c:v>
                </c:pt>
                <c:pt idx="3">
                  <c:v>40</c:v>
                </c:pt>
                <c:pt idx="4">
                  <c:v>48</c:v>
                </c:pt>
                <c:pt idx="5">
                  <c:v>43</c:v>
                </c:pt>
                <c:pt idx="6">
                  <c:v>47</c:v>
                </c:pt>
                <c:pt idx="7">
                  <c:v>46</c:v>
                </c:pt>
                <c:pt idx="8">
                  <c:v>46</c:v>
                </c:pt>
                <c:pt idx="9">
                  <c:v>50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80</c:v>
                </c:pt>
                <c:pt idx="1">
                  <c:v>85</c:v>
                </c:pt>
                <c:pt idx="2">
                  <c:v>90</c:v>
                </c:pt>
                <c:pt idx="3">
                  <c:v>97</c:v>
                </c:pt>
                <c:pt idx="4">
                  <c:v>102</c:v>
                </c:pt>
                <c:pt idx="5">
                  <c:v>97</c:v>
                </c:pt>
                <c:pt idx="6">
                  <c:v>97</c:v>
                </c:pt>
                <c:pt idx="7">
                  <c:v>101</c:v>
                </c:pt>
                <c:pt idx="8">
                  <c:v>96</c:v>
                </c:pt>
                <c:pt idx="9">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7722</c:v>
                </c:pt>
                <c:pt idx="1">
                  <c:v>7241</c:v>
                </c:pt>
                <c:pt idx="2">
                  <c:v>6267</c:v>
                </c:pt>
                <c:pt idx="3">
                  <c:v>5587</c:v>
                </c:pt>
                <c:pt idx="4">
                  <c:v>6428</c:v>
                </c:pt>
                <c:pt idx="5">
                  <c:v>7157</c:v>
                </c:pt>
                <c:pt idx="6">
                  <c:v>5855</c:v>
                </c:pt>
                <c:pt idx="7">
                  <c:v>8122</c:v>
                </c:pt>
                <c:pt idx="8">
                  <c:v>7531</c:v>
                </c:pt>
                <c:pt idx="9">
                  <c:v>8200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6329</c:v>
                </c:pt>
                <c:pt idx="1">
                  <c:v>4857</c:v>
                </c:pt>
                <c:pt idx="2">
                  <c:v>12515</c:v>
                </c:pt>
                <c:pt idx="3">
                  <c:v>7314</c:v>
                </c:pt>
                <c:pt idx="4">
                  <c:v>7120</c:v>
                </c:pt>
                <c:pt idx="5">
                  <c:v>7618</c:v>
                </c:pt>
                <c:pt idx="6">
                  <c:v>8910</c:v>
                </c:pt>
                <c:pt idx="7">
                  <c:v>9074</c:v>
                </c:pt>
                <c:pt idx="8">
                  <c:v>9578</c:v>
                </c:pt>
                <c:pt idx="9">
                  <c:v>8240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24.1</c:v>
                </c:pt>
                <c:pt idx="1">
                  <c:v>20</c:v>
                </c:pt>
                <c:pt idx="2">
                  <c:v>30.9</c:v>
                </c:pt>
                <c:pt idx="3">
                  <c:v>21.2</c:v>
                </c:pt>
                <c:pt idx="4">
                  <c:v>18.6</c:v>
                </c:pt>
                <c:pt idx="5">
                  <c:v>18.1</c:v>
                </c:pt>
                <c:pt idx="6">
                  <c:v>20.4</c:v>
                </c:pt>
                <c:pt idx="7">
                  <c:v>21.5</c:v>
                </c:pt>
                <c:pt idx="8">
                  <c:v>22.4</c:v>
                </c:pt>
                <c:pt idx="9">
                  <c:v>21.3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7.6</c:v>
                </c:pt>
                <c:pt idx="1">
                  <c:v>7.6</c:v>
                </c:pt>
                <c:pt idx="2">
                  <c:v>7.6</c:v>
                </c:pt>
                <c:pt idx="3">
                  <c:v>7.6</c:v>
                </c:pt>
                <c:pt idx="4">
                  <c:v>7.6</c:v>
                </c:pt>
                <c:pt idx="5">
                  <c:v>7.6</c:v>
                </c:pt>
                <c:pt idx="6">
                  <c:v>7.6</c:v>
                </c:pt>
                <c:pt idx="7">
                  <c:v>7.6</c:v>
                </c:pt>
                <c:pt idx="8">
                  <c:v>7.6</c:v>
                </c:pt>
                <c:pt idx="9">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56.3</c:v>
                </c:pt>
                <c:pt idx="1">
                  <c:v>43.6</c:v>
                </c:pt>
                <c:pt idx="2">
                  <c:v>97.9</c:v>
                </c:pt>
                <c:pt idx="3">
                  <c:v>49.9</c:v>
                </c:pt>
                <c:pt idx="4">
                  <c:v>50.4</c:v>
                </c:pt>
                <c:pt idx="5">
                  <c:v>51.7</c:v>
                </c:pt>
                <c:pt idx="6">
                  <c:v>53.7</c:v>
                </c:pt>
                <c:pt idx="7">
                  <c:v>50.9</c:v>
                </c:pt>
                <c:pt idx="8">
                  <c:v>52.4</c:v>
                </c:pt>
                <c:pt idx="9">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1.54</c:v>
                </c:pt>
                <c:pt idx="2">
                  <c:v>1.79</c:v>
                </c:pt>
                <c:pt idx="3">
                  <c:v>2.02</c:v>
                </c:pt>
                <c:pt idx="4">
                  <c:v>2.65</c:v>
                </c:pt>
                <c:pt idx="5">
                  <c:v>2.43</c:v>
                </c:pt>
                <c:pt idx="6">
                  <c:v>2.24</c:v>
                </c:pt>
                <c:pt idx="7">
                  <c:v>2.03</c:v>
                </c:pt>
                <c:pt idx="8">
                  <c:v>1.96</c:v>
                </c:pt>
                <c:pt idx="9">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6861</c:v>
                </c:pt>
                <c:pt idx="1">
                  <c:v>3933</c:v>
                </c:pt>
                <c:pt idx="2">
                  <c:v>4203</c:v>
                </c:pt>
                <c:pt idx="3">
                  <c:v>4043</c:v>
                </c:pt>
                <c:pt idx="4">
                  <c:v>4171</c:v>
                </c:pt>
                <c:pt idx="5">
                  <c:v>25971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61</c:v>
                </c:pt>
                <c:pt idx="2">
                  <c:v>1496</c:v>
                </c:pt>
                <c:pt idx="3">
                  <c:v>2717</c:v>
                </c:pt>
                <c:pt idx="4">
                  <c:v>6372</c:v>
                </c:pt>
                <c:pt idx="5">
                  <c:v>61</c:v>
                </c:pt>
                <c:pt idx="6">
                  <c:v>873</c:v>
                </c:pt>
                <c:pt idx="7">
                  <c:v>314</c:v>
                </c:pt>
                <c:pt idx="8">
                  <c:v>256</c:v>
                </c:pt>
                <c:pt idx="9">
                  <c:v>3391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4227</c:v>
                </c:pt>
                <c:pt idx="1">
                  <c:v>4472</c:v>
                </c:pt>
                <c:pt idx="2">
                  <c:v>4930</c:v>
                </c:pt>
                <c:pt idx="3">
                  <c:v>5304</c:v>
                </c:pt>
                <c:pt idx="4">
                  <c:v>5509</c:v>
                </c:pt>
                <c:pt idx="5">
                  <c:v>5815</c:v>
                </c:pt>
                <c:pt idx="6">
                  <c:v>6172</c:v>
                </c:pt>
                <c:pt idx="7">
                  <c:v>6682</c:v>
                </c:pt>
                <c:pt idx="8">
                  <c:v>7229</c:v>
                </c:pt>
                <c:pt idx="9">
                  <c:v>7638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3000</c:v>
                </c:pt>
                <c:pt idx="1">
                  <c:v>2000</c:v>
                </c:pt>
                <c:pt idx="2">
                  <c:v>2000</c:v>
                </c:pt>
                <c:pt idx="3">
                  <c:v>3000</c:v>
                </c:pt>
                <c:pt idx="4">
                  <c:v>2000</c:v>
                </c:pt>
                <c:pt idx="5">
                  <c:v>106</c:v>
                </c:pt>
                <c:pt idx="6">
                  <c:v>1500</c:v>
                </c:pt>
                <c:pt idx="7">
                  <c:v>1000</c:v>
                </c:pt>
                <c:pt idx="8">
                  <c:v>1000</c:v>
                </c:pt>
                <c:pt idx="9">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 (hasta la reorganización de 2026)</c:v>
                </c:pt>
                <c:pt idx="1">
                  <c:v>Vanguard Capital Management (y filiales)</c:v>
                </c:pt>
                <c:pt idx="2">
                  <c:v>BlackRock, Inc.</c:v>
                </c:pt>
                <c:pt idx="3">
                  <c:v>Elliott Investment Management</c:v>
                </c:pt>
                <c:pt idx="4">
                  <c:v>Consejeros y directivos (21 personas)</c:v>
                </c:pt>
                <c:pt idx="5">
                  <c:v>Autocartera (acciones recompradas)</c:v>
                </c:pt>
              </c:strCache>
            </c:strRef>
          </c:cat>
          <c:val>
            <c:numRef>
              <c:f>Hoja1!$B$2:$B$7</c:f>
              <c:numCache>
                <c:formatCode>0.0"%"</c:formatCode>
                <c:ptCount val="6"/>
                <c:pt idx="0">
                  <c:v>10.04</c:v>
                </c:pt>
                <c:pt idx="1">
                  <c:v>7.51</c:v>
                </c:pt>
                <c:pt idx="2">
                  <c:v>8.2</c:v>
                </c:pt>
                <c:pt idx="3">
                  <c:v>0.09</c:v>
                </c:pt>
                <c:pt idx="4">
                  <c:v>0.12</c:v>
                </c:pt>
                <c:pt idx="5">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c:v>
                </c:pt>
                <c:pt idx="1">
                  <c:v>17.8</c:v>
                </c:pt>
                <c:pt idx="2">
                  <c:v>-4.8</c:v>
                </c:pt>
                <c:pt idx="3">
                  <c:v>27.4</c:v>
                </c:pt>
                <c:pt idx="4">
                  <c:v>11.7</c:v>
                </c:pt>
                <c:pt idx="5">
                  <c:v>20.6</c:v>
                </c:pt>
                <c:pt idx="6">
                  <c:v>6.8</c:v>
                </c:pt>
                <c:pt idx="7">
                  <c:v>-3.3</c:v>
                </c:pt>
                <c:pt idx="8">
                  <c:v>-7.6</c:v>
                </c:pt>
                <c:pt idx="9">
                  <c:v>-1.8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13.5</c:v>
                </c:pt>
                <c:pt idx="1">
                  <c:v>15</c:v>
                </c:pt>
                <c:pt idx="2">
                  <c:v>13.9</c:v>
                </c:pt>
                <c:pt idx="3">
                  <c:v>16.9</c:v>
                </c:pt>
                <c:pt idx="4">
                  <c:v>18.1</c:v>
                </c:pt>
                <c:pt idx="5">
                  <c:v>19.1</c:v>
                </c:pt>
                <c:pt idx="6">
                  <c:v>18.9</c:v>
                </c:pt>
                <c:pt idx="7">
                  <c:v>16</c:v>
                </c:pt>
                <c:pt idx="8">
                  <c:v>13.8</c:v>
                </c:pt>
                <c:pt idx="9">
                  <c:v>12.9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15.5</c:v>
                </c:pt>
                <c:pt idx="1">
                  <c:v>15.5</c:v>
                </c:pt>
                <c:pt idx="2">
                  <c:v>15.5</c:v>
                </c:pt>
                <c:pt idx="3">
                  <c:v>15.5</c:v>
                </c:pt>
                <c:pt idx="4">
                  <c:v>15.5</c:v>
                </c:pt>
                <c:pt idx="5">
                  <c:v>15.5</c:v>
                </c:pt>
                <c:pt idx="6">
                  <c:v>15.5</c:v>
                </c:pt>
                <c:pt idx="7">
                  <c:v>15.5</c:v>
                </c:pt>
                <c:pt idx="8">
                  <c:v>15.5</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PepsiCo</c:v>
                </c:pt>
                <c:pt idx="1">
                  <c:v>Coca-Cola</c:v>
                </c:pt>
                <c:pt idx="2">
                  <c:v>Mondelez</c:v>
                </c:pt>
                <c:pt idx="3">
                  <c:v>Keurig Dr Pepper</c:v>
                </c:pt>
                <c:pt idx="4">
                  <c:v>Monster Beverage</c:v>
                </c:pt>
                <c:pt idx="5">
                  <c:v>Kraft Heinz</c:v>
                </c:pt>
                <c:pt idx="6">
                  <c:v>General Mills</c:v>
                </c:pt>
              </c:strCache>
            </c:strRef>
          </c:cat>
          <c:val>
            <c:numRef>
              <c:f>Hoja1!$B$2:$B$8</c:f>
              <c:numCache>
                <c:formatCode>0.0"x"</c:formatCode>
                <c:ptCount val="7"/>
                <c:pt idx="0">
                  <c:v>10.6</c:v>
                </c:pt>
                <c:pt idx="1">
                  <c:v>21.9</c:v>
                </c:pt>
                <c:pt idx="2">
                  <c:v>13.5</c:v>
                </c:pt>
                <c:pt idx="3">
                  <c:v>10</c:v>
                </c:pt>
                <c:pt idx="4">
                  <c:v>24.6</c:v>
                </c:pt>
                <c:pt idx="5">
                  <c:v>8.6</c:v>
                </c:pt>
                <c:pt idx="6">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PepsiCo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10.6</c:v>
                </c:pt>
              </c:numCache>
            </c:numRef>
          </c:yVal>
          <c:smooth val="0"/>
        </c:ser>
        <c:ser>
          <c:idx val="1"/>
          <c:order val="1"/>
          <c:tx>
            <c:strRef>
              <c:f>Hoja1!$A$3</c:f>
              <c:strCache>
                <c:ptCount val="1"/>
                <c:pt idx="0">
                  <c:v>Coca-Cola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0.9</c:v>
                </c:pt>
              </c:numCache>
            </c:numRef>
          </c:xVal>
          <c:yVal>
            <c:numRef>
              <c:f>Hoja1!$C$3</c:f>
              <c:numCache>
                <c:formatCode>0.0"x"</c:formatCode>
                <c:ptCount val="1"/>
                <c:pt idx="0">
                  <c:v>21.9</c:v>
                </c:pt>
              </c:numCache>
            </c:numRef>
          </c:yVal>
          <c:smooth val="0"/>
        </c:ser>
        <c:ser>
          <c:idx val="2"/>
          <c:order val="2"/>
          <c:tx>
            <c:strRef>
              <c:f>Hoja1!$A$4</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13.5</c:v>
                </c:pt>
              </c:numCache>
            </c:numRef>
          </c:yVal>
          <c:smooth val="0"/>
        </c:ser>
        <c:ser>
          <c:idx val="3"/>
          <c:order val="3"/>
          <c:tx>
            <c:strRef>
              <c:f>Hoja1!$A$5</c:f>
              <c:strCache>
                <c:ptCount val="1"/>
                <c:pt idx="0">
                  <c:v>Keurig Dr Pepper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20.9</c:v>
                </c:pt>
              </c:numCache>
            </c:numRef>
          </c:xVal>
          <c:yVal>
            <c:numRef>
              <c:f>Hoja1!$C$5</c:f>
              <c:numCache>
                <c:formatCode>0.0"x"</c:formatCode>
                <c:ptCount val="1"/>
                <c:pt idx="0">
                  <c:v>10</c:v>
                </c:pt>
              </c:numCache>
            </c:numRef>
          </c:yVal>
          <c:smooth val="0"/>
        </c:ser>
        <c:ser>
          <c:idx val="4"/>
          <c:order val="4"/>
          <c:tx>
            <c:strRef>
              <c:f>Hoja1!$A$6</c:f>
              <c:strCache>
                <c:ptCount val="1"/>
                <c:pt idx="0">
                  <c:v>Monster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11.1</c:v>
                </c:pt>
              </c:numCache>
            </c:numRef>
          </c:xVal>
          <c:yVal>
            <c:numRef>
              <c:f>Hoja1!$C$6</c:f>
              <c:numCache>
                <c:formatCode>0.0"x"</c:formatCode>
                <c:ptCount val="1"/>
                <c:pt idx="0">
                  <c:v>24.6</c:v>
                </c:pt>
              </c:numCache>
            </c:numRef>
          </c:yVal>
          <c:smooth val="0"/>
        </c:ser>
        <c:ser>
          <c:idx val="5"/>
          <c:order val="5"/>
          <c:tx>
            <c:strRef>
              <c:f>Hoja1!$A$7</c:f>
              <c:strCache>
                <c:ptCount val="1"/>
                <c:pt idx="0">
                  <c:v>Kraft Heinz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8.6</c:v>
                </c:pt>
              </c:numCache>
            </c:numRef>
          </c:yVal>
          <c:smooth val="0"/>
        </c:ser>
        <c:ser>
          <c:idx val="6"/>
          <c:order val="6"/>
          <c:tx>
            <c:strRef>
              <c:f>Hoja1!$A$8</c:f>
              <c:strCache>
                <c:ptCount val="1"/>
                <c:pt idx="0">
                  <c:v>General Mills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9.7</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JDE Peet's</c:v>
                </c:pt>
                <c:pt idx="1">
                  <c:v>WK Kellogg Co</c:v>
                </c:pt>
                <c:pt idx="2">
                  <c:v>poppi</c:v>
                </c:pt>
                <c:pt idx="3">
                  <c:v>Siete (Garza Food Ventures)</c:v>
                </c:pt>
                <c:pt idx="4">
                  <c:v>Kellanova</c:v>
                </c:pt>
                <c:pt idx="5">
                  <c:v>Hostess Brands</c:v>
                </c:pt>
                <c:pt idx="6">
                  <c:v>Sovos Brands</c:v>
                </c:pt>
              </c:strCache>
            </c:strRef>
          </c:cat>
          <c:val>
            <c:numRef>
              <c:f>Hoja1!$B$2:$B$8</c:f>
              <c:numCache>
                <c:formatCode>0.0"x"</c:formatCode>
                <c:ptCount val="7"/>
                <c:pt idx="0">
                  <c:v>12.9</c:v>
                </c:pt>
                <c:pt idx="4">
                  <c:v>16.4</c:v>
                </c:pt>
                <c:pt idx="5">
                  <c:v>17.2</c:v>
                </c:pt>
                <c:pt idx="6">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11167</c:v>
                </c:pt>
                <c:pt idx="1">
                  <c:v>11256</c:v>
                </c:pt>
                <c:pt idx="2">
                  <c:v>11786</c:v>
                </c:pt>
                <c:pt idx="3">
                  <c:v>12370</c:v>
                </c:pt>
                <c:pt idx="4">
                  <c:v>12901</c:v>
                </c:pt>
                <c:pt idx="5">
                  <c:v>13320</c:v>
                </c:pt>
                <c:pt idx="6">
                  <c:v>13856</c:v>
                </c:pt>
                <c:pt idx="7">
                  <c:v>14272</c:v>
                </c:pt>
                <c:pt idx="8">
                  <c:v>14827</c:v>
                </c:pt>
                <c:pt idx="9">
                  <c:v>15272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87276</c:v>
                </c:pt>
                <c:pt idx="1">
                  <c:v>174855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123,73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92.76</c:v>
                </c:pt>
                <c:pt idx="1">
                  <c:v>161.63</c:v>
                </c:pt>
                <c:pt idx="2">
                  <c:v>197.94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123,73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Hoja1!$B$2:$B$10</c:f>
              <c:numCache>
                <c:formatCode>#,##0</c:formatCode>
                <c:ptCount val="9"/>
                <c:pt idx="0">
                  <c:v>123.47</c:v>
                </c:pt>
                <c:pt idx="1">
                  <c:v>124</c:v>
                </c:pt>
                <c:pt idx="2">
                  <c:v>111.98</c:v>
                </c:pt>
                <c:pt idx="3">
                  <c:v>96.74</c:v>
                </c:pt>
                <c:pt idx="4">
                  <c:v>184.82</c:v>
                </c:pt>
                <c:pt idx="5">
                  <c:v>132.57</c:v>
                </c:pt>
                <c:pt idx="6">
                  <c:v>92.76</c:v>
                </c:pt>
                <c:pt idx="7">
                  <c:v>157.38</c:v>
                </c:pt>
                <c:pt idx="8">
                  <c:v>123.11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Hoja1!$C$2:$C$10</c:f>
              <c:numCache>
                <c:formatCode>#,##0</c:formatCode>
                <c:ptCount val="9"/>
                <c:pt idx="0">
                  <c:v>48.00999999999999</c:v>
                </c:pt>
                <c:pt idx="1">
                  <c:v>56</c:v>
                </c:pt>
                <c:pt idx="2">
                  <c:v>145.60999999999996</c:v>
                </c:pt>
                <c:pt idx="3">
                  <c:v>103.32000000000001</c:v>
                </c:pt>
                <c:pt idx="4">
                  <c:v>32.170000000000016</c:v>
                </c:pt>
                <c:pt idx="5">
                  <c:v>74.07</c:v>
                </c:pt>
                <c:pt idx="6">
                  <c:v>105.17999999999999</c:v>
                </c:pt>
                <c:pt idx="7">
                  <c:v>50.400000000000006</c:v>
                </c:pt>
                <c:pt idx="8">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