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Pluxee N.V.</w:t>
      </w:r>
    </w:p>
    <w:p>
      <w:pPr>
        <w:spacing w:after="60"/>
        <w:rPr>
          <w:color w:val="52514E"/>
          <w:sz w:val="22"/>
          <w:szCs w:val="22"/>
        </w:rPr>
      </w:pPr>
      <w:r>
        <w:rPr>
          <w:color w:val="52514E"/>
          <w:sz w:val="22"/>
          <w:szCs w:val="22"/>
        </w:rPr>
        <w:t xml:space="preserve">PLX · Euronext París · ISIN NL0015001W49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14,49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15,31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+8,2 % (base +11,0 %)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22,02 EUR · mercado 26,49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1.998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Pluxee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PLX / NL0015001W49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STOXX Europe 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Servicios de transacciones y procesamiento de pagos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Issy-les-Moulineaux (Francia) · 2024 (escisión de Sodexo; actividad desde hace más de 45 años)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www.pluxeegroup.com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14,49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 17,93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(133.408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Objetivo a 12 meses </w:t>
      </w:r>
      <w:r>
        <w:rPr>
          <w:b/>
          <w:bCs/>
        </w:rPr>
        <w:t xml:space="preserve">15,31 EUR</w:t>
      </w:r>
      <w:r>
        <w:t xml:space="preserve"> frente a 14,49 · Rentabilidad a 12 meses </w:t>
      </w:r>
      <w:r>
        <w:rPr>
          <w:b/>
          <w:bCs/>
        </w:rPr>
        <w:t xml:space="preserve">+8,2 % (base +11,0 %)</w:t>
      </w:r>
      <w:r>
        <w:t xml:space="preserve"> · Valor intrínseco 22,02 EUR · con la prima implícita del mercado: 26,49 (+82,8 %) · Alcista / bajista +106,2 % / -24,0 %</w:t>
      </w:r>
    </w:p>
    <w:p>
      <w:pPr>
        <w:spacing w:after="100"/>
      </w:pPr>
      <w:r>
        <w:rPr>
          <w:b/>
        </w:rPr>
        <w:t xml:space="preserve">La recomendación y por qué.</w:t>
      </w:r>
      <w:r>
        <w:t xml:space="preserve"> Comprar, con convicción media. El valor objetivo es de 22,02 EUR frente a un cierre de 14,49 EUR (9-oct-2026), un 52,0 % de potencial y una rentabilidad total esperada a 12 meses del 54,6 % con el dividendo del 2,6 %. La asimetría es de 4,42 veces: el alcista vale 29,88 EUR (+106,2 %) y el bajista 11,01 EUR (−24,0 %). La razón: el precio descuenta una caída de los ingresos del 1,4 % anual durante siete años, que exige que la regulación hunda el negocio, no que lo frene. Los criterios darían convicción alta; la bajamos a media por un riesgo binario con fecha (el pleno de la Asamblea debate desde el 12-oct la ley del título restaurante, cuyo texto permite topar la comisión por decreto [14]) y porque el valor depende del trato del flotante. Subiría a alta si la ley sale sin ese tope y los resultados del 29-oct confirman la vuelta al crecimiento en el 2S FY2027; bajaría si se aprueba un tope en Francia.</w:t>
      </w:r>
    </w:p>
    <w:p>
      <w:pPr>
        <w:spacing w:after="100"/>
      </w:pPr>
      <w:r>
        <w:rPr>
          <w:b/>
        </w:rPr>
        <w:t xml:space="preserve">El negocio.</w:t>
      </w:r>
      <w:r>
        <w:t xml:space="preserve"> Pluxee emite vales y tarjetas de beneficios para empleados en 28 países: cobra a la empresa antes de pagar al comercio, cobra comisiones y el rendimiento del flotante. Con la visión operativa, el ROIC es del 20,2 %, más del doble del WACC del 8,94 %, y el margen EBITDA contable del 34,6 % (recurrente 36,6 %) [1]. ¿La calidad de la empresa sostiene el crecimiento proyectado? </w:t>
      </w:r>
      <w:r>
        <w:rPr>
          <w:b/>
        </w:rPr>
        <w:t xml:space="preserve">En parte</w:t>
      </w:r>
      <w:r>
        <w:t xml:space="preserve">: el volumen sí (+6,6 % orgánico en nueve meses [6]), pero el precio lo fijan los reguladores (tope del 3,6 % en Brasil, el 28,9 % de los ingresos, que llevó el 3T a −3,3 % orgánico; del 5 % en Italia) [6, 16, 18], y por eso el caso base proyecta solo un 3,3 % anual y una pérdida de cuota del 25 % al 21,1 %.</w:t>
      </w:r>
    </w:p>
    <w:p>
      <w:pPr>
        <w:spacing w:after="100"/>
      </w:pPr>
      <w:r>
        <w:rPr>
          <w:b/>
        </w:rPr>
        <w:t xml:space="preserve">Finanzas.</w:t>
      </w:r>
      <w:r>
        <w:t xml:space="preserve"> La caja neta de 1.270 M que publica la empresa incluye 2.102 M de caja de los clientes; sin ella, la deuda neta ajustada es de 875 M, 1,9 veces el EBITDA [7]. El flujo libre recurrente de FY2025 incluye +99 M de caja restringida: sin ella, la conversión baja del 89 % al 68 % [1].</w:t>
      </w:r>
    </w:p>
    <w:p>
      <w:pPr>
        <w:spacing w:after="100"/>
      </w:pPr>
      <w:r>
        <w:rPr>
          <w:b/>
        </w:rPr>
        <w:t xml:space="preserve">Equipo y gobierno.</w:t>
      </w:r>
      <w:r>
        <w:t xml:space="preserve"> Bellon S.A. controla el 62,30 % de los votos; el presidente ejecutivo y el director financiero son empleados suyos cedidos. Cumple 9 de 13 criterios; el voto libre en contra de la remuneración llegó al 43,8 % en 2024 [1, 29, 30]. Cumplió la guía de FY2024 y FY2025.</w:t>
      </w:r>
    </w:p>
    <w:p>
      <w:pPr>
        <w:spacing w:after="100"/>
      </w:pPr>
      <w:r>
        <w:rPr>
          <w:b/>
        </w:rPr>
        <w:t xml:space="preserve">Valoración.</w:t>
      </w:r>
      <w:r>
        <w:t xml:space="preserve"> El DCF da 24,43 EUR, los comparables 17,54 EUR y los escenarios 21,49 EUR; cotiza a 10,1 veces el beneficio, frente a 13,7 de los comparables. El precio pide una rentabilidad del 11,8 % anual, frente a nuestro WACC del 8,94 % y el 7,94 % que pide el mercado; nuestras cifras coinciden con el consenso (EBITDA entre −1,2 % y +1,5 %) [42]: la diferencia es la tasa, y el catalizador que la cierra es la ley francesa. Con la prima implícita del mercado, el objetivo sube a 26,49 EUR; las dos reglas dan Comprar.</w:t>
      </w:r>
    </w:p>
    <w:p>
      <w:pPr>
        <w:spacing w:after="100"/>
      </w:pPr>
      <w:r>
        <w:rPr>
          <w:b/>
        </w:rPr>
        <w:t xml:space="preserve">Riesgos y catalizadores.</w:t>
      </w:r>
      <w:r>
        <w:t xml:space="preserve"> Un tope francés restaría un 10-15 % del valor; una segunda ronda en Brasil, un 15-25 %; cada 100 pb menos de rendimiento del flotante, un 9 % (estimaciones propias). Catalizadores: el pleno del 12-oct, los resultados del 29-oct, la interoperabilidad brasileña en noviembre y la junta del 17-dic. El foro de inversores está dividido y mejora tras el tercer trimestre, pero apenas habla de la ley francesa [60].</w:t>
      </w:r>
    </w:p>
    <w:p>
      <w:pPr>
        <w:spacing w:after="100"/>
      </w:pPr>
      <w:r>
        <w:rPr>
          <w:b/>
        </w:rPr>
        <w:t xml:space="preserve">Qué cambiaría la decisión.</w:t>
      </w:r>
      <w:r>
        <w:t xml:space="preserve"> Comprar por debajo de 21,32 EUR y vender por encima de 29,20 EUR. Pasaríamos a Mantener si se aprueba un tope de comisión en Francia por debajo del 3 %, si la guía de FY2027 no promete crecer en el 2S o si el rendimiento del flotante baja del 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Objetivo a 12 meses: </w:t>
      </w:r>
      <w:r>
        <w:rPr>
          <w:b/>
          <w:bCs/>
        </w:rPr>
        <w:t xml:space="preserve">15,31 EUR</w:t>
      </w:r>
      <w:r>
        <w:t xml:space="preserve"> (rentabilidad +8,2 % (base +11,0 %)) · Valor intrínseco: 22,02 EUR (+52,0 % sobre 14,49) · con la prima implícita del mercado: 26,49 (+82,8 %)</w:t>
      </w:r>
    </w:p>
    <w:p>
      <w:pPr>
        <w:spacing w:after="100"/>
      </w:pPr>
      <w:r>
        <w:t xml:space="preserve">Pluxee es el número dos mundial de los beneficios para empleados, con 18.700 M EUR de volumen emitido en beneficios en FY2025, 500.000 clientes y 1,7 millones de comercios [1]. Gana dinero dos veces: la comisión a empresas y comercios y el rendimiento de 2.855 M de flotante; no necesita capital para crecer y su ROIC operativo es del 20,2 % [1, 7].</w:t>
      </w:r>
    </w:p>
    <w:p>
      <w:pPr>
        <w:spacing w:after="100"/>
      </w:pPr>
      <w:r>
        <w:t xml:space="preserve">El precio (14,49 EUR) descuenta una caída de los ingresos del 1,4 % anual hasta FY2033e, o un margen del 26,4 % en vez del 35,0 %. Cotiza a 10,1 veces el beneficio de los próximos 12 meses, por debajo de Edenred (13,7 veces) [42, 47]. El mercado cree que Brasil, Francia e Italia seguirán recortando la comisión y que los tipos bajarán el flotante.</w:t>
      </w:r>
    </w:p>
    <w:p>
      <w:pPr>
        <w:spacing w:after="100"/>
      </w:pPr>
      <w:r>
        <w:t xml:space="preserve">Para invertir hay que creer que la regulación frena el negocio, pero no lo hunde: el volumen sigue creciendo un 6-8 % [6] y el caso base ya incluye un año de caída, márgenes planos y pérdida de cuota. Si el pleno francés no aprueba un tope y FY2027 vuelve a crecer en el segundo semestre, el precio tiene que dejar de pedir un 11,8 % anual.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FY2028e,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1,18 = 10,03 · 10,0x × 1,57 = 15,70 · 13,0x × 1,71 = 22,23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 / 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15,88 (nuestro base -1,1 %)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106,2 % / -24,0 %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frente a 8,9 %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54,6 %, asimetría de 4,42, bajista del -24,0 % y el precio descuenta 5,1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13,64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13,64 y 17,43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17,43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ley francesa incluye un tope de comisión al comercio por debajo del 3 %, pasaríamos a Mantener.</w:t>
      </w:r>
    </w:p>
    <w:p>
      <w:pPr>
        <w:pStyle w:val="ListParagraph"/>
        <w:numPr>
          <w:ilvl w:val="0"/>
          <w:numId w:val="2"/>
        </w:numPr>
        <w:spacing w:after="60"/>
      </w:pPr>
      <w:r>
        <w:t xml:space="preserve">Si la guía de FY2027 (29-oct-2026) no promete volver a crecer en el 2S FY2027, pasaríamos a Mantener.</w:t>
      </w:r>
    </w:p>
    <w:p>
      <w:pPr>
        <w:pStyle w:val="ListParagraph"/>
        <w:numPr>
          <w:ilvl w:val="0"/>
          <w:numId w:val="2"/>
        </w:numPr>
        <w:spacing w:after="60"/>
      </w:pPr>
      <w:r>
        <w:t xml:space="preserve">Si el rendimiento medio del flotante baja del 5 % en un semestre, revisaríamos el margen y el valor objetivo.</w:t>
      </w:r>
    </w:p>
    <w:p>
      <w:pPr>
        <w:pStyle w:val="ListParagraph"/>
        <w:numPr>
          <w:ilvl w:val="0"/>
          <w:numId w:val="2"/>
        </w:numPr>
        <w:spacing w:after="60"/>
      </w:pPr>
      <w:r>
        <w:t xml:space="preserve">Si el precio supera los 29,20 EUR, pasaríamos a Vender o reducir.</w:t>
      </w:r>
    </w:p>
    <w:p>
      <w:pPr>
        <w:pStyle w:val="ListParagraph"/>
        <w:numPr>
          <w:ilvl w:val="0"/>
          <w:numId w:val="2"/>
        </w:numPr>
        <w:spacing w:after="60"/>
      </w:pPr>
      <w:r>
        <w:t xml:space="preserve">Si Bellon S.A. propone una exclusión por debajo de 20 EUR, lo diríamos en contra en la junta.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declive regulatorio permanente: ingresos que caen un 1,4 % anual hasta FY2033e o un margen del 26,4 %, y una rentabilidad exigida del 11,8 % anual. Los analistas, con un precio objetivo medio de 15,88 EUR y mayoría de Mantener, valoran el negocio a poco más que su caja neta publicada [43, 44].</w:t>
      </w:r>
    </w:p>
    <w:p>
      <w:pPr>
        <w:keepNext/>
        <w:spacing w:after="100"/>
      </w:pPr>
      <w:r>
        <w:rPr>
          <w:b/>
          <w:bCs/>
        </w:rPr>
        <w:t xml:space="preserve">Lo que creemos nosotros.</w:t>
      </w:r>
    </w:p>
    <w:p>
      <w:pPr>
        <w:spacing w:after="100"/>
      </w:pPr>
      <w:r>
        <w:t xml:space="preserve">Crecimiento modesto (3,7 % anual en FY2027e-FY2033e, la mitad que su mercado), margen EBITDA contable plano en el 35 % y pérdida de cuota: un caso base que coincide con el consenso en FY2026e-FY2028e y vale 24,43 EUR por acción con un WACC del 8,94 %.</w:t>
      </w:r>
    </w:p>
    <w:p>
      <w:pPr>
        <w:keepNext/>
        <w:spacing w:after="100"/>
      </w:pPr>
      <w:r>
        <w:rPr>
          <w:b/>
          <w:bCs/>
        </w:rPr>
        <w:t xml:space="preserve">Por qué podemos tener razón.</w:t>
      </w:r>
    </w:p>
    <w:p>
      <w:pPr>
        <w:spacing w:after="100"/>
      </w:pPr>
      <w:r>
        <w:t xml:space="preserve">Porque los recortes regulatorios rebajan el nivel una vez (Brasil ya está en la guía), pero no cambian la tendencia del volumen, y porque el mercado no distingue entre la caja de los clientes y la propia: la visión operativa da 875 M de deuda neta ajustada y aun así el negocio cotiza a 6,8 veces el EBITDA.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4,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un declive</w:t>
      </w:r>
      <w:r>
        <w:t xml:space="preserve">: −1,4 % anual de ingresos hasta FY2033e, frente al +6,6 % orgánico del volumen en nueve meses [6].</w:t>
      </w:r>
    </w:p>
    <w:p>
      <w:pPr>
        <w:pStyle w:val="ListParagraph"/>
        <w:numPr>
          <w:ilvl w:val="0"/>
          <w:numId w:val="2"/>
        </w:numPr>
        <w:spacing w:after="60"/>
      </w:pPr>
      <w:r>
        <w:rPr>
          <w:b/>
        </w:rPr>
        <w:t xml:space="preserve">Barato frente a su comparable directo</w:t>
      </w:r>
      <w:r>
        <w:t xml:space="preserve">: PER de 10,1 veces frente a 13,7 de Edenred [42, 47].</w:t>
      </w:r>
    </w:p>
    <w:p>
      <w:pPr>
        <w:pStyle w:val="ListParagraph"/>
        <w:numPr>
          <w:ilvl w:val="0"/>
          <w:numId w:val="2"/>
        </w:numPr>
        <w:spacing w:after="60"/>
      </w:pPr>
      <w:r>
        <w:rPr>
          <w:b/>
        </w:rPr>
        <w:t xml:space="preserve">Rentable sin capital</w:t>
      </w:r>
      <w:r>
        <w:t xml:space="preserve">: ROIC operativo del 20,2 % y reinversión neta negativa en la proyección (−103 M).</w:t>
      </w:r>
    </w:p>
    <w:p>
      <w:pPr>
        <w:pStyle w:val="ListParagraph"/>
        <w:numPr>
          <w:ilvl w:val="0"/>
          <w:numId w:val="2"/>
        </w:numPr>
        <w:spacing w:after="60"/>
      </w:pPr>
      <w:r>
        <w:rPr>
          <w:b/>
        </w:rPr>
        <w:t xml:space="preserve">Cumple la guía</w:t>
      </w:r>
      <w:r>
        <w:t xml:space="preserve">: FY2024 y FY2025 por encima de lo prometido, y la de FY2026 confirmada tras nueve meses [1, 6].</w:t>
      </w:r>
    </w:p>
    <w:p>
      <w:pPr>
        <w:pStyle w:val="ListParagraph"/>
        <w:numPr>
          <w:ilvl w:val="0"/>
          <w:numId w:val="2"/>
        </w:numPr>
        <w:spacing w:after="60"/>
      </w:pPr>
      <w:r>
        <w:rPr>
          <w:b/>
        </w:rPr>
        <w:t xml:space="preserve">Asimetría de 4,42 veces</w:t>
      </w:r>
      <w:r>
        <w:t xml:space="preserve"> entre el alcista (+106,2 %) y el bajista (−24,0 %).</w:t>
      </w:r>
    </w:p>
    <w:p>
      <w:pPr>
        <w:pStyle w:val="Heading2"/>
      </w:pPr>
      <w:r>
        <w:t xml:space="preserve">En contra</w:t>
      </w:r>
    </w:p>
    <w:p>
      <w:pPr>
        <w:pStyle w:val="ListParagraph"/>
        <w:numPr>
          <w:ilvl w:val="0"/>
          <w:numId w:val="2"/>
        </w:numPr>
        <w:spacing w:after="60"/>
      </w:pPr>
      <w:r>
        <w:rPr>
          <w:b/>
        </w:rPr>
        <w:t xml:space="preserve">El regulador fija el precio</w:t>
      </w:r>
      <w:r>
        <w:t xml:space="preserve">: tope del 3,6 % en Brasil, del 5 % en Italia y posible tope por decreto en Francia [14, 16, 18].</w:t>
      </w:r>
    </w:p>
    <w:p>
      <w:pPr>
        <w:pStyle w:val="ListParagraph"/>
        <w:numPr>
          <w:ilvl w:val="0"/>
          <w:numId w:val="2"/>
        </w:numPr>
        <w:spacing w:after="60"/>
      </w:pPr>
      <w:r>
        <w:rPr>
          <w:b/>
        </w:rPr>
        <w:t xml:space="preserve">Un tercio del EBITDA es flotante</w:t>
      </w:r>
      <w:r>
        <w:t xml:space="preserve">: 162 M de ingresos al 6,0 %, sensibles a los tipos de Brasil y Turquía [1].</w:t>
      </w:r>
    </w:p>
    <w:p>
      <w:pPr>
        <w:pStyle w:val="ListParagraph"/>
        <w:numPr>
          <w:ilvl w:val="0"/>
          <w:numId w:val="2"/>
        </w:numPr>
        <w:spacing w:after="60"/>
      </w:pPr>
      <w:r>
        <w:rPr>
          <w:b/>
        </w:rPr>
        <w:t xml:space="preserve">Accionista de control</w:t>
      </w:r>
      <w:r>
        <w:t xml:space="preserve">: Bellon S.A. con el 62,30 % de los votos y presidente y director financiero cedidos [1].</w:t>
      </w:r>
    </w:p>
    <w:p>
      <w:pPr>
        <w:pStyle w:val="ListParagraph"/>
        <w:numPr>
          <w:ilvl w:val="0"/>
          <w:numId w:val="2"/>
        </w:numPr>
        <w:spacing w:after="60"/>
      </w:pPr>
      <w:r>
        <w:rPr>
          <w:b/>
        </w:rPr>
        <w:t xml:space="preserve">Caja menos limpia de lo que parece</w:t>
      </w:r>
      <w:r>
        <w:t xml:space="preserve">: 2.102 M de los 2.560 M de liquidez son de los clientes; la conversión de FY2025 sin caja restringida es del 68 % [1, 7].</w:t>
      </w:r>
    </w:p>
    <w:p>
      <w:pPr>
        <w:pStyle w:val="ListParagraph"/>
        <w:numPr>
          <w:ilvl w:val="0"/>
          <w:numId w:val="2"/>
        </w:numPr>
        <w:spacing w:after="60"/>
      </w:pPr>
      <w:r>
        <w:rPr>
          <w:b/>
        </w:rPr>
        <w:t xml:space="preserve">ROIC incremental del 7 %</w:t>
      </w:r>
      <w:r>
        <w:t xml:space="preserve">, por debajo del WACC: las compras recientes no rinden aún.</w:t>
      </w:r>
    </w:p>
    <w:p>
      <w:pPr>
        <w:pStyle w:val="Heading2"/>
      </w:pPr>
      <w:r>
        <w:t xml:space="preserve">Qué tiene que pasar para que la tesis funcione</w:t>
      </w:r>
    </w:p>
    <w:p>
      <w:pPr>
        <w:spacing w:after="100"/>
      </w:pPr>
      <w:r>
        <w:t xml:space="preserve">La tesis depende de que la regulación rebaje el nivel una vez y no la tendencia. La señal de que no se cumple: un tope de comisión en Francia aprobado en la ley o anunciado por decreto, o un crecimiento orgánico de Latinoamérica por debajo de −5 % en el 1S FY2027 tras la interoperabilidad. El rendimiento del flotante, publicado cada semestre, dice cuánto margen se pierde con la bajada de tipos.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totales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(3T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−3 % en el 1S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vuelta al crecimiento en el 2S FY2027 sostiene el caso base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Take-up rate de beneficios para empleados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(1S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los topes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medio del flotante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(1S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tercio del EBITDA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 (1S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el 35 % contable (≈36,5 % recurrente)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Retención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97 %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Avisa de pérdida de cuota tras la interoperabilidad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6,6x / 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10,1x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Pluxee es la antigua división Benefits &amp; Rewards Services (BRS) de Sodexo, que empezó a operar en 1976 con vales de comida en Europa occidental, donde había marcos fiscales favorables. En los años noventa se expandió a Latinoamérica, Europa central, el norte de África y Oriente Medio, y en los dos mil consolidó posiciones en Brasil, India, México y Turquía. Desde 2017 salió de mercados poco rentables (Argentina, Kenia, Rusia, Taiwán) y vendió Rydoo; desde 2018 migró el papel a tarjetas y soluciones digitales (94 % del volumen emitido digitalizado en el ejercicio 2025) [1]. Sodexo lanzó la marca Pluxee en junio de 2023 y la escindió el 1 de febrero de 2024, con cotización en Euronext París. Desde entonces compra pequeñas plataformas para el multibeneficio (Cobee, Benefício Fácil, Benefity, MyBenefits, Skipr, ProEves) y se alió con Santander en Brasil [1, 5]. En noviembre de 2025 la reforma del PAT brasileño rompió su trayectoria de crecimiento de doble dígito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Sodexo empieza a operar el negocio de vales de comida (BRS) en Europa occidental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 de expansión a Latinoamérica, Europa central, el norte de África y Oriente Medio; en los dos mil, posiciones fuertes en Brasil, India, México y Turquía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de crecer en mercados rentables: salida de Argentina, Kenia, Rusia y Taiwán y venta de Rydoo (gastos de viaje)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de la digitalización: migración del papel a tarjetas, aplicaciones y pagos digitales; en el ejercicio 2025 el 94 % del volumen emitido ya es digital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Autoridad de la Competencia francesa multa a Pluxee France y Sodexo con 126 M EUR (intercambio de información y cierre del mercado a través de la CRT); la Casación anuló en octubre de 2025 la sentencia de apelación y devolvió el caso al Tribunal de Apelación de París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 febrero: escisión de Sodexo y salida a cotizar en Euronext París. Junio: alianza estratégica con Santander en Brasil, con distribución exclusiva durante 25 años e integración de su negocio de beneficios (Ben)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compra del 100 % de Cobee (España, México, Portugal) e integración de Welfare Solutions en Italia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Benefício Fácil (movilidad en Brasil, marzo), Benefity (República Checa, junio) y MyBenefits (Rumanía, agosto); Skipr (movilidad en Bélgica y Francia) se cierra en septiembre [1,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11-12 de noviembre: Brasil reforma el PAT (tope a la comisión al comercio, plazos de reembolso más cortos e interoperabilidad); el 17 de noviembre Pluxee rebaja su objetivo de ingresos de 2026 de crecimiento de un dígito alto a estabilidad comparable [9,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compra de ProEves, líder indio de beneficios de guardería para empresas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la Fiscalía Nacional Económica de Chile demanda a Pluxee Chile ante el TDLC por presuntas conductas anticompetitivas entre 2013 y 2021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Julio: los ingresos totales del 3T caen un 3,3 % orgánico por el tope del 3,6 % en Brasil y la debilidad de Europa continental [6].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Pluxee es el segundo proveedor mundial de beneficios para empleados y el primero en al menos una categoría en 17 de sus 28 países [1]. Vende sobre todo beneficios de comida y alimentación (vales y tarjetas de restaurante y supermercado con ventaja fiscal), y además regalos, movilidad, reconocimiento, bienestar y ocio, a más de 500.000 empresas clientes, que los cargan a más de 37 millones de empleados; estos gastan en una red propia de más de 1,7 millones de comercios y 600 plataformas de reparto y comercio electrónico [1]. También gestiona beneficios públicos: ayudas sociales que distribuyen administraciones (Bélgica, Rumanía, Chile, Austria) [1, 5]. El volumen emitido fue de 24.500 M EUR en el ejercicio 2025: 18.700 M EUR de beneficios para empleados y 5.800 M EUR de otros productos, sobre todo beneficios públicos [4]. Vende con equipo propio a grandes cuentas, con recorridos digitales de autoservicio a pymes y, en Brasil, a través de la red de Santander [1].</w:t>
      </w:r>
    </w:p>
    <w:p>
      <w:pPr>
        <w:pStyle w:val="Heading2"/>
      </w:pPr>
      <w:r>
        <w:t xml:space="preserve">Cómo gana dinero</w:t>
      </w:r>
    </w:p>
    <w:p>
      <w:pPr>
        <w:spacing w:after="100"/>
      </w:pPr>
      <w:r>
        <w:t xml:space="preserve">El modelo es de prepago a tres bandas. El cliente paga por adelantado el valor que se carga a sus empleados más una comisión; el comercio paga una comisión cuando cobra el beneficio; y entre la carga y el reembolso Pluxee invierte el dinero (el float, 2.700 M EUR a 31-ago-2025) [1]. En el ejercicio 2025 los ingresos totales fueron de 1.287 M EUR: 1.125 M EUR de ingresos operativos (comisiones) y 162 M EUR de rendimiento del float [4]. La tasa de captura (ingresos operativos de beneficios para empleados sobre volumen emitido) fue del 5,1 %, unos 20 puntos básicos más que el año anterior [4]; el rendimiento medio del float, del 6,1 % en el 1S26 [5]. Los ingresos son recurrentes (contratos anuales que se renuevan; retención neta del 100 %) y suben con el empleo formal y con el valor facial, que en muchos países se indexa a la inflación [1]. Con costes en buena parte fijos de tecnología y red, el apalancamiento operativo es alto: margen de EBITDA recurrente del 36,6 % en 2025 [4]. El margen depende de la comisión al comercio, que es lo que limitan los reguladores (Brasil, 3,6 %), y de los tipos de interés del float [6].</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continental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continental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 muy atomizada: más de 500.000 clientes, desde multinacionales hasta pymes y administraciones públicas [1]. Las grandes cuentas generan la mayor parte del volumen; las pymes son un 20 % del volumen emitido sin beneficios públicos y su penetración en comidas no pasa del 10 % en Francia, España o México, por lo que son la prioridad de crecimiento [1]. Pluxee no publica la cuota del primer cliente ni de los diez primeros; el riesgo de crédito se concentra en contratos públicos con las regiones belgas [1]. La retención neta de ingresos fue del 100 % en el ejercicio 2025 [1]. Los beneficios públicos dependen de concursos y se pierden o reducen de golpe: en 2025 terminaron programas grandes en Rumanía y Chile (este último se recuperó en marzo de 2025 con peores condiciones), y en el 1S26 el volumen de otros productos cayó de 3.500 a 2.700 M EUR por los ciclos de contratos en Austria, Rumanía y Bélgica [4, 5]. El poder de precios con el cliente es reducido: en Francia los emisores históricos cobraban a las empresas una comisión media del 0,36 % en 2022, con descuentos y retrocomisiones a las grandes cuentas, y el margen sale del comercio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negocio emitido (BVI)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mil M EUR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mil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 FY2026: 19,4 mil M frente a 18,8 mil M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BVI de Employee Benefits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 FY2024 en esta fuente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mil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 FY2026: 5,2 mil M, +8,0 % orgánico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Take-up rate de Employee Benefits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 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 +20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5,0 % en el 1S FY2026; el tope brasileño del 3,6 % lo presiona desde el 3T FY2026 [4,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medio de la inversión del flotante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6,1 % en el 1S FY2026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pb publicado, +230 pb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37,0 % en el 1S FY2026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la variación de la caja restringida del flotante (ver calidad)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beneficios de comida y alimentación para empleados (vales y tarjetas de restaurante y supermercado con ventaja fiscal y red de comercios acotada), que es el núcleo del volumen de Pluxee, más regalos, movilidad y beneficios públicos como complementos. No hay estadística oficial mundial. Se usan tres medidas: (a) la propia Pluxee estima un mercado potencial de beneficios para empleados de más de 1 billón de EUR de volumen, del que comida y alimentación es el 20-30 % con una penetración de ≈25 %, es decir, un mercado atendido de ≈50.000-75.000 M EUR que crecería un 7-9 % anual en los ejercicios 2024-2026 [1] (cálculo propio con sus rangos); (b) Global Industry Analysts lo cifra en 70.300 M USD en 2024 y 89.900 M USD en 2030 [22]; (c) Fortune Business Insights, en 65.570 M USD en 2022 y 105.560 M USD en 2030 [23]. Las tres coinciden en ≈60.000-65.000 M EUR de volumen hoy; se usa la serie de Fortune por ser la única con varios años. Como contraste local con datos oficiales, Francia: más de 10.000 M EUR de valor facial de títulos restaurante en 2024 [15]; Brasil: más de 150.000 M BRL al año en el PAT [17]. El TCAC histórico (7,0 %) es una estimación propia para Francia en 2019-2024: asalariados beneficiarios por valor facial medio (de 4,8 a 6,0 millones y de 7,98 a 8,94 EUR) [15]; el previsto (6,5 %) es el de Fortune para 2023-2030 [23], entre el 4,2 % de Global Industry Analysts [22] y el 7-9 % que espera Pluxee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≈60.000-65.000 M EUR de volumen de vales y tarjetas de comida en 2024-2025: 70.300 M USD en 2024 según Global Industry Analysts [22], 67.910 M USD en 2023 según Fortune Business Insights [23] y ≈50.000-75.000 M EUR según los rangos de Pluxee [1] (estimación propia: 20-30 % de más de 1 billón de EUR por una penetración del 25 %). A 2030: 89.900 M USD [22] o 105.560 M USD [23] (≈77.000-90.000 M EUR al cambio de 1,17 USD/EUR). Francia: más de 10.000 M EUR en 2024, 1.200 millones de títulos, 6 millones de asalariados y 235.000 empleadores [15], frente a 9.500 M EUR en 2022 [28]. El gasto en supermercados pasó del 22,4 % al 30,8 % del total entre 4T22 y 2T24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volumen mundial de vales de comida (Fortune Business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facial y topes exentos al alza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 sube el cheque-comida máximo de 8 a 10 EUR desde el 1-ene-2026 (aportación patronal exenta de 6,91 a 8,91 EUR) y el Gobierno apunta a 12 EUR al final de la legislatura [19, 20]; Rumanía, de 40,18 a 45 RON desde noviembre de 2025 [21]; en Francia el valor facial medio pasó de 7,98 EUR en 2019 a 8,94 EUR en 2024 [15]. El 1S26 de Pluxee cita subidas del valor facial ligadas a la inflación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Topes a la comisión al comercio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3,6 % de tasa de descuento y 2 % de intercambio [16]; Italia, 5 % desde el 1-sep-2025 [18]; Francia abre la puerta a un tope por decreto [14]. En el 3T26 los ingresos operativos de Latinoamérica de Pluxee cayeron un 5,6 % orgánico, sobre todo por el tope brasileño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pymes y empleo formal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 comida y alimentación es ≈25 % del mercado potencial y no pasa del 10 % en las pymes de Francia, España o México; las pymes son el 20 % del volumen de Pluxee sin beneficios públicos [1]. En el 3T26 Pluxee atribuye parte de la caída a la coyuntura de Europa continental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el float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 M EUR de ingresos del float en el ejercicio 2025, el 12,6 % de los ingresos totales [4]; rendimiento medio del 6,1 % en el 1S26, sostenido por Turquía y Brasil frente a la bajada de tipos en Europa [5]. El plazo de reembolso de 15 días en Brasil reduce el float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uso en supermercados y multibeneficio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94 % del volumen de Pluxee ya es digital [1]; Francia hará el título solo digital y lo admitirá en cualquier comercio de alimentación desde el 1-ene-2028 [14]. La tarjeta facilita vender varios beneficios a la vez, pero también la interoperabilidad que imponen los reguladores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Beneficios públicos por concurso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de otros productos (sobre todo beneficios públicos) cayó de 3.500 a 2.700 M EUR en el 1S26 por fin o reducción de programas en Austria, Rumanía y Bélgica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en Francia los cuatro emisores históricos (Edenred, Swile-Bimpli, Pluxee y Up) tenían más del 99 % del mercado en 2022 y los nuevos solo el 0,22 % [15]; en Brasil Alelo, VR, Ticket y Pluxee tienen ≈80 % de los ingresos [17]. La rivalidad se libra con descuentos y retrocomisiones a las grandes empresas (comisión media al cliente del 0,36 % en Francia en 2022) [15], y los entrantes de red abierta (Flash, Caju, Swile, iFood) la endurecen en Brasil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cuentas negocian por concurso y obtenían comisiones nulas o negativas; casi la mitad del valor facial francés se emitía con comisión ≤ 0,001 % en 2022 [15]. La ley francesa prohibirá esos descuentos desde 2028 [14]. Las pymes, con menos poder, son el 20 % del volumen de Pluxee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tecnología propia, redes de pago (Visa y Mastercard en las tarjetas abiertas) y la red de comercios, que es a la vez cliente. Los comercios han ganado poder por vía regulatoria: pagaban 3,50-4,55 % en Francia en 2022 y presionan por un tope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era la red cerrada de comercios y el papel en los concursos públicos [15]; el decreto brasileño obliga a abrir las redes de más de 500.000 trabajadores en 180 días y a la interoperabilidad plena en 360 días (≈noviembre de 2026) [16], y el Gobierno brasileño espera pasar de ≈743.000 a 1,82 millones de comercios que aceptan estas tarjetas [17]. Francia termina con el papel en 2028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la subida salarial o la tarjeta bancaria universal; lo frena la ventaja fiscal: en Francia supone 2.100 M EUR de esfuerzo de la Seguridad Social y 555 M EUR del Estado en 2025 [15]. Si se recorta la exención, el producto pierde su razón de ser.</w:t>
            </w:r>
          </w:p>
        </w:tc>
      </w:tr>
    </w:tbl>
    <w:p>
      <w:pPr>
        <w:spacing w:after="160" w:before="0"/>
      </w:pPr>
    </w:p>
    <w:p>
      <w:pPr>
        <w:pStyle w:val="Heading2"/>
      </w:pPr>
      <w:r>
        <w:t xml:space="preserve">Ciclo</w:t>
      </w:r>
    </w:p>
    <w:p>
      <w:pPr>
        <w:spacing w:after="100"/>
      </w:pPr>
      <w:r>
        <w:t xml:space="preserve">El volumen depende del empleo formal y del valor facial. En Francia los asalariados beneficiarios crecieron todos los años de 2016 a 2024 (de 3,9 a 6,0 millones), incluido 2020, y el valor facial medio solo bajó en 2021 [15]; no hay datos públicos para 2008-09. En 2022 la inflación subió valores faciales y tipos, y con ellos comisiones y rendimiento del float. Hoy pesa más el ciclo regulatorio que el económico: Pluxee pasó de +5,6 % orgánico en el 1S26 a −3,3 % en el 3T26 por el tope brasileño y la debilidad del empleo en Europa continental [5, 6], y no espera volver a crecer de forma sostenida hasta el 2S del ejercicio 2027 [6, 9].</w:t>
      </w:r>
    </w:p>
    <w:p>
      <w:pPr>
        <w:pStyle w:val="Heading2"/>
      </w:pPr>
      <w:r>
        <w:t xml:space="preserve">Regulación</w:t>
      </w:r>
    </w:p>
    <w:p>
      <w:pPr>
        <w:spacing w:after="100"/>
      </w:pPr>
      <w:r>
        <w:rPr>
          <w:b/>
        </w:rPr>
        <w:t xml:space="preserve">Francia</w:t>
      </w:r>
      <w:r>
        <w:t xml:space="preserve">: la proposición de ley n.º 2892 (Naegelen, 9-jun-2026; procedimiento acelerado desde el 28-sep) fue aprobada en comisión de asuntos sociales el 7-oct-2026 (texto n.º 3274) y el 12-oct-2026 (fecha de corte) estaba en primera lectura en el pleno de la Asamblea, con 79 enmiendas presentadas; a esa fecha el expediente no recoge texto adoptado [13, 14]. El texto de comisión: título solo digital, uso en cualquier alimento y todos los días, prohibición de descuentos y retrocomisiones a las empresas, resumen anual de comisiones al comercio y, como novedad, la </w:t>
      </w:r>
      <w:r>
        <w:rPr>
          <w:b/>
        </w:rPr>
        <w:t xml:space="preserve">facultad del Gobierno de topar por decreto</w:t>
      </w:r>
      <w:r>
        <w:t xml:space="preserve"> la comisión total al comercio (en % del valor reembolsado, tras dictamen de la Autoridad de la Competencia, con al menos seis meses de adaptación); entraría en vigor el 1-ene-2028 y prorroga el uso en supermercados hasta finales de 2027 [14, 15]. </w:t>
      </w:r>
      <w:r>
        <w:rPr>
          <w:b/>
        </w:rPr>
        <w:t xml:space="preserve">Brasil</w:t>
      </w:r>
      <w:r>
        <w:t xml:space="preserve">: decreto 12.712 (11-nov-2025): tope del 3,6 % a la tasa de descuento y 2 % de intercambio, reembolso al comercio en 15 días, apertura de redes en 180 días e interoperabilidad plena en 360 días [16]. </w:t>
      </w:r>
      <w:r>
        <w:rPr>
          <w:b/>
        </w:rPr>
        <w:t xml:space="preserve">Italia</w:t>
      </w:r>
      <w:r>
        <w:t xml:space="preserve">: tope del 5 % a la comisión desde el 1-sep-2025 [18]. </w:t>
      </w:r>
      <w:r>
        <w:rPr>
          <w:b/>
        </w:rPr>
        <w:t xml:space="preserve">Bélgica y Rumanía</w:t>
      </w:r>
      <w:r>
        <w:t xml:space="preserve">: suben los valores máximos exentos (10 EUR y 45 RON) [19, 21]. </w:t>
      </w:r>
      <w:r>
        <w:rPr>
          <w:b/>
        </w:rPr>
        <w:t xml:space="preserve">Chile</w:t>
      </w:r>
      <w:r>
        <w:t xml:space="preserve">: la FNE demandó a Pluxee Chile en mayo de 2026 por conductas de 2013-2021 [10].</w:t>
      </w:r>
    </w:p>
    <w:p>
      <w:pPr>
        <w:pStyle w:val="Heading2"/>
      </w:pPr>
      <w:r>
        <w:t xml:space="preserve">Tendencias y disrupción</w:t>
      </w:r>
    </w:p>
    <w:p>
      <w:pPr>
        <w:spacing w:after="100"/>
      </w:pPr>
      <w:r>
        <w:t xml:space="preserve">Desaparece el papel (94 % digital en Pluxee [1]; Francia lo suprime en 2028 [14]), y con la tarjeta llegan la red abierta y la interoperabilidad que imponen los reguladores: en Brasil cualquier tarjeta del PAT deberá funcionar en cualquier terminal, lo que favorece a Flash, Caju (1,2 millones de tarjetas), Swile e iFood Benefícios y traslada el valor de la red cerrada al software y la captación [16, 17]. El gasto se desplaza de restaurantes a supermercados, que exigen comisiones menores [15]. Pluxee responde con multibeneficio y compras pequeñas (Cobee, Skipr, MyBenefits, ProEves) y con la red comercial de Santander en Brasil [1, 5]. Edenred, el líder, invierte ≈520 M EUR al año en producto y tecnología [24], cerca de la mitad de los 1.125 M EUR de ingresos operativos anuales de Pluxee [4]: la carrera tecnológica favorece a la escala.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beneficios para empleados, detrás de Edenred, y primero en al menos una categoría en 17 de sus 28 países [1]. Edenred declara una cuota 1,7 veces la del n.º 2 en ingresos operativos de beneficios [24]: 1.846 M EUR frente a 1.125 M EUR de Pluxee en 2025 [4, 24]. En el mercado mundial de vales de comida (≈62.500 M EUR) la cuota de Pluxee es ≈25 % (estimación propia: 18.700 M EUR de volumen de beneficios para empleados, que incluye regalos y otros, sobre el punto medio del mercado atendido; cota alta ≈30 %) [1, 4]. En Brasil es uno de los cuatro operadores con ≈80 % de los ingresos [17]; en Francia tiene un 10-20 % de los títulos restaurante según la Autoridad de la Competencia, detrás de Edenred (30-40 %) y a la par de Bimpli-Swile (10-20 %) [28].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 (Ticket Restaurant)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2.961 M EUR de ingresos totales y 1.094 M EUR de EBIT en 2025, de los que 2.054 M EUR de ingresos son de beneficios (estructura nueva; 1.846 M EUR de ingresos operativos y margen de EBITDA del 49 %) y el resto de movilidad (UTA) [24]. Estimación propia de cuota: 1,7 veces la de Pluxee. En el 1S26, EBITDA −4,6 % comparable por los topes de Italia y Brasil; guía 2026 de −7 % a −10 %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Swile (con Bimpli)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Entrante digital de 2018 con tarjeta Mastercard; compró Bimpli (BPCE, antes Natixis Intertitres) a finales de 2022. Dice tener el 39 % de los títulos restaurante desmaterializados en Francia y 500.000 usuarios en Brasil; EBITDA de 23 M EUR en el 1S24 frente a −61 M EUR en 2022 [26]. No publica cuentas consolidadas. Según la Autoridad de la Competencia, 10-20 % del mercado francés total (15 %, punto medio, es estimación propia)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Upcoop (antes Groupe Up / Chèque Déjeuner)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Cooperativa, cuarto emisor histórico en Francia y presente en Italia, España y Brasil con un 0-10 % del mercado francés (punto medio, estimación propia) [15, 28]. Multada con 45 M EUR en 2019 en el mismo expediente que Pluxee (126 M EUR) y Edenred (157 M EUR) [15]. Sus informes no fueron accesibles (403).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Participada por Bradesco y Banco do Brasil; uno de los cuatro incumbentes (con VR, Ticket y Pluxee) que suman ≈80 % de los ingresos del PAT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VR Benefícios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brasileño de capital privado; incumbente del PAT [17]. Sin cuentas publicadas.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Flash, Caju e iFood Benefícios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Entrantes de red abierta (Visa, Mastercard) que denunciaron ante el CADE las retrocomisiones de los incumbentes y salen favorecidos por la interoperabilidad; Caju tiene más de 1,2 millones de tarjetas en 55.000 empresas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dos lados con más de 1,7 millones de comercios, 500.000 clientes y 37 millones de usuarios [1]; los entrantes tenían el 0,22 % del mercado francés en 2022 [10]. La ley la erosiona: redes abiertas e interoperables en Brasil desde mayo-noviembre de 2026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 ingresos del 100 % en el ejercicio 2025 [1]; pero las grandes cuentas cambian por concurso y los beneficios públicos se pierden de golpe (Rumanía, Chile, Austria, Bélgica)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nueva (Pluxee, 2023) sobre 45 años de Sodexo [1]; las licencias de emisor no son exclusivas y la ventaja fiscal que sostiene el producto la decide el legislador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EBITDA recurrente del 36,6 % en 2025 [2], por debajo del 46 % de EBITDA sobre ingresos de Edenred [19]; Edenred invierte ≈520 M EUR al año en producto y tecnología [19], cerca de la mitad de los ingresos operativos anuales de Pluxee.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emisores con más del 99 % en Francia y cuatro con ≈80 % en Brasil [10, 12]: mercados nacionales que no admiten muchos jugadores rentables, aunque la red abierta baja la escala mínima.</w:t>
            </w:r>
          </w:p>
        </w:tc>
      </w:tr>
    </w:tbl>
    <w:p>
      <w:pPr>
        <w:spacing w:after="160" w:before="0"/>
      </w:pPr>
    </w:p>
    <w:p>
      <w:pPr>
        <w:pStyle w:val="Heading2"/>
      </w:pPr>
      <w:r>
        <w:t xml:space="preserve">Amenazas</w:t>
      </w:r>
    </w:p>
    <w:p>
      <w:pPr>
        <w:spacing w:after="100"/>
      </w:pPr>
      <w:r>
        <w:t xml:space="preserve">La amenaza principal es el regulador, que ataca la comisión al comercio, la fuente del margen. Brasil, con ≈25 % de los ingresos de Pluxee según Morgan Stanley (frente a ≈10 % en Edenred), impone el 3,6 % y la interoperabilidad (≈noviembre de 2026); el banco estimó hasta un 30 % de recorte del EBITDA de Pluxee [17]. Francia puede topar la comisión por decreto desde 2028 si se aprueba el texto de comisión [14]. Hay expedientes de competencia en Francia (126 M EUR de multa de 2019, devuelta a apelación en 2025), República Checa (132 M CZK) y Chile (demanda de la FNE de mayo de 2026) [1, 10]. La interoperabilidad abre la puerta a Flash, Caju, Swile e iFood [17]. Y Edenred, 1,7 veces más grande, puede invertir más en tecnología [24].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FY2021-FY2025: ingresos </w:t>
      </w:r>
      <w:r>
        <w:rPr>
          <w:b/>
          <w:bCs/>
        </w:rPr>
        <w:t xml:space="preserve">15,2 %</w:t>
      </w:r>
      <w:r>
        <w:t xml:space="preserve">, EBITDA </w:t>
      </w:r>
      <w:r>
        <w:rPr>
          <w:b/>
          <w:bCs/>
        </w:rPr>
        <w:t xml:space="preserve">20,8 %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crecieron de 731 M en FY2021 a 1.287 M en FY2025 (FY2021-FY2023 son cuentas </w:t>
      </w:r>
      <w:r>
        <w:rPr>
          <w:b/>
        </w:rPr>
        <w:t xml:space="preserve">combinadas</w:t>
      </w:r>
      <w:r>
        <w:t xml:space="preserve"> del perímetro Benefits &amp; Rewards de Sodexo, auditadas para el folleto de la escisión; Pluxee cotiza desde el 1-feb-2024) [3]. El crecimiento orgánico fue del 13 % en FY2022, 25 % en FY2023, 18,6 % en FY2024 (15,0 % publicado) [8] y 10,6 % en FY2025, con un efecto divisa negativo de 7 puntos en FY2025 (real brasileño y lira turca) [3, 4]. Buena parte del salto de FY2023 vino del flotante, que pasó de 38 a 99 M con la subida de tipos; en FY2025 los 162 M de flotante son el 12,6 % de los ingresos y probablemente una parte mayor del EBITDA, porque apenas tienen coste [3, 4]. El margen de EBITDA recurrente subió de 28,6 % (FY2021) a 30,3 %, 34,5 %, 35,6 % y 36,6 % (FY2025), y al 37,0 % en el 1S FY2026 [3, 4, 5]. El 3T FY2026 marcó el giro: ingresos -3,3 % orgánico por el tope de comisiones del PAT en Brasil y la debilidad de Europa continental; la guía de FY2026 es ingresos orgánicos estables y ligera mejora de margen, con impacto también en el 1S FY2027 [6, 9]. La cuenta no distingue coste de ventas: la empresa presenta una sola línea de gastos operativos, que va en gastos generales.</w:t>
      </w:r>
    </w:p>
    <w:p>
      <w:pPr>
        <w:pStyle w:val="Heading2"/>
      </w:pPr>
      <w:r>
        <w:t xml:space="preserve">Ajustes y partidas no recurrentes</w:t>
      </w:r>
    </w:p>
    <w:p>
      <w:pPr>
        <w:spacing w:after="100"/>
      </w:pPr>
      <w:r>
        <w:t xml:space="preserve">La empresa publica el EBITDA recurrente (EBIT recurrente + amortizaciones), que excluye «otros ingresos y gastos operativos». El EBITDA de esta tabla es el reportado (EBIT + amortizaciones) y las partidas no recurrentes van en su campo: FY2021, -3 M netos (deterioros y reestructuración por las ventas de Suecia, Finlandia, Rusia y Rydoo, compensados con plusvalías); FY2022, +27 M de ingreso neto (indemnización de 33 M de Hungría y plusvalías de 22 M); FY2023, 150 M de gasto (provisión de 127 M por la multa de la autoridad de competencia francesa y costes de escisión); FY2024, 92 M (costes de escisión y de separación informática); FY2025, 26 M (9 M de cierre de la separación informática, 6 M de bajas de activos con el cierre de Indonesia, 5 M de reestructuración y 5 M de adquisiciones); 1S FY2026, 8 M (6 M de reestructuración) [1, 3, 4, 5]. El EBITDA recurrente resultante es 209, 255, 363, 430 y 471 M (FY2021-FY2025) y 488 M en los 12 meses a feb-26. Se repiten cada año costes de M&amp;A y reestructuración de 5-10 M: no son del todo no recurrentes. El BPA ajustado de la empresa (1,52 EUR en FY2025) excluye estas partidas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8"/>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fiscales: el 1T va de septiembre a noviembre y el 3T26 es marzo-mayo de 2026. Pluxee solo publica ingresos trimestrales; el EBITDA es semestral: 225 M en el 1S FY2025 (35,4 %), 246 M en el 2S FY2025 (37,7 %, por diferencia con el anual) y 242 M en el 1S FY2026 (37,0 %) [4, 5]. </w:t>
      </w:r>
      <w:r>
        <w:rPr>
          <w:b/>
        </w:rPr>
        <w:t xml:space="preserve">1S FY2026 (16-abr-2026)</w:t>
      </w:r>
      <w:r>
        <w:t xml:space="preserve">: la dirección destacó el margen (+229 pb orgánicos), una conversión de caja del 86 % y la caja financiera neta de 1.270 M, y confirmó la guía rebajada en noviembre por el PAT brasileño; el 2T ya se frenó (+2,8 % orgánico) por los programas públicos en Austria, Rumanía y Bélgica y la reestructuración en Reino Unido y EE. UU. [5]. </w:t>
      </w:r>
      <w:r>
        <w:rPr>
          <w:b/>
        </w:rPr>
        <w:t xml:space="preserve">3T FY2026 (3-jul-2026)</w:t>
      </w:r>
      <w:r>
        <w:t xml:space="preserve">: primera caída orgánica (-3,3 %; Employee Benefits -2,6 %, Latinoamérica -5,6 %), atribuida al tope del 3,6 % en Brasil y a la macro de Europa continental; el discurso pasa de «expansión de margen» a «disciplina y eficiencia», con la vuelta al crecimiento rentable aplazada al 2S FY2027 [6]. Según un resumen de la llamada, la dirección anticipó un impacto del PAT aún mayor en el 4T y no dio cifras para FY2027 [11]. No hemos encontrado transcripciones con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Pluxee trabaja con circulante muy negativo: debe a usuarios y comercios mucho más de lo que le deben los clientes. Sin la caja del flotante, la caja no ligada al negocio fue de 588 M en ago-23, 455 M en ago-24, 569 M en ago-25 y 458 M en feb-26 [1, 2, 7]. La «caja financiera neta» que publica la empresa (1.270 M en feb-26; 1.163 M en ago-25; 1.054 M en ago-24; 859 M en ago-23) resta a la deuda bruta toda la caja no restringida y los activos financieros corrientes, incluidos 2.102 M de caja del flotante no restringida [5, 7]. Si se trata esa caja como de los clientes, la deuda financiera neta pasa a ser positiva: unos 832 M en feb-26 (1.271 M de deuda bruta más 19 M de descubiertos menos 458 M de caja propia; estimación propia) y unos 720 M en ago-25. La deuda bruta (1.271 M) son dos bonos de 550 M al 3,5 % (sep-2028) y al 3,75 % (sep-2032), 75 M de pagarés y 57 M de arrendamientos [1, 7]. El patrimonio de FY2023 (42 M) refleja la deuda de 610 M con Sodexo por la compra del 11,95 % de Pluxee International antes de la escisión [3]. En el campo caja se usa la definición de la empresa (caja no restringida más activos financieros corrientes).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FY2021-FY2025: FCF </w:t>
      </w:r>
      <w:r>
        <w:rPr>
          <w:b/>
          <w:bCs/>
        </w:rPr>
        <w:t xml:space="preserve">1.370</w:t>
      </w:r>
      <w:r>
        <w:t xml:space="preserve">, conversión </w:t>
      </w:r>
      <w:r>
        <w:rPr>
          <w:b/>
          <w:bCs/>
        </w:rPr>
        <w:t xml:space="preserve">195 %</w:t>
      </w:r>
      <w:r>
        <w:t xml:space="preserve"> del beneficio neto; adquisiciones 149, dividendos 431, recompras 45.</w:t>
      </w:r>
    </w:p>
    <w:p>
      <w:pPr>
        <w:spacing w:after="100"/>
      </w:pPr>
      <w:r>
        <w:t xml:space="preserve">El flujo de explotación NIIF incluye el movimiento del flotante (variación del valor en circulación y de la caja restringida), así que oscila con la regulación: en FY2023 se infló con 191 M por un cambio de norma en Brasil y en FY2024 con 48 M [3, 4]. El flujo libre recurrente de la empresa fue de 113, 192, 480, 379 y 417 M (FY2021-FY2025) y de 210 M en el 1S FY2026, con conversiones sobre el EBITDA recurrente del 54 %, 75 %, 132 %, 88 % y 89 % [3, 4, 5]. Ese flujo libre </w:t>
      </w:r>
      <w:r>
        <w:rPr>
          <w:b/>
        </w:rPr>
        <w:t xml:space="preserve">incluye la variación de la caja restringida</w:t>
      </w:r>
      <w:r>
        <w:t xml:space="preserve"> (+99 M en FY2025, -57 M en FY2024 y +96 M en el 1S FY2026): sin ella habría sido de unos 318 M en FY2025 (68 % del EBITDA recurrente) y unos 114 M en el 1S FY2026 (estimación propia) [1, 7]. El capex (intangibles de software sobre todo) fue de 98 M en FY2025, el 7,6 % de los ingresos, y de 44 M en el 1S FY2026; la empresa no separa mantenimiento y crecimiento [4, 5]. Los dividendos de FY2021-FY2023 se pagaron a Sodexo; desde FY2025 se pagan a los accionistas de Pluxee (más 14 M a minoritarios en FY2025). Desinversiones de FY2024: 62 M de caja de Ben (Santander) incorporada y 66 M por la venta de ePassi; de FY2021, 42 M de caja de adquiridas y 19 M de ventas.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Accountants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FY2025); cuestión clave de auditoría: deterioro del fondo de comercio (799 M), testado por países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de FY2021-FY2023 son combinadas: incluyen comisiones de gestión a Sodexo (25 M en FY2023) y financiación intragrupo, y no reflejan los costes de una empresa independiente [3]. Hay tres efectos que distorsionan la comparación. El primero, el flotante: el flujo operativo y el flujo libre recurrente se mueven con la caja restringida y con cambios regulatorios (191 M en FY2023 y 48 M en FY2024 por Brasil) [3, 4]. El segundo, los no recurrentes, que la empresa excluye del EBITDA recurrente pero aparecen cada año (26-150 M) [1, 2]. El tercero, la hiperinflación en Turquía (NIC 29 desde abril de 2022) y un efecto divisa de -7 puntos en FY2025 [1, 4]. La alianza con Santander en Brasil (jun-2024) se pagó en buena parte sin caja: activó 226 M de intangible por el derecho de distribución exclusivo y elevó los minoritarios de 5 a 96 M [2]. El tipo impositivo efectivo ronda el 31 % (31,4 % en el 1S FY2026); en FY2023 fue del 49 % porque la multa francesa no es deducible [3, 5]. Los indicadores del motor (Altman, Beneish) hay que leerlos con cuidado: el balance está inflado por el pasivo del flotante y el circulante negativo es estructural.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flujo libre recurrente incluye la variación de la caja restringida del flotante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 M en FY2025 y +96 M en el 1S FY2026; la nota de prensa la describe como excluida, pero la conciliación con el estado de flujos muestra que está dentro [4,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financiera neta publicada incluye 2.102 M de caja del flotante no restringida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caja propia de 458 M, la deuda neta efectiva era de unos 832 M en feb-26 (estimación propia)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M&amp;A y separación informática: 26 M en FY2025 y 8 M en el 1S FY2026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 competencia (Francia, República Checa, Chile)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M provisionados en Francia (con la condena anulada en casación en oct-2025); Chile sin cuantificar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Exposición regulatoria en Brasil (PAT)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 es el 28,9 % de los ingresos de FY2025; tope de comisiones del 3,6 %, plazos de reembolso más cortos (menos flotante) e interoperabilidad [1,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7,0 % · </w:t>
      </w:r>
      <w:r>
        <w:rPr>
          <w:b/>
          <w:bCs/>
        </w:rPr>
        <w:t xml:space="preserve">WACC</w:t>
      </w:r>
      <w:r>
        <w:t xml:space="preserve">: 8,9 %.</w:t>
      </w:r>
    </w:p>
    <w:p>
      <w:pPr>
        <w:spacing w:after="100"/>
      </w:pPr>
      <w:r>
        <w:t xml:space="preserve">Con la visión operativa (sin la caja de los clientes), el capital invertido de Pluxee es pequeño: 1.136 M en FY2025, sobre todo fondo de comercio (799 M) e intangibles (514 M), compensados por un circulante sin flotante negativo (−348 M) [1]. El ROIC sale del 20,2 % en FY2025 y del 22,4 % en FY2024, más del doble del WACC del 8,94 %. Lo mueve el margen, no la rotación: los ingresos del flotante (162 M en FY2025) entran casi enteros en el resultado [1]. El ROIC de FY2023 (157,6 %) no es comparable: el patrimonio de 42 M recogía la deuda con Sodexo antes de la escisión [3]; los de FY2021-FY2022 salen negativos porque la caja de esos años incluye la del flotante. El ROIC incremental es del 7 %, por debajo del WACC: el crecimiento reciente se ha comprado con fondo de comercio (Cobee, 148 M en FY2025; la alianza con Santander en Brasil, 226 M de intangible) [1, 2]. Edenred, con la misma visión, tenía un ROIC operativo cercano al 21 % en nuestro análisis del 7-oct-2026.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feb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28-feb-2026: caja y equivalentes 1.350 M (sin la caja restringida), activos financieros corrientes 1.210 M y caja restringida del flotante 753 M; liquidez total 3.313 M, de la que solo 458 M no está ligada al flotante. Línea de crédito revolving de 650 M sin disponer, con vencimiento en octubre de 2030, y programa de pagarés NEU CP de hasta 400 M (75 M dispuestos) [5,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perspectiva estable (desde dic-2024); pagarés A-2 [1,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clave no es deuda financiera: </w:t>
      </w:r>
      <w:r>
        <w:rPr>
          <w:b/>
        </w:rPr>
        <w:t xml:space="preserve">valor en circulación y cuentas a pagar asociadas</w:t>
      </w:r>
      <w:r>
        <w:t xml:space="preserve">, 3.885 M en ago-25 (2.890 M de saldo cargado en tarjetas y vales no usados y 995 M a pagar a comercios por vales ya presentados) y 4.028 M en feb-26 (2.948 + 1.079 M) [1, 7]. Se financia con el cobro a clientes antes de pagar a comercios: las cuentas a cobrar ligadas al flotante (1.282 M en feb-26, menos 109 M de anticipos de clientes) y una caja «del flotante» de 2.855 M, de la que 753 M es restringida por regulación [5, 7]. Provisiones no corrientes de 135 M, casi todas por la multa de 127 M de la autoridad de competencia francesa (ya pagada a plazos y registrada como cuenta a cobrar); el Tribunal de Casación anuló la condena el 15-oct-2025 y devolvió el caso al Tribunal de Apelación de París [1]. Hay además una multa checa de 132 M CZK recurrida, demandas de comercios en Francia, una demanda de la Fiscalía Nacional Económica en Chile (mayo de 2026) y un pago contingente de 20 M por Cobee hasta 2027 [1, 10]. Bonos y revolving sin covenants financieros [1].</w:t>
      </w:r>
    </w:p>
    <w:p>
      <w:pPr>
        <w:pStyle w:val="Heading1"/>
      </w:pPr>
      <w:r>
        <w:t xml:space="preserve">12. Asignación de capital</w:t>
      </w:r>
    </w:p>
    <w:p>
      <w:pPr>
        <w:pStyle w:val="Confianza"/>
        <w:spacing w:after="100"/>
      </w:pPr>
      <w:r>
        <w:t xml:space="preserve">Confianza: Media</w:t>
      </w:r>
    </w:p>
    <w:p>
      <w:pPr>
        <w:spacing w:after="100"/>
      </w:pPr>
      <w:r>
        <w:t xml:space="preserve">Política de dividendo: reparto anual de al menos el 25 % del beneficio neto ajustado atribuido del ejercicio anterior, con subidas regulares [1]. Dividendo de 0,35 EUR por FY2024 (51 M) y de 0,38 EUR por FY2025 (55 M, pagado el 23-dic-2025) [4, 5]. Recompra de 100 M lanzada el 31-oct-2025, terminada en mayo de 2026, para amortizar acciones [5]. A 28-feb-2026 el capital emitido era de 147.174.692 acciones ordinarias (más 63.040.363 acciones especiales de voto de lealtad) y la autocartera de 6.494.494 acciones [7]. Prioridades declaradas: crecimiento orgánico, adquisiciones pequeñas financiadas con caja y retorno al accionista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 Benefícios (80 % de la actividad de beneficios de Santander Brasil) y derecho de distribución exclusivo durante 25 años en la red de Santander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Mayormente sin caja: 226 M de intangible y entrada de Santander como minoritario; la caja de Ben (65 M) entró en el grupo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Latinoamérica +14,5 % orgánico en FY2025, con la alianza «a plena capacidad»; fondo de comercio de 85 M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Cobee (España, México y Portugal)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121 M al contado más pagos contingentes y aplazados (30 M pagados en mar-2025 y 20 M pendientes hasta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123 M;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Benefício Fácil (Brasil, movilidad)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Contribuye a resultados desde marzo de 2025; acreciente al margen según la empresa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Skipr (Bélgica) y ProEves (India)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(12 M netos de caja adquirida en el 1S FY2026)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recientes [5, 7]</w:t>
            </w:r>
          </w:p>
        </w:tc>
      </w:tr>
    </w:tbl>
    <w:p>
      <w:pPr>
        <w:spacing w:after="160" w:before="0"/>
      </w:pPr>
    </w:p>
    <w:p>
      <w:pPr>
        <w:spacing w:after="100"/>
      </w:pPr>
      <w:r>
        <w:t xml:space="preserve">Desde la escisión, Pluxee ha usado su caja propia para dividendos (106 M en dos años), recompras (12 M en FY2025 y 100 M en FY2026) y adquisiciones pequeñas (148 M netos en FY2025) [1, 4, 5]. El capital invertido de verdad es pequeño: fondo de comercio e intangibles de 1.313 M frente a un EBITDA recurrente de 471 M, porque el circulante lo financian clientes y comercios [1]. Ojo con medir la capacidad de retorno con la caja financiera neta publicada: la caja propia (458 M en feb-26) es mucho menor que los 1.270 M declarados, y la recompra de 100 M más el dividendo de 55 M equivalen a la mitad de la caja no ligada al flotante de ago-25 (569 M) [7]. El rendimiento de las compras aún no puede juzgarse: Cobee lleva un año y la alianza con Santander queda expuesta a la reforma del PAT.</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Aurélien Sonet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no es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años en Sodexo; dirige el negocio de beneficios (Sodexo BRS, hoy Pluxee) desde 2017 y es CEO de la sociedad cotizada desde el 1-feb-2024 [1]. Con él al frente, Pluxee creció un 18,6 % orgánico en FY2024 y un 10,6 % en FY2025 y subió el margen de EBITDA recurrente 183 y 230 pb, por encima de la guía; en FY2026 la reforma brasileña del PAT obligó a recortar la guía [8, 9, 33]. Recibió 51.723 acciones de un plan de incentivos el 2-mar-2026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Lhopiteau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empleado de Bellon S.A. y cedido a Pluxee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del grupo desde julio de 2023; antes director financiero de Areva/Orano (2015-2019), Diot-Siaci, DCNS y número dos financiero de Thales; socio de Arthur Andersen [1]. Es un alto directivo de Bellon S.A. cedido a Pluxee mediante un contrato de cesión facturado al coste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Didier Michaud-Daniel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(Executive Chair), empleado de Bellon S.A. y cedido a Pluxee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Bureau Veritas de 2012 a 2023 y presidente de Otis Elevator de 2008 a 2012; presidente ejecutivo de Pluxee desde el 31-ene-2024 [1]. Tiene contrato indefinido con Bellon S.A., que le cede a Pluxee y le refactura; poseía 1.290 acciones ordinarias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Viktoria Otero del Val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estrategia, marketing y ventas; responsable de EE. UU. y Reino Unido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Pluxee (Sodexo BRS) desde 2019 tras dirigir estrategia y M&amp;A en Thales Alenia Space; antes planificación estratégica en Sodexo y consultora de McKinsey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Thierry Guihard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Pluxee Brasil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años en el negocio; dirige Brasil, el mercado más afectado por la reforma del PAT, desde enero de 2021, tras dirigir México (2017-2021) y Chile (2008-2017) [1]. Chile es hoy objeto de una demanda de la autoridad de competencia por conductas de 2013-2021 [10].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del Capital Markets Day (enero de 2024): crecimiento orgánico «low double-digit», margen de EBITDA recurrente inicialmente estable (después, al menos 34,5 % y luego 35 % a tipos constantes) y conversión de caja superior al 70 %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18,6 %; margen del 36,4 % orgánico (+183 pb) y 35,6 % publicado; conversión de caja del 88 %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«low double-digit» y +75 pb de margen (oct-2024), elevado a +150 pb el 17-abr-2025; conversión media FY24-26 superior al 75 % [1,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1.287 M EUR, +10,6 % orgánico; margen del 36,6 % (+230 pb orgánico); conversión de caja del 89 %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Oct-2025: crecimiento orgánico de un dígito alto, +100 pb de margen y conversión media FY24-26 superior al 80 % [33]. El 17-nov-2025, tras el decreto brasileño del PAT, se rebajó a ingresos orgánicos estables, ligera mejora del margen y conversión de en torno al 80 %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(cierre a 31-ago-2026, resultados después de la fecha de corte). Nueve meses: +2,7 % orgánico (-3,3 % en el 3T); margen del primer semestre del 37,0 % (+229 pb orgánico); guía revisada confirmada el 3-jul-2026 [5,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FY2024-26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(enero de 2024): crecimiento orgánico «low double-digit» cada año, +250 pb de margen en tres años y conversión de caja media superior al 70 % [1,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+413 pb orgánicos en solo dos años (183 + 230). Conversión: 88 % y 89 %. Crecimiento: 18,6 % y 10,6 %, pero FY2026 se espera estable [8, 9,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cumplió y superó los objetivos en sus dos primeros años como cotizada: subió la guía de margen tres veces y la de conversión de caja dos [1, 8, 33]. La credibilidad se resintió en noviembre de 2025. Tres semanas después de publicar la guía de FY2026, el decreto brasileño del PAT obligó a pasar de un crecimiento de un dígito alto a ingresos estables [9, 33]. Es un golpe regulatorio, no un fallo de ejecución, y la guía revisada se confirmó en julio de 2026 [6]. La cúpula es estable: el CEO dirige el negocio desde 2017 y el presidente ejecutivo, desde la escisión [1]. Lo singular es que el presidente ejecutivo y el director financiero son empleados de Bellon S.A., cedidos a Pluxee [1]. La sucesión y la estrategia pasan, en la práctica, por el accionista de control. El informe anual no publica la participación del CEO ni la del CFO.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Didier Michaud-Daniel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(Executive Chair), único consejero ejecutivo; alto directivo de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Boutin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(Lead Independent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Bellon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(presidenta de Sodexo; miembro del directorio de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Bellon-Szabo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(miembro del directorio de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François-Xavier Bellon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(presidente del directorio de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Laszlo Szabo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(afiliado a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Michel-Alain Proch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(CFO de LSEG)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Bénédicte Chrétien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Arnaud Loiseau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Bénédicte de Raphélis Soissan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FY2025); cuestión clave de auditoría: deterioro del fondo de comercio (799 M), testado por países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Bellon S.A. (holding de la familia Bellon)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62,30 % de los derechos de voto con el 100 % de las acciones especiales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42,83 % (ago-2024) al 46,16 % (ago-2025) tras comprar en mercado de febrero a junio de 2025 dentro del plan de hasta 100 M EUR anunciado el 3-feb-2025 [1, 34, 35]. Las recompras y amortizaciones de Pluxee en 2026 elevan su porcentaje sin que compre.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Montefiore Investment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riesgo francés, a través de Montefiore Investment VI SLP y MI Parallel Partnership SLP</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registro de la AFM con el 3,36 % el 14-jul-2026 y sube al 5,00 % del capital y de los votos (10.221.859 acciones) el 25-ago-2026 [34]. Porcentaje sobre el capital total, que incluye las acciones especiales de voto.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Smallcap World Fund, Inc.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al 5,22 % en noviembre-diciembre de 2025 y bajó al 4,88 % el 19-ene-2026. El 29-may-2026 declaró un 0,00 %, que es una salida o una caída por debajo del umbral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(solo derechos de voto delegados)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5,08 % de los votos (12-sep-2025) al 0,14 % (29-may-2026) [1,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(posición sobre todo potencial y de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Declaró el 3,33-3,34 % en junio de 2026 y el 2,48 % el 2-jul-2026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(contrato de liquidez y recompras)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el 1,06 % de las acciones ordinarias a 31-ago-2025 [1]; el 3,02 % del capital (6.342.994 acciones) el 23-feb-2026 tras la recompra de 100 M EUR; y el 1,82 % (3.712.906) el 29-jul-2026, tras amortizar acciones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Aurélien Sonet (CEO): entrega de acciones de un plan de incentivos a precio 0, no es una compra en mercado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51.723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no es consejero: su sueldo lo fija el presidente ejecutivo con el consejo y </w:t>
      </w:r>
      <w:r>
        <w:rPr>
          <w:b/>
        </w:rPr>
        <w:t xml:space="preserve">no se vota</w:t>
      </w:r>
      <w:r>
        <w:t xml:space="preserve"> en la junta [1]. En FY2025 cobró 2,46 M EUR: 0,66 M fijos (subidos de 600.000 a 700.000 EUR desde enero de 2025), 0,76 M de variable anual (115,4 % del objetivo) y 1,04 M de acciones por resultados [1]. El variable anual pesa un 70 % financiero (crecimiento orgánico 25 %, margen de EBITDA 25 %, conversión de caja 10 %, desarrollo comercial 10 %) y un 30 % cualitativo [1]. El plan a tres años mide crecimiento, margen y conversión de caja (25 % cada uno) más dos metas no financieras [1]. No mide el ROIC ni el TSR, y la conversión de caja es la única métrica ligada al flujo libre. El informe no menciona cláusulas de recuperación. La política de remuneración la aprobó Sodexo como accionista único el 31-ene-2024, antes de la cotización [31]. En 2024 votó en contra del informe de remuneración el 14,3 % del capital presente [30], que es en torno al 44 % del voto libre (estimación propia). En 2025 el voto libre en contra bajó a cerca del 7 % [29].</w:t>
      </w:r>
    </w:p>
    <w:p>
      <w:pPr>
        <w:pStyle w:val="Heading2"/>
      </w:pPr>
      <w:r>
        <w:t xml:space="preserve">Operaciones vinculadas, estructura de control y defensas</w:t>
      </w:r>
    </w:p>
    <w:p>
      <w:pPr>
        <w:spacing w:after="100"/>
      </w:pPr>
      <w:r>
        <w:t xml:space="preserve">Bellon S.A., holding de la familia Bellon que también controla Sodexo, tenía a 31-ago-2025 el 46,16 % de las acciones y el 62,30 % de los votos [1]. La diferencia sale de un plan de lealtad: Bellon tiene las 63.040.363 acciones especiales de voto, todas las emitidas, y cada una da un voto sin derechos económicos [1, 34]. Un pacto familiar de 50 años, firmado en 2015, impide a los descendientes de Pierre Bellon disponer libremente de sus acciones de Bellon S.A., y el holding dice que no piensa vender [1]. Bellon decide de hecho el consejo: tiene cuatro consejeros dominicales y el presidente ejecutivo, que también presidió la junta de diciembre de 2025 [1, 32, 37]. Además, un contrato de gestión de 2024, por cinco años, le permite proponer la estrategia; con él cede a Pluxee al presidente y al director financiero, con un coste de 2,1 M EUR en FY2025 [1]. Con Sodexo hay contratos de separación, licencia de marca y servicios transitorios (3,1 M EUR en FY2025) [1]. Las comisiones tienen mayoría independiente y la de auditoría la preside un independiente [1].</w:t>
      </w:r>
    </w:p>
    <w:p>
      <w:pPr>
        <w:pStyle w:val="Heading2"/>
      </w:pPr>
      <w:r>
        <w:t xml:space="preserve">Señales de alerta</w:t>
      </w:r>
    </w:p>
    <w:p>
      <w:pPr>
        <w:pStyle w:val="ListParagraph"/>
        <w:numPr>
          <w:ilvl w:val="0"/>
          <w:numId w:val="2"/>
        </w:numPr>
        <w:spacing w:after="60"/>
      </w:pPr>
      <w:r>
        <w:t xml:space="preserve">El presidente ejecutivo y el director financiero son empleados de Bellon S.A., que los cede y refactura a Pluxee mediante un contrato de gestión de 2,1 M EUR en FY2025: la alta dirección depende del accionista de control [1].</w:t>
      </w:r>
    </w:p>
    <w:p>
      <w:pPr>
        <w:pStyle w:val="ListParagraph"/>
        <w:numPr>
          <w:ilvl w:val="0"/>
          <w:numId w:val="2"/>
        </w:numPr>
        <w:spacing w:after="60"/>
      </w:pPr>
      <w:r>
        <w:t xml:space="preserve">Voto libre en contra (estimación propia, suponiendo que Bellon votó a favor): cerca del 44 % frente al informe de remuneración de 2024 y del 47 % y el 45 % frente a la gestión de los consejeros no ejecutivos en 2024 y 2025 [29, 30].</w:t>
      </w:r>
    </w:p>
    <w:p>
      <w:pPr>
        <w:pStyle w:val="ListParagraph"/>
        <w:numPr>
          <w:ilvl w:val="0"/>
          <w:numId w:val="2"/>
        </w:numPr>
        <w:spacing w:after="60"/>
      </w:pPr>
      <w:r>
        <w:t xml:space="preserve">La política de remuneración la aprobó Sodexo como accionista único antes de la cotización (31-ene-2024), y el sueldo del CEO no se somete a voto [1, 31].</w:t>
      </w:r>
    </w:p>
    <w:p>
      <w:pPr>
        <w:pStyle w:val="ListParagraph"/>
        <w:numPr>
          <w:ilvl w:val="0"/>
          <w:numId w:val="2"/>
        </w:numPr>
        <w:spacing w:after="60"/>
      </w:pPr>
      <w:r>
        <w:t xml:space="preserve">En noviembre de 2024 la empresa corrigió por escrito errores en la información sobre la remuneración del CEO del informe anual de FY2024 [38].</w:t>
      </w:r>
    </w:p>
    <w:p>
      <w:pPr>
        <w:pStyle w:val="ListParagraph"/>
        <w:numPr>
          <w:ilvl w:val="0"/>
          <w:numId w:val="2"/>
        </w:numPr>
        <w:spacing w:after="60"/>
      </w:pPr>
      <w:r>
        <w:t xml:space="preserve">Guía de FY2026 recortada el 17-nov-2025, tres semanas después de publicarse, por la reforma brasileña del PAT: tope a la comisión de los comercios, plazos de reembolso más cortos e interoperabilidad [9].</w:t>
      </w:r>
    </w:p>
    <w:p>
      <w:pPr>
        <w:pStyle w:val="ListParagraph"/>
        <w:numPr>
          <w:ilvl w:val="0"/>
          <w:numId w:val="2"/>
        </w:numPr>
        <w:spacing w:after="60"/>
      </w:pPr>
      <w:r>
        <w:t xml:space="preserve">El 27-may-2026 la Fiscalía Nacional Económica de Chile demandó a Pluxee Chile por conductas anticompetitivas en 2013-2021; la nota no da importe [10]. En Francia, la sanción de competencia ya se provisionó con 127 M EUR en 2023 [1].</w:t>
      </w:r>
    </w:p>
    <w:p>
      <w:pPr>
        <w:pStyle w:val="ListParagraph"/>
        <w:numPr>
          <w:ilvl w:val="0"/>
          <w:numId w:val="2"/>
        </w:numPr>
        <w:spacing w:after="60"/>
      </w:pPr>
      <w:r>
        <w:t xml:space="preserve">Rotación del accionariado libre en 2026: Smallcap World Fund y Capital Research bajan de cerca del 5 % a casi cero, y entra Montefiore Investment con el 5 % [34].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17-nov-2025, tras la reforma del Programa de Alimentación del Trabajador (PAT) de Brasil, Pluxee rebajó su guía de FY2026 (sep-2025 a ago-2026): de un crecimiento orgánico de los ingresos totales de un dígito alto y +100 pb de margen EBITDA recurrente a </w:t>
      </w:r>
      <w:r>
        <w:rPr>
          <w:b/>
        </w:rPr>
        <w:t xml:space="preserve">ingresos estables en orgánico</w:t>
      </w:r>
      <w:r>
        <w:t xml:space="preserve">, una </w:t>
      </w:r>
      <w:r>
        <w:rPr>
          <w:b/>
        </w:rPr>
        <w:t xml:space="preserve">ligera mejora orgánica del margen EBITDA recurrente</w:t>
      </w:r>
      <w:r>
        <w:t xml:space="preserve"> y una conversión de caja recurrente de </w:t>
      </w:r>
      <w:r>
        <w:rPr>
          <w:b/>
        </w:rPr>
        <w:t xml:space="preserve">≈80 % de media en FY2024-FY2026</w:t>
      </w:r>
      <w:r>
        <w:t xml:space="preserve">, con hipótesis de peor caso (tope a la comisión a comercios, plazos de reembolso más cortos e interoperabilidad) [9]. La confirmó con el 1S (16-abr-2026) y con el 3T (3-jul-2026: −3,3 % orgánico en el trimestre; 967 M en nueve meses, +2,7 %) [5, 6]. La empresa espera que Brasil siga restando en el 1S FY2027 y que vuelva un crecimiento rentable sostenido desde el 2S FY2027 [5, 6, 9]. Resultados de FY2026: 29-oct-2026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12-oct-2026 (14 analistas)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12-oct-2026 (14 analistas)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12-oct-2026 (14 analistas) [42]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5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 – 22,00</w:t>
            </w:r>
          </w:p>
        </w:tc>
      </w:tr>
    </w:tbl>
    <w:p>
      <w:pPr>
        <w:spacing w:after="160" w:before="0"/>
      </w:pPr>
    </w:p>
    <w:p>
      <w:pPr>
        <w:pStyle w:val="Heading2"/>
      </w:pPr>
      <w:r>
        <w:t xml:space="preserve">Revisiones de estimaciones</w:t>
      </w:r>
    </w:p>
    <w:p>
      <w:pPr>
        <w:spacing w:after="100"/>
      </w:pPr>
      <w:r>
        <w:t xml:space="preserve">MarketScreener da una recomendación media de «Mantener» de 14 analistas y un precio objetivo medio de 15,88 EUR (entre 10,50 y 22,00), un 9,6 % por encima del cierre de 14,49 [43]. El desglose de recomendaciones sale de TipRanks, con la última opinión de nueve casas: comprar Kepler (18 EUR, may-2026) y Citi (22 EUR, dic-2025, desde 34); mantener J.P. Morgan (17,50 desde 15,50, 15-sep-2026), Jefferies (14,40 desde 11,90, 14-sep-2026), Morgan Stanley (15,50 desde 21, jul-2026), Barclays (16,50) y Bernstein; vender UBS (10) y Goldman Sachs (11 desde 17,50, feb-2026) [44]. Los grandes recortes siguen a la reforma brasileña de nov-2025; los dos últimos cambios, en septiembre, son al alza. El consenso espera ingresos planos en FY2026e y FY2027e (1.287 y 1.283 M) y un EBITDA estable en ≈475 M [42]. Solo una fuente gratuita da estimaciones completas y no publica su historial de revisiones.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Pluxee cotiza desde el 1-feb-2024, tras su escisión de Sodexo: solo hay 2,7 años de historia. Desde el máximo del 16-may-2024 llegó a perder un 66,8 % hasta el mínimo de 9,90 EUR del 27-mar-2026 [39]. En 2025 rentó un −26,3 % frente al +20,5 % del STOXX Europe 600 [39]. Las mayores caídas diarias del año tienen causa: el 12-nov-2025 (−6,7 %), cuando Brasil anunció la reforma del PAT, que llevó a rebajar la guía de FY2026 el 17-nov [9, 39]; y el 26-mar-2026 (−6,2 %), en el suelo [39]. Desde marzo rebota, apoyada en la recompra de 100 M EUR (8,35 M de acciones a 11,98 EUR de media) y en un 1S con margen EBITDA recurrente del 37,0 % [5, 40]: +8,1 % en 2026 frente a +9,3 % del índice [39]. En 12 meses, −1,9 % frente a +15,0 % [39]. En el registro de la AMF no hay ninguna posición corta abierta por encima del 0,5 % (la última, Citadel con 0,49 %, dejó de publicarse el 4-may-2026) [36].</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de ejercicio publicados desde la salida a bolsa del 1-feb-2024: 21,44 EUR a 30-ago-2024 y 17,40 EUR a 29-ago-2025 [39]. El cierre de FY2026 (16,06 EUR a 31-ago-2026) no tiene aún cuentas publicadas (salen el 29-oct-2026) [5, 39]. Con dos puntos, la comparación con la propia historia apenas informa: el descenso refleja la reforma brasileña, la bajada de tipos en Europa continental (que presiona los ingresos por float) [5, 9] y la rebaja de la guía, más que un cambio de calidad del negocio. Sin múltiplos NTM gratuitos de proveedor.</w:t>
      </w:r>
    </w:p>
    <w:p>
      <w:pPr>
        <w:pStyle w:val="Heading1"/>
      </w:pPr>
      <w:r>
        <w:t xml:space="preserve">18. Comparables cotizados</w:t>
      </w:r>
    </w:p>
    <w:p>
      <w:pPr>
        <w:pStyle w:val="Confianza"/>
        <w:spacing w:after="100"/>
      </w:pPr>
      <w:r>
        <w:t xml:space="preserve">Confianza: Media</w:t>
      </w:r>
    </w:p>
    <w:p>
      <w:pPr>
        <w:spacing w:after="100"/>
      </w:pPr>
      <w:r>
        <w:t xml:space="preserve">Seis cotizadas de vales de beneficios, tarjetas de empresa y pagos. Edenred es el único rival directo en vales y beneficios; Corpay y WEX, en tarjetas de flota y pagos corporativos; Nexi, Adyen y Global Payments, en procesamiento de pagos con ingresos por saldos de clientes y sensibilidad a tipos y regulación. Excluidas: Worldline (pérdidas y reestructuración), Sodexo (restauración colectiva, otro negocio tras la escisión), Up y Swile (no cotizan). Estimaciones y deuda neta de MarketScreener [42, 47, 48, 49, 50, 51, 52]; acciones de Stock Analysis [46, 53]; cierres del 9-oct-2026; dólares al cambio del BCE (1,1206)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 / 7,1x / 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 / 8,2x / 12,4x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13,7x / 17,0x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3,3x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(5 comparables): múltiplo = 5,8 + 0,23 × crecimiento; R² = 0,64. Para el crecimiento esperado de la empresa (-0,7 %), el múltiplo ajustado es 5,6x y el valor por acción, 10,45.</w:t>
      </w:r>
    </w:p>
    <w:p>
      <w:pPr>
        <w:spacing w:after="100"/>
      </w:pPr>
      <w:r>
        <w:t xml:space="preserve">Pluxee cotiza a 6,8x el EBITDA de los próximos 12 meses y a 10,1x el beneficio, frente a una mediana de 7,1x y 13,7x de los comparables: el PER es el más bajo de la muestra salvo Nexi [42, 47, 48, 49, 50, 51, 52]. Con la mediana de EV/EBITDA saldría a 15,35 EUR por acción y con la del PER a 19,73 EUR (17,54 EUR de media de los dos). La comparación es imperfecta: el valor empresa de Pluxee usa la visión operativa del flotante (deuda neta ajustada de 875 M), mientras que Edenred y Adyen restan la caja de clientes en el criterio de MarketScreener; con ese criterio, el EV/EBITDA de Pluxee bajaría a ≈1,9x [42]. Por eso el PER, que no depende del puente, es el múltiplo más limpio. La regresión múltiplo-crecimiento no se usa: seis puntos de modelos distintos (Adyen crece un 21,3 %). La mediana es frágil (6,5x-7,7x según el comparable que se quite): pesa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 1.150 M GBP (≈1.300 M EUR); ventas de 95 M GBP y EBITDA de 45 M GBP en 2023: 12,1 veces las ventas y 25,6 veces el EBITDA antes de sinergias (cálculo con la nota); 20 veces después de sinergias, según Edenred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 (procesamiento de pagos, países nórdicos y Centroeuropa)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por canje de acciones: VE de 7.800 M EUR y valor de las acciones de 6.000 M EUR, a múltiplos EV/EBITDA 2020e equivalentes a los de Nexi (≈20 veces), más un pago contingente de hasta 250 M EUR en acciones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Ingenico (terminales y pagos a comercios)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Worldline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mayoritariamente en acciones: valor de las acciones de 7.800 M EUR, ≈15 veces el EBITDA de 2020e según la guía, y prima del 24 % sobre la media ponderada de un mes. La nota no da el VE [57].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 Group International (divisas y cuentas para empresas,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Corpay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 ≈2.200 M USD (1.600 M GBP); 42,50 GBP por acción, prima del 55 % sobre el precio sin perturbar del 1-may-2025. La nota no publica múltiplos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Cobee (plataforma digital de beneficios, España, Portugal y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173 M EUR (121 M en efectivo y 53 M de pagos aplazados y contingentes, de los que se pagaron 30 M en mar-2025) por el 100 %, con 26 M de caja adquirida: VE ≈147 M (cálculo propio). Fondo de comercio de 123 M. Pluxee no publica las ventas ni el EBITDA de Cobee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 (17,5x – 22,8x)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51,44 – 69,39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con múltiplo publicado (Reward Gateway a 25,6x el EBITDA, Nets a ≈20x, Ingenico a ≈15x) son de crecimiento alto o de procesamiento de pagos con sinergias, y llevan prima de control [55, 56, 57]; las compras de beneficios para empleados de Pluxee (Cobee, 147 M de valor empresa) no publicaron múltiplo [1]. Aplicadas a Pluxee darían 59,91 EUR por acción, un valor sin sentido para un emisor de vales con riesgo regulatorio: no se ponderan (peso 0). La operación posible es otra: Bellon S.A. controla el 62,30 % de los votos y sube su participación con las recompras [1, 34]; una exclusión de bolsa por el accionista de control, con una prima del 30-50 %, es la vía de control verosímil, pero no hay ningún indicio publicado.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(+0,5 %, fijo): nueve meses publicados con 967 M (+2,3 % publicado, +2,7 % orgánico) y un 3T de −3,3 % orgánico; la guía es ingresos orgánicos estables [6]. FY2027e (−1,0 %): el tope brasileño del 3,6 % pesa todo el 1S FY2027 y la empresa espera volver a crecer en el 2S [6, 9]; el consenso da −0,3 % [42]. FY2028e-FY2031e (+5,0 % a +4,5 %): el volumen de beneficios para empleados crece un 6-8 % orgánico [6], pero el take-up rate no volverá al 5,1 % de FY2025 y la divisa de los emergentes resta; el consenso da +5,9 % en FY2028e [42]. Es la mitad del 15,2 % anual de FY2021-FY2025, que llevó inflación del valor facial y tipos altos en el flotante [1].</w:t>
      </w:r>
    </w:p>
    <w:p>
      <w:pPr>
        <w:keepNext/>
        <w:spacing w:after="100"/>
      </w:pPr>
      <w:r>
        <w:rPr>
          <w:b/>
          <w:bCs/>
        </w:rPr>
        <w:t xml:space="preserve">Márgenes.</w:t>
      </w:r>
    </w:p>
    <w:p>
      <w:pPr>
        <w:spacing w:after="100"/>
      </w:pPr>
      <w:r>
        <w:t xml:space="preserve">Margen EBITDA contable del 35,4 % en FY2026e (recurrente ≈37 %, guía de ligera mejora orgánica; 37,0 % en el 1S) y del 34,6 % en FY2027e, por el tope brasileño [5, 6]. Después, 34,8-35,0 % constante: la palanca operativa de los ingresos operativos se compensa con la bajada del rendimiento del flotante (6,1 % en el 1S FY2026, con la Selic y la lira turca en máximos), que hoy aporta 162 M, un tercio del EBITDA [1, 5]. Los otros gastos operativos (5-26 M al año) se tratan como recurrentes. Frente al consenso, el EBITDA queda entre −1,2 % y +1,5 % en FY2026e-FY2028e.</w:t>
      </w:r>
    </w:p>
    <w:p>
      <w:pPr>
        <w:keepNext/>
        <w:spacing w:after="100"/>
      </w:pPr>
      <w:r>
        <w:rPr>
          <w:b/>
          <w:bCs/>
        </w:rPr>
        <w:t xml:space="preserve">Inversión y circulante.</w:t>
      </w:r>
    </w:p>
    <w:p>
      <w:pPr>
        <w:spacing w:after="100"/>
      </w:pPr>
      <w:r>
        <w:t xml:space="preserve">Capex del 8,3 % de las ventas (7,6 % en FY2025, 9,6 % en FY2024; casi todo software) e incluye los pagos de arrendamientos (≈1 % de las ventas) [1]. Amortización del 8,6 % al 8,0 %, por debajo del capex en el último año. Circulante sin flotante del −27 % de las ventas (−27,0 % en FY2025 y −24,0 % en FY2024): el flotante (vales en circulación menos cuentas a cobrar ligadas) no entra en el circulante porque su caja no se cuenta como libre [1, 7]. Tipo impositivo del 30 % al 28 % (31,4 % en FY2025). No se proyectan compras: el crecimiento comprado (Cobee, Skipr) iría con su coste.</w:t>
      </w:r>
    </w:p>
    <w:p>
      <w:pPr>
        <w:keepNext/>
        <w:spacing w:after="100"/>
      </w:pPr>
      <w:r>
        <w:rPr>
          <w:b/>
          <w:bCs/>
        </w:rPr>
        <w:t xml:space="preserve">Coste del capital.</w:t>
      </w:r>
    </w:p>
    <w:p>
      <w:pPr>
        <w:spacing w:after="100"/>
      </w:pPr>
      <w:r>
        <w:t xml:space="preserve">Tasa libre del 3,53 %: Bund a 10 años del 9-oct-2026 (Bundesbank) [41]. Beta de 1,10: la ajustada semanal frente al STOXX 600 es 1,07, la mensual de 32 meses 1,30 y la de Edenred, 0,83-1,09 [39]. Prima de mercado del 5,5 % y </w:t>
      </w:r>
      <w:r>
        <w:rPr>
          <w:b/>
        </w:rPr>
        <w:t xml:space="preserve">prima adicional de 2,0 puntos</w:t>
      </w:r>
      <w:r>
        <w:t xml:space="preserve">: el 38 % de los ingresos viene de Latinoamérica (Brasil, México, Chile) y otro tanto de Turquía y Europa del este, con riesgo país de 2-4 puntos, más el riesgo regulatorio del producto [1]. Coste de la deuda del 3,71 % (bonos BBB+ a 2028 y 2032) [1, 7], peso del 30 % con la deuda neta ajustada operativa (875 M): el pasivo del flotante no es deuda financiera y no entra en el peso. WACC: 8,94 %.</w:t>
      </w:r>
    </w:p>
    <w:p>
      <w:pPr>
        <w:keepNext/>
        <w:spacing w:after="100"/>
      </w:pPr>
      <w:r>
        <w:rPr>
          <w:b/>
          <w:bCs/>
        </w:rPr>
        <w:t xml:space="preserve">Valor terminal.</w:t>
      </w:r>
    </w:p>
    <w:p>
      <w:pPr>
        <w:spacing w:after="100"/>
      </w:pPr>
      <w:r>
        <w:t xml:space="preserve">Crecimiento terminal del 2,5 % en euros: inflación de la zona euro (≈2 %) más un crecimiento real modesto, por debajo de la tasa libre menos medio punto (3,03 %). Los ingresos de emergentes crecen más en moneda local, pero se convierten con divisas que se deprecian. Múltiplo de salida de referencia de 7,0x el EBITDA, en la mediana de los comparables (7,1x) [42]. El valor terminal pesa un 66 %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 (hoy: 25,0 %)</w:t>
            </w:r>
          </w:p>
        </w:tc>
      </w:tr>
    </w:tbl>
    <w:p>
      <w:pPr>
        <w:spacing w:after="160" w:before="0"/>
      </w:pPr>
    </w:p>
    <w:p>
      <w:pPr>
        <w:spacing w:after="100"/>
      </w:pPr>
      <w:r>
        <w:t xml:space="preserve">La proyección apenas necesita inversión neta de la amortización (reinversión acumulada de -103 M, con un capex bruto medio del 8,3 % de las ventas). En un negocio de activos ligeros, el crecimiento medio del 3,3 % tiene que salir de subir precios y de ganar volumen sin capital nuevo, y la prueba es el poder de precios y la cuota (21,1 % del mercado en FY2030e, frente al 25,0 %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BVI de beneficios para empleados +6,6 % orgánico en 9 meses [6], menos la caída de beneficios públicos y de otros productos (−14,3 %). Precio: tope del 3,6 % en Brasil desde el 3T y take-up rate del 5,0 % frente al 5,1 % [5, 6]. Otros: perímetro (+0,9 %) y divisa (−0,8 % en 9 meses)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nuevos clientes y subida del valor facial (Bélgica a 10 EUR, Rumanía a 45 RON) [20, 21]. Precio: año completo del tope brasileño en el 1S y reembolso a 15 días, que reduce el flotante en Brasil [16]. Otros: depreciación de BRL y TRY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(6-8 %) menos pérdidas de concursos públicos [1]. Precio: venta cruzada y servicios de valor añadido; sin nuevos topes. Otros: divisa de emergentes. El consenso da +5,9 % [42].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FY2028e: el título digital obligatorio en Francia desde 2028 amplía el uso, pero la comisión puede quedar topada por decreto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Desaceleración gradual hacia el terminal; cuota implícita del 21,1 % frente al 25 % de hoy (pierde cuota en el caso base).</w:t>
            </w:r>
          </w:p>
        </w:tc>
      </w:tr>
    </w:tbl>
    <w:p>
      <w:pPr>
        <w:spacing w:after="160" w:before="0"/>
      </w:pPr>
    </w:p>
    <w:p>
      <w:pPr>
        <w:spacing w:after="100"/>
      </w:pPr>
      <w:r>
        <w:t xml:space="preserve">En parte. Pluxee no necesita capital para crecer (la reinversión neta acumulada es de −103 M, porque el circulante sin flotante es negativo), así que la prueba es el poder de precios y la cuota. El volumen sí está demostrado: +6,6 % orgánico en nueve meses de FY2026 y retención neta del 100 % [1, 6]. El precio no: el tope brasileño del 3,6 %, el italiano del 5 % y la ley francesa que permite topar la comisión por decreto muestran que el regulador fija la tarifa [14, 16, 18]. El caso base (3,3 % anual de media, la mitad que su mercado) supone perder cuota del 25 % al 21,1 % del mercado en FY2030e (mercado en ingresos equivalentes: estimación propia, 5.148 M en 2025 creciendo al 6,5 % de B), y un precio que solo sube un 1,5-2 % al año desde FY2028e. Por eso está por debajo de lo que pide la prueba de volumen.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26,4 %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 (WACC: 8,9 %)</w:t>
            </w:r>
          </w:p>
        </w:tc>
      </w:tr>
    </w:tbl>
    <w:p>
      <w:pPr>
        <w:spacing w:after="160" w:before="0"/>
      </w:pPr>
    </w:p>
    <w:p>
      <w:pPr>
        <w:spacing w:after="100"/>
      </w:pPr>
      <w:r>
        <w:t xml:space="preserve">El DCF da 24,43 EUR por acción, un 68,6 % por encima del cierre de 14,49 EUR, con un WACC del 8,94 % y un valor terminal que pesa el 66 %. La sensibilidad va de 17,93 EUR (WACC 9,9 %, terminal 1,5 %) a 36,66 EUR. El DCF inverso es la clave: el precio descuenta una caída de los ingresos del −1,4 % anual en FY2027e-FY2033e (frente al +3,7 % del caso base y al +15,2 % anual de FY2021-FY2025), o un margen EBITDA del 26,4 % (frente al 35,0 %), o una rentabilidad anual del 11,8 %. Es decir, el mercado valora a Pluxee como un negocio en declive regulatorio: cree que Brasil, Francia e Italia recortarán la comisión y que el rendimiento del flotante bajará, y que nada de eso se compensa con volumen. Nuestro caso base ya incluye un año de caída, márgenes planos y pérdida de cuota, y sigue dando un 68,6 % de recorrido. </w:t>
      </w:r>
      <w:r>
        <w:rPr>
          <w:b/>
        </w:rPr>
        <w:t xml:space="preserve">El valor depende del trato del flotante</w:t>
      </w:r>
      <w:r>
        <w:t xml:space="preserve">: con la caja neta que publica la empresa (1.270 M) habría que sacar del EBITDA los ingresos del flotante; las dos vías dan un valor parecido, pero la diferencia de puente equivale a unos 15 EUR por acción [7]. Con un rendimiento del flotante 100 pb menor, el DCF bajaría unos 2,3 EUR (estimación propia).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topa por decreto la comisión al comercio tras la ley del título restaurante, Brasil exige una segunda ronda (interoperabilidad plena con pérdida de cuota y reembolso más corto) y los tipos de Brasil y Turquía caen 400-500 pb. Es lo que ya le pasó a la empresa en Brasil en noviembre de 2025 (guía recortada de un dígito alto a cero) [9]: crecimiento 3 puntos menor, margen 5 puntos menor, WACC +0,5 y terminal del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resta hasta el 1S FY2027 y la empresa vuelve a crecer un 5 % desde FY2028e con volumen y valor facial; Francia digitaliza el título en 2028 sin tope de comisión inmediato; el rendimiento del flotante baja y compensa la palanca operativa (margen EBITDA del 35 %).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francesa sale sin tope de comisión y el título digital amplía el uso diario en supermercados; Brasil se estabiliza y la venta cruzada (Skipr, Cobee, bienestar) eleva el take-up rate: crecimiento 1,5 puntos mayor y margen 1,5 puntos mayor, cerca de la guía previa a la reforma brasileña.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4,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21,49 EUR (+48,3 %).</w:t>
      </w:r>
    </w:p>
    <w:p>
      <w:pPr>
        <w:spacing w:after="100"/>
      </w:pPr>
      <w:r>
        <w:t xml:space="preserve">El alcista vale 29,88 EUR (+106,2 %) y el bajista 11,01 EUR (−24,0 %): la asimetría es de 4,42 veces. El bajista no es cosmético: suma un tope francés, una segunda ronda en Brasil y una caída de tipos, y queda en 11,01 EUR, por encima del mínimo de 52 semanas (9,90 EUR, 27-mar-2026) [39]. Con un 30 % de probabilidad en el bajista, el valor ponderado es de 21,49 EUR (+48,3 %). Compensa: incluso con probabilidades de 50, 35 y 15 % el valor ponderado seguiría por encima del precio (estimación propia: ≈18,5 EUR).</w:t>
      </w:r>
    </w:p>
    <w:p>
      <w:pPr>
        <w:pStyle w:val="Heading1"/>
      </w:pPr>
      <w:r>
        <w:t xml:space="preserve">22. Suma de partes</w:t>
      </w:r>
    </w:p>
    <w:p>
      <w:pPr>
        <w:pStyle w:val="Confianza"/>
        <w:spacing w:after="100"/>
      </w:pPr>
      <w:r>
        <w:t xml:space="preserve">Confianza: Media</w:t>
      </w:r>
    </w:p>
    <w:p>
      <w:pPr>
        <w:spacing w:after="100"/>
      </w:pPr>
      <w:r>
        <w:t xml:space="preserve">No aplica: un solo negocio (beneficios para empleados y otros programas sobre la misma plataforma), con tres regiones que comparten modelo, márgenes parecidos (Europa continental 35,0 %, Latinoamérica 42,3 %, resto 28,5 % de EBITDA en FY2025) y los mismos comparables [1]. Separarlas no añade información sobre el valor.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4,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22,02 EUR (+52,0 % sobre 14,49).</w:t>
      </w:r>
    </w:p>
    <w:p>
      <w:pPr>
        <w:spacing w:after="100"/>
      </w:pPr>
      <w:r>
        <w:t xml:space="preserve">El DCF pesa un 45 % y los escenarios un 35 %: el valor de Pluxee está en la caja que genera un negocio de activos ligeros y en cuánto la recortan los reguladores, y los escenarios recogen ese riesgo de forma explícita. Los comparables pesan un 20 % porque la muestra es frágil (la mediana va de 6,5x a 7,7x según el que se quite) y porque cada empresa trata la caja de clientes a su manera. Las transacciones no se ponderan (59,91 EUR, con prima de control y múltiplos de procesadores). El puente usa la visión operativa: deuda financiera de 1.233 M más 57 M de arrendamientos menos 458 M de caja propia a feb-26; se suman 38 M de recompras pagadas después del balance (las acciones ya son las de después) y 5 M de pensiones; minoritarios a 10 veces su beneficio de FY2025 (21 M: 210 M frente a 97 M contables; Santander tiene el 20 % de Pluxee Brasil) y 6 M de asociadas [1, 7, 40]. La dispersión es alta (DCF 24,43 EUR frente a comparables 17,54 EUR), pero todos los métodos quedan por encima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r>
    </w:tbl>
    <w:p>
      <w:pPr>
        <w:spacing w:after="160" w:before="0"/>
      </w:pPr>
    </w:p>
    <w:p>
      <w:pPr>
        <w:spacing w:after="100"/>
      </w:pPr>
      <w:r>
        <w:rPr>
          <w:b/>
          <w:bCs/>
        </w:rPr>
        <w:t xml:space="preserve">Objetivo a 12 meses (ponderado):</w:t>
      </w:r>
      <w:r>
        <w:t xml:space="preserve"> 15,31 EUR · rentabilidad +8,2 % (base +11,0 %) · señal Mantener.</w:t>
      </w:r>
    </w:p>
    <w:p>
      <w:pPr>
        <w:keepNext/>
        <w:spacing w:after="100"/>
      </w:pPr>
      <w:r>
        <w:rPr>
          <w:b/>
          <w:bCs/>
        </w:rPr>
        <w:t xml:space="preserve">Frente al consenso (solo contraste).</w:t>
      </w:r>
    </w:p>
    <w:p>
      <w:pPr>
        <w:spacing w:after="100"/>
      </w:pPr>
      <w:r>
        <w:t xml:space="preserve">Nuestro BPA base de FY2028e (1,57) se separa un -0,6 % del consenso (1,58) y nuestro precio base (15,70) un -1,1 % del objetivo medio de los analistas (15,88).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22,02 (+52,0 %) frente al objetivo a 12 meses ponderado 15,31 (+8,2 % con dividendo; base +11,0 %). La distancia pasa del 25 %: la tesis del valor intrínseco es a más de un año.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 y siguientes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Pleno de la Asamblea Nacional: proposición de ley 2892 del título restaurante (texto de comisión n.º 3274, 79 enmiendas) [13,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tope de comisión fijado en la ley o por decreto recorta el precio en Francia (12 % de los ingresos); sin tope, despeja el riesgo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primera guía de FY2027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el impacto de Brasil en el 1S FY2027 y el balance de ago-26 (flotante y caja propia)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plena de las redes del PAT en Brasil (360 días desde el decreto 12.712)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pérdida de cuota y de flotante en Brasil (28,9 % de los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anual (dividendo, recompra, política de remuneración)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nueva recompra con la caja propia reduce acciones; voto libre en contra de la remuneración (43,8 % en 2024) [29,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en el Senado de la ley del título restaurante y decreto de aplicación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hay tope de comisión antes de la digitalización obligatoria de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vuelta al crecimiento prometida para el 2S FY2027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juicio de la multa francesa de 127 M ante el Tribunal de Apelación de París tras la anulación en Casación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absolución devolvería hasta 127 M (≈0,9 EUR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comisión al comercio en Francia por decreto (nuevo art. L.3262-1-3) [14]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(estimación propia: un tercio menos de take-up rate en Francia)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dictamen de la Autoridad de la Competencia y seis meses de adaptación; la digitalización amplía el uso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Texto adoptado por la Asamblea y el Senado; consulta de la Autoridad de la Competencia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Segunda ronda en Brasil: interoperabilidad, portabilidad y reembolso a 15 días (28,9 % de los ingresos) [16, 17]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(escenario bajista: −24 % frente al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Santander; la empresa ya incluyó un peor caso en la guía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Latinoamérica por debajo de −5 % en el 1S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rendimiento del flotante (162 M de ingresos, un tercio del EBITDA, al 6,0 %)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(tipos)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100 pb (estimación propia: −2,3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plazo y crecimiento del volumen del flotante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medio del flotante por debajo del 5 %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emergentes (BRL, TRY, MXN) [6]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una depreciación media del 10 %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moneda local: afecta al valor, no al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por debajo de −5 % en los ingresos publicados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concursos públicos y de grandes cuentas (Rumanía, Chile, Austria, Bélgica) [4, 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del 100 % en FY2025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por debajo del 97 %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 accionista de control: presidente y director financiero empleados de Bellon S.A.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control; una exclusión a precio bajo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independientes de diez y consejero coordinador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Bellon por encima del 50 % o propuesta de exclusión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de competencia: multa francesa (127 M, en nuevo juicio), Chile (FNE, may-2026), República Checa [1, 10]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francesa provisionada y pagada a plazos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pedido por la FNE chilena</w:t>
            </w:r>
          </w:p>
        </w:tc>
      </w:tr>
    </w:tbl>
    <w:p>
      <w:pPr>
        <w:spacing w:after="160" w:before="0"/>
      </w:pPr>
    </w:p>
    <w:p>
      <w:pPr>
        <w:pStyle w:val="Heading2"/>
      </w:pPr>
      <w:r>
        <w:t xml:space="preserve">Pre-mortem</w:t>
      </w:r>
    </w:p>
    <w:p>
      <w:pPr>
        <w:spacing w:after="100"/>
      </w:pPr>
      <w:r>
        <w:t xml:space="preserve">Octubre de 2029: Pluxee cotiza a 8,70 EUR, un 40 % menos. Primero, la Asamblea aprobó en octubre de 2026 la reforma del título restaurante con el artículo que permite topar la comisión por decreto, y el Gobierno, presionado por la restauración y los supermercados, fijó en 2027 un tope del 2,5 %, como el de Brasil en 2025. Francia, con márgenes altos, perdió un tercio de sus ingresos operativos. Segundo, la interoperabilidad brasileña de noviembre de 2026 abrió las redes a los procesadores de tarjetas: Pluxee perdió cuota en Brasil y el reembolso a 15 días redujo el flotante. Tercero, la Selic bajó al 9 % y la lira turca se estabilizó con tipos más bajos: los ingresos del flotante cayeron de 162 a 110 M. El EBITDA volvió a 400 M y el mercado dejó de creer en el regreso al crecimiento del 2S FY2027. Bellon aprovechó para comprar en mercado y el free float se secó. Señales que lo habrían anticipado: el texto adoptado en el pleno con el artículo L.3262-1-3, un crecimiento orgánico de Latinoamérica por debajo de −5 % en el 1S FY2027 y un rendimiento del flotante por debajo del 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17,38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2025-08</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Medalla de oro (5 % mejor de su sector)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2025-08</w:t>
            </w:r>
          </w:p>
        </w:tc>
      </w:tr>
    </w:tbl>
    <w:p>
      <w:pPr>
        <w:spacing w:after="160" w:before="0"/>
      </w:pPr>
    </w:p>
    <w:p>
      <w:pPr>
        <w:pStyle w:val="Heading2"/>
      </w:pPr>
      <w:r>
        <w:t xml:space="preserve">Asuntos materiales</w:t>
      </w:r>
    </w:p>
    <w:p>
      <w:pPr>
        <w:spacing w:after="100"/>
      </w:pPr>
      <w:r>
        <w:t xml:space="preserve">Sustainalytics sitúa su riesgo ESG en 17,38, categoría baja [27]. Para Pluxee los asuntos ESG que mueven cifras son sociales y de gobierno, no climáticos. El primero es la ética de la competencia: Pluxee France y Sodexo fueron multadas con 126 M EUR en 2019 en Francia (provisión de 127 M EUR), la Casación anuló la condena en octubre de 2025 y devolvió el caso a apelación, y hay demandas de comercios por daños; además, 132 M CZK en la República Checa y la demanda chilena de 2026 [1, 10]. El segundo, la seguridad de datos y pagos de 37 millones de usuarios y 4 millones de transacciones diarias [1]. El tercero, la utilidad social del producto, que sostiene la ventaja fiscal (2.655 M EUR de coste público en Francia en 2025) [15]. Las emisiones son pequeñas: 31.210 t CO₂ (24,3 t por millón de EUR de ingresos); objetivo de −65 % en 2030 frente a 2017, con −23 % logrado, y cero neto validado por SBTi en 2035 [1].</w:t>
      </w:r>
    </w:p>
    <w:p>
      <w:pPr>
        <w:pStyle w:val="Heading2"/>
      </w:pPr>
      <w:r>
        <w:t xml:space="preserve">Controversias</w:t>
      </w:r>
    </w:p>
    <w:p>
      <w:pPr>
        <w:spacing w:after="100"/>
      </w:pPr>
      <w:r>
        <w:t xml:space="preserve">Competencia: multa francesa de 126 M EUR (2019, confirmada en apelación en 2023, anulada en Casación el 15-oct-2025 y devuelta a un nuevo tribunal); multa checa de 132 M CZK (≈5,4 M EUR) reimpuesta el 30-jul-2025 y recurrida; demanda de la FNE chilena ante el TDLC el 27-may-2026 por conductas de 2013-2021 [1, 10]. Pluxee asumió frente a Sodexo el riesgo del caso francés en la escisión [1]. En Brasil el CADE investiga las retrocomisiones del sector tras denuncia de Flash y Swile [17].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operativos de Francia es comisión al comercio y qué pasaría con un tope del 2,5 %?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texto de comisión permite el tope por decreto [14]; es el riesgo de mayor efecto en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flotante saldrá de Brasil con el reembolso a 15 días y qué cuota se espera tras la interoperabilidad?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es el 28,9 % de los ingresos y el flotante brasileño rinde a tipos de dos dígitos [1,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sensibilidad tienen los ingresos del flotante a 100 pb de tipos por país y qué plazo tienen las inversiones?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flotante son un tercio del EBITDA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flujo libre recurrente incluye la variación de la caja restringida (+99 M en FY2025) si la definición dice que la excluye?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 la conversión de FY2025 sería del 68 % y no del 89 %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uso se dará a los 458 M de caja propia: recompras, dividendos o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(7 %) está por debajo del WACC y la recompra de 100 M terminó en mayo [40].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Bellon S.A. intención de superar el 50 % del capital o de excluir la acción?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Controla el 62,30 % de los votos y su porcentaje sube con cada amortización [1, 34].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presidente ejecutivo y el director financiero son empleados de Bellon S.A. cedidos, con un contrato de servicios de 2,1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Operación vinculada recurrente y riesgo de conflicto con los minoritarios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PLUXEE (hilos de julio a 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 poco activo. Tras el 3T pasó del desánimo de primavera («¿queda alguien en este foro?») a hablar de «recovery» y de una valoración muy inferior a la de Edenred; varios recogieron plusvalías al superar los 15 euros y en septiembre se habla de volver a comprar más abajo. En octubre el debate es casi solo fiscal: el precio de adquisición heredado de la escisión de Sodexo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EDENRED (comparable directo, julio-septiembre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más activo que el de Pluxee. Gira en torno a una posible OPA de fondos sobre Edenred, la entrada de un inversor conocido por encima del 5 % del capital y la retirada de los bajistas; la regulación se trata como un riesgo ya descontado. Es el termómetro del sector y Pluxee se mueve a su rebufo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Zonebourse, ficha y noticias de Pluxee (julio-octubre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comentarios de usuarios. La prensa recoge el salto del 3 de julio por un 3T mejor de lo esperado, la mejora de Morgan Stanley a mediados de julio y, el 8 de octubre, que la reforma francesa del título restaurante es menos dura de lo temido (sin tope de comisiones por ahora) pero el sector sigue presionado [62, 63,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(reforma del PAT y tope de comisiones)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lo ven como la causa del castigo y dicen que hay que esperar al segundo semestre para medir el impacto; tienen razón en el calendario: en el 3T los ingresos operativos de Latinoamérica cayeron un 5,6 % orgánico por el tope del 3,6 % a la tasa de descuento, y la propia empresa prevé impacto también en el 1S FY2027 y vuelta al crecimiento desde el 2S FY2027 [6]. Ningún comentario cuantifica el efecto ni discute las medidas de eficiencia anunciadas.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baja frente a Edenred, caja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argumento alcista más repetido («valoración ridícula», «menos valorada que sus pares»). Los datos lo respaldan en parte: caja financiera neta de 1.270 millones de euros a 28 de febrero de 2026 [5] y un PER estimado en torno a 10 veces con consenso «mantener» [63]; pero el descuento frente a Edenred también refleja el mayor peso de Brasil, que el foro reconoce.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 francesa del título restaurante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Sorprende lo poco que aparece en el foro de Pluxee (una mención al «próximo presupuesto en Francia» como último riesgo pendiente) para un tema que se debate en la Asamblea Nacional el 12 de octubre. La prensa indica que el texto aprobado en comisión desmaterializa el título en 2028, elimina descuentos de fin de año y no topa por ahora las comisiones, pero el mercado sigue presionando al sector porque el riesgo de enmiendas no ha desaparecido [62].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Contagio del sector y especulación corporativa en Edenred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Edenred por rumores de OPA y la entrada de un inversor relevante arrastró a Pluxee en julio y agosto [61]. En Pluxee el foro no plantea una operación propia; la familia Bellon como accionista de referencia hace poco probable una OPA hostil, así que el contagio es más de múltiplo que de prima de control.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Recogida de beneficios y niveles de 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subir un 32 % en seis meses, el valor cede un 6 % en el último mes [63]; los foreros que vendieron por encima de 15 euros y los que esperan recomprar más abajo describen bien esa fase. Es lectura técnica sin relación con los fundamentales del 3T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Acumulación de frentes regulatorios (Brasil, Turquía, Francia, Chile)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Aparece como queja de fondo («la mala suerte se ensaña con la empresa»). El frente chileno es real: la autoridad de competencia demandó a la filial por conductas de 2013-2021 [10]; ningún comentario de los tres últimos meses lo vuelve a mencionar, pese a que el riesgo sigue abierto.</w:t>
            </w:r>
          </w:p>
        </w:tc>
      </w:tr>
    </w:tbl>
    <w:p>
      <w:pPr>
        <w:spacing w:after="160" w:before="0"/>
      </w:pPr>
    </w:p>
    <w:p>
      <w:pPr>
        <w:spacing w:after="100"/>
      </w:pPr>
      <w:r>
        <w:t xml:space="preserve">El sentimiento de los particulares mejora pero no es eufórico: del abandono de primavera se ha pasado a una recuperación prudente, con recogida de beneficios cuando el valor tocó máximos del año. Coincide con el consenso de analistas («mantener»): ambos ven valor en la caja y el múltiplo, pero esperan pruebas de que Brasil toca fondo. Lo más llamativo es el silencio sobre la reforma francesa en vísperas del debate parlamentario: si las enmiendas introdujeran un tope de comisiones, el foro no lo tiene descontado, aunque la prensa sí lo señala como riesgo. El foro de Pluxee es pequeño y depende del de Edenred, así que su señal es débil; no anticipa ningún riesgo que el análisis no recoja. El catalizador que vigilan son los resultados del 29 de octubre.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20 de 25 controles correctos y 3 explicados. Fuentes: 64 (35 primarias); citas distintas en el texto: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49,1 %: explica la causa (créditos fiscales, regularizaciones, mezcla de países) y no lo proyectes en el DCF. Explicación: FY2023 (cuentas combinadas) lleva el efecto del litigio con la autoridad de competencia francesa (provisión de 127 M), según la propia empresa [2]: el tipo del 49,1 % no se proyecta; el DCF usa un 28-30 %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39,6 %: explica la causa (créditos fiscales, regularizaciones, mezcla de países) y no lo proyectes en el DCF. Explicación: Costes únicos de la escisión de Sodexo en FY2024 (39,6 %), según la propia empresa; en FY2025 bajó al 31,4 % por la mezcla de países y la integración de Ben y Cobee [1, 2]. El DCF usa un 28-30 %.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21,1 % en FY2030e frente al 25,0 %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-27,0 % frente a -27,0 %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6,5x a 7,7x según qué comparable se quite (13,39 a 17,31 por acción): la muestra es frágil; explícalo y no le des mucho peso. Explicación: Con seis comparables de modelos distintos, la mediana se mueve de 6,5x a 7,7x según el que se quite: por eso los comparables pesan solo un 20 %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-1,1 %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 del PER en la misma base que el actual (regla v3)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per_historico no lleva base: "adelantado" (precio de cierre ÷ BPA del año siguiente): el motor aplica la regla v2 antigua, sesgada contra las empresas baratas. En un informe nuevo, rellena la historia adelantada.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«Mantener» y el análisis recomienda «Comprar»: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54,6 %, asimetría de 4,42, bajista del -24,0 % y el precio descuenta 5,1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fuentes (35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Pluxee: solo webcast, sin transcripción en texto; 2) búsqueda web de la transcripción del 3T FY2026 y del 1S FY2026; 3) resumen de Quartr: sin preguntas de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usa las notas de prensa y el resumen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trimestrales: solo ingresos; 2) informes semestrales: EBITDA solo por semestre; 3) sin consenso previo publicado por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EBITDA semestral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y acciones de FY2021-FY2022; coste_ventas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cuentas combinadas sin acciones (antes de la escisión); 2) informe anual FY2024: BPA de FY2023 de 0,55 EUR sin número de acciones medio comparable; 3) la cuenta presenta una sola línea de gastos operativos, sin coste de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Upcoop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«Upcoop en bref 2025-2026» con descargar.mjs: 403; 2) Reporting de durabilidad Upcoop 2025: 403; 3) WebFetch del folleto: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Swile, Alelo y VR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cuentas 2025 de Swile: solo prensa de 2024 sin ingresos verificables; 2) Alelo y VR no publican cuentas separadas (prensa brasileña InvestNews); 3) Rapport 3274 de la Asamblea: solo multas de 2019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(grep MSCI): no la publica; 2) Búsqueda web: MarketScreener muestra la sección sin la nota; 3) Saxo solo da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Pluxee en Brasil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«líder en 17 países» sin cuotas; 2) Prensa brasileña (InvestNews): solo la cuota conjunta de los cuatro incumbentes (≈80 %); 3) Presentación de Edenred 2025: solo su cuota relativa en movilidad en Brasil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 del CEO, del CFO y de los demás miembros del comité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FY2025: solo da las acciones de los consejeros (el CEO y el CFO no lo son); 2) registro de operaciones de directivos de la AFM: solo la entrega de 51.723 acciones al CEO el 2-mar-2026, sin saldo; 3) BDIF de la AMF: sin declaraciones (el emisor es neerlandés y notifica a la AFM)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política de remuneración por los accionistas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Orden del día y resultados de las juntas de 2024 y 2025: no incluyen la política; 2) acta de 2024: la política se adoptó el 31-ene-2024, con Sodexo como accionista único; 3) informe anual de FY2025: confirma que no hubo cambios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nunca se ha votado con accionistas libres; la junta de diciembre de 2026 es posterior a la fecha de corte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 estimaciones y desglose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Investing.com (pluxee-consensus-estimates): 404; 2) Investing.com (pluxee-nv-consensus-estimates): 404; 3) TipRanks: desglose de la última opinión de 9 casas y PO, sin estimaciones completas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el gráfico de revisiones es una imagen; 2) TipRanks: solo cambios de precio objetivo por casa; 3) prensa (Simply Wall St) sin cifras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las compras de beneficios para empleados de 2024-2026 (Cobee, Benefício Fácil, Skipr, ProEves, Spirii, Greenpass)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3 del informe anual FY2025 de Pluxee: solo contraprestación y fondo de comercio; 2) informe del 1S FY2026: sin ventas ni EBITDA de Skipr y ProEves; 3) notas de Edenred del 7-oct (sus transacciones solo tienen múltiplo en 2020-2023) y nota de Reward Gateway: nada posterior con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(foros anglosajones y comentarios de Investing.com)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Seeking Alpha (PLUXF) y Stocktwits (PLX.PA) por acceso directo: 403 y 404; 2) Investing.com Francia, página de comentarios de Pluxee: 403 con curl y 404 con WebFetch; 3) Zonebourse/MarketScreener: la ficha no muestra comentarios de usuarios; ABC Bourse sin URL de foro localizable; Reddit no se intentó por estar bloqueado para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en la prensa sobre la reforma francesa del título restaurante (Les Echos, Boursier,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Zonebourse, artículo del 8 de octubre: sin comentarios de lectores; 2) Zonebourse, análisis de AlphaValue del 14 de septiembre: de pago, solo el titular; 3) foro de Edenred en Boursorama como sustituto: trata la regulación solo de pasada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Pluxee Fiscal 2025 Annual Report (cuentas consolidadas y notas, ejercicio a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https://www.pluxeegroup.com/sites/g/files/jclxxe221/files/2025-10/PLX_Pluxee_Fiscal_2025_Annual_Report_0.pdf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Pluxee Annual Report Fiscal 2024 (cuentas consolidadas, ejercicio a 31-ago-2024)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https://www.pluxeegroup.com/sites/g/files/jclxxe221/files/2024-10/Pluxee_Annual_Report_2024.pdf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admisión a cotización (escisión de Sodexo), con estados combinados FY2021-FY2023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https://www.pluxeegroup.com/sites/g/files/jclxxe221/files/2024-01/Pluxee%20-%20Prospectus_compressed.pdf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Fiscal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https://www.globenewswire.com/news-release/2025/10/30/3177048/0/en/Pluxee-Fiscal-2025-Results.html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delivers strong margin expansion and cash generation in H1 Fiscal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https://mfn.se/one/a/pluxee/pluxee-delivers-strong-margin-expansion-and-cash-generation-in-h1-fiscal-2026-reaffirming-all-full-year-objectives-c55fd1ff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reports Q3 Fiscal 2026 performance in line with expectations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https://mfn.se/one/a/pluxee/pluxee-reports-q3-fiscal-2026-performance-in-line-with-expectations-and-confirms-its-financial-objectives-64d29387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First Half Fiscal 2026 Financial Report (estados intermedios a 28-feb-2026)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https://www.pluxeegroup.com/sites/g/files/jclxxe221/files/2026-04/PLX_Pluxee_First_Half_Fiscal_2026_Financial_Report.pdf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Fiscal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https://www.pluxeegroup.com/sites/g/files/jclxxe221/files/2024-10/PR-Pluxee-FY2024Results.pdf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maintains positive outlook for Fiscal 2026 after regulatory reform announced in Brazil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https://www.pluxeegroup.com/sites/g/files/jclxxe221/files/2025-11/PR_Pluxee%20maintains%20positive%20outlook%20for%20Fiscal%202026.pdf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acknowledges the filing of a claim by the Chilean Competition Authority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https://mfn.se/one/a/pluxee/pluxee-acknowledges-the-filing-of-a-claim-by-the-chilean-competition-authority-cd6a2699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(PLX) Q3 2026 trading update: resumen de la llamada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https://quartr.com/events/pluxee-n-v-plx-q3-2026-tu_FLNhf4kh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acknowledges the Brazilian government's communication on the Workers' Food Program (PAT)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https://www.pluxeegroup.com/sites/g/files/jclxxe221/files/2025-11/PR_Pluxee%20Groupe_Pluxee%20acknowledges%20the%20Brazilian%20government%E2%80%99s%20communication%20on%20the%20Workers%E2%80%99%20Food%20Program%20%28PAT%29_0.pdf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https://www.assemblee-nationale.fr/dyn/17/dossiers/moderniser_fonctionnement_titre_restaurant_17e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Texte de la commission des affaires sociales n.º 3274 (proposition de loi n.º 2892)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https://www.assemblee-nationale.fr/dyn/opendata/PIONANR5L17BTC3274.html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3274 de la commission des affaires sociales sur la proposition de loi relative au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https://www.assemblee-nationale.fr/dyn/17/rapports/cion-soc/l17b3274_rapport-fond.pdf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Decreto n.º 12.712, de 11 de noviembre de 2025 (modifica el Programa de Alimentação do Trabalhador)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Presidência da República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https://www.planalto.gov.br/ccivil_03/_ato2023-2026/2025/decreto/d12712.htm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do vale-refeição: como as novas regras estão desafiando as gigantes Alelo, VR e Ticket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https://investnews.com.br/negocios/beneficios-novas-regras/amp/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Buoni pasto, da 1 settembre tetto 5% sulle commissioni alle imprese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 TG24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https://tg24.sky.it/economia/2025/08/29/buoni-pasto-tetto-commissioni-imprese-novita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Titres-repas: augmentation de la contribution maximale de l'employeur (Conseil des ministres)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Gouvernement fédéral belge (news.belgium.be)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https://news.belgium.be/fr/node/41457/pdf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Chèques-repas: montant maximal porté à 10 euros à partir du 1er janvier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Union des Villes et Communes de Wallonie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https://www.uvcw.be/no_index/articles-pdf/download/10116.pdf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Majorarea valorii maxime a tichetelor de masă la 45 lei, începând cu cele aferente lunii noiembrie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Avocatnet.ro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https://www.avocatnet.ro/t11940/valoare-tichet-de-masa.html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Meal Vouchers - Global Strategic Business Report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https://www.gii.tw/report/go1747717-meal-vouchers.html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Meal Voucher Market Size to Hit USD 105.56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https://www.globenewswire.com/en/news-release/2023/12/13/2795300/0/en/Meal-Voucher-Market-Size-to-Hit-USD-105-56-Billion-by-2030-Exclusive-Report-by-Fortune-Business-Insights.html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https://www.edenred.com/system/files/documents/2026-02-24-fy-2025-results-presentation-vdef.pdf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First-half 2026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https://www.edenred.com/system/files/documents/pr-23-07-2026-edenred-h1-2026-final-version.pdf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licorne tricolore Swile franchit un cap crucial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Presse-citron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https://www.presse-citron.net/la-licorne-tricolore-swile-franchit-un-cap-crucial/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(PLX:xpar): ESG risk (Sustainalytics, datos de Morningstar)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https://www.home.saxo/en-gb/markets/stocks/plx-xpar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552 sur la proposition de loi relative à l'utilisation des titres-restaurant (Commission des affaires économiques)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https://www.assemblee-nationale.fr/dyn/17/rapports/cion-eco/l17b0552_rapport-fond.pdf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17 December 2025 – Vote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https://www.pluxeegroup.com/sites/g/files/jclxxe221/files/2026-01/Voting%20results.pdf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18 December 2024 – Vote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https://www.pluxeegroup.com/sites/g/files/jclxxe221/files/2024-12/Voting-results.pdf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Annual General Meeting of 18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https://www.pluxeegroup.com/sites/g/files/jclxxe221/files/2025-06/AGM_20241218_PluxeeGroup_Final_minutes.pdf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Fiscal 2025 Annual General Meeting of Pluxee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https://www.pluxeegroup.com/sites/g/files/jclxxe221/files/2025-12/PR_Pluxee%20Annual%20General%20Meeting%20Fiscal%202025.pdf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https://www.pluxeegroup.com/sites/g/files/jclxxe221/files/2025-10/Pluxee%20FY26_Press%20Release%20EN.pdf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substantial holdings and gross short positions – Pluxee N.V.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https://www.afm.nl/export.aspx?KeyWords=pluxee&amp;type=1331d46f-3fb6-4a36-b903-9584972675af&amp;format=csv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managers' transactions (MAR 19) – Pluxee N.V. (exportación y detalle de la notificación del 2-mar-2026)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https://www.afm.nl/en/sector/registers/meldingenregisters/transacties-leidinggevenden-mar19-/details?id=20260302C8A0CADC-030A-4D08-8863-617E7FA825E2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depuis le 1er novembre 2012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https://object-api.infra.data.gouv.fr/amf/VAD/export_od_vad_20261009111500_20261009123001.csv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Pluxee N.V. (corrección del apartado 2.6.2 del informe anual de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https://www.pluxeegroup.com/sites/g/files/jclxxe221/files/2024-11/Statement%20-%202024%2011%2028%20final%20bis.pdf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PLX.PA, EXSA.DE, EXH2.DE y ^STOXX (bolsa.mjs,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https://finance.yahoo.com/quote/PLX.PA/history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announces the completion of a 100 million euros share buyback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https://mfn.se/one/a/pluxee/pluxee-announces-the-completion-of-a-100-million-euros-share-buyback-program-5b286562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federal alemán a 10 años (curva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finanzas y estimaciones (FY2024-FY2028e)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(FR:PLX)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https://www.tipranks.com/stocks/fr:plx/forecast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on Pluxee N.V.'s liquidity contract as of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https://mfn.se/one/a/pluxee/half-year-report-on-pluxee-n-v-s-liquidity-contract-as-of-june-30-2026-0f93dbeb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(EPA:PLX)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https://stockanalysis.com/quote/epa/PLX/statistics/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https://www.marketscreener.com/quote/stock/CORPAY-INC-6996903/finances/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https://www.marketscreener.com/quote/stock/WEX-INC-11838671/finances/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https://www.marketscreener.com/quote/stock/NEXI-S-P-A-57291674/finances/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https://www.marketscreener.com/quote/stock/GLOBAL-PAYMENTS-INC-12814/finances/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(acciones en circulación y ROIC) de Edenred, Corpay, WEX, Nexi, Adyen y Global Payments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https://stockanalysis.com/stocks/cpay/statistics/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 1,1206,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annonce l'acquisition de Reward Gateway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https://echanges.dila.gouv.fr/OPENDATA/AMF/ECO/2023/05/FCECO071204_20230516.pdf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and Nets merger: press release of November 15,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Creation of a new world-class leader in payment services: Worldline to acquire Ingenico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https://investors.worldline.com/en/home/news-events/operation-disclaimer/operation/pr-2020_02_03-02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to acquire Alpha Group International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https://www.sec.gov/Archives/edgar/data/1175454/000117545425000010/ex991corpaypressrelease.htm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actualización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PLUXEE (hilos de julio-octubre de 2026: «Y a t il encore qqun sur ce forum ?», «PLUXEE, un dossier intéressant ?», «Morgan Stanley à la hausse», «je serai acheteur vers 13.5-13.80€», «Quelqu'un saurait-il m'expliquer»)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https://www.boursorama.com/bourse/forum/1rPPLX/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EDENRED (hilos de julio-septiembre de 2026: «Des prétendants pour Edenred», «vraiment une bonne nouvelle ?», «Passer les 30€ est un premier step»)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et Edenred restent sous pression malgré une réforme moins sévère que prévu en France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https://www.zonebourse.com/actualite-bourse/pluxee-et-edenred-restent-sous-pression-malgre-une-reforme-moins-severe-que-prevu-en-france-ce785dded181f226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cotización, consenso y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https://www.zonebourse.com/cours/action/PLUXEE-N-V-164508055/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bondit en Bourse après un troisième trimestre meilleur que prévu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(Dow Jones/Agefi)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https://www.zonebourse.com/actualite-bourse/pluxee-bondit-en-bourse-apres-un-troisieme-trimestre-meilleur-que-prevu-ce7f5fd3d181f621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92,0 %</w:t>
      </w:r>
      <w:r>
        <w:t xml:space="preserve"> · Secciones con menos del 60 % de campos cubiertos: </w:t>
      </w:r>
      <w:r>
        <w:rPr>
          <w:b/>
          <w:bCs/>
        </w:rPr>
        <w:t xml:space="preserve">ninguna</w:t>
      </w:r>
      <w:r>
        <w:t xml:space="preserve"> · Generado el 14 oct 2026.</w:t>
      </w:r>
    </w:p>
    <w:p>
      <w:pPr>
        <w:pStyle w:val="Nota"/>
        <w:spacing w:after="100"/>
      </w:pPr>
      <w:r>
        <w:t xml:space="preserve">Pluxee cierra el ejercicio el 31 de agosto y lo nombra por el año en que termina («Fiscal 2026» = sep-2025 a ago-2026; etiqueta «fin»). El FY2026 está cerrado pero no publicado (29-oct-2026): el último ejercicio real es el FY2025 y el último balance, el del 28-feb-2026 [7]. FY2021-FY2023 son las cuentas combinadas del folleto de la escisión de Sodexo (cotiza desde el 1-feb-2024) [3]; no hay BPA ni acciones de FY2021-FY2022. Precio: cierre del viernes 9-oct-2026 (la sesión de París del 12-oct no había cerrado) [39]. </w:t>
      </w:r>
      <w:r>
        <w:rPr>
          <w:b/>
        </w:rPr>
        <w:t xml:space="preserve">Criterio del flotante (visión operativa)</w:t>
      </w:r>
      <w:r>
        <w:t xml:space="preserve">: la caja financiada por los clientes (2.102 M no restringidos y 753 M restringidos a feb-26) no se trata como caja libre, porque su rendimiento ya está en el EBITDA (162 M de ingresos del flotante en FY2025) [1, 7]. Por eso, en el balance histórico de FY2023-FY2025 el campo «caja» es solo la caja no ligada al flotante y a las cuentas a cobrar se les restan las ligadas al flotante (FY2023 con la cifra neta, la única publicada); FY2021-FY2022 quedan con la presentación de la empresa y sus ratios de circulante, deuda neta y ROIC no son comparables. La deuda neta resultante (832 M a feb-26) no es la caja neta de 1.270 M que publica la empresa [7]. Beta con 32 meses de cotización, no 5 años [39].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Pluxee N.V. (PLX)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14,49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(9,90 – 17,93)</c:v>
                </c:pt>
                <c:pt idx="1">
                  <c:v>Precio objetivo de los analistas (10,50 – 22,00)</c:v>
                </c:pt>
                <c:pt idx="2">
                  <c:v>Comparables: EV/EBITDA NTM (11,92 – 22,20)</c:v>
                </c:pt>
                <c:pt idx="3">
                  <c:v>Comparables: PER NTM (19,01 – 24,49)</c:v>
                </c:pt>
                <c:pt idx="4">
                  <c:v>DCF (WACC y g ± 0,5) (20,75 – 29,43)</c:v>
                </c:pt>
                <c:pt idx="5">
                  <c:v>Escenarios (bajista – alcista) (11,01 – 29,88)</c:v>
                </c:pt>
                <c:pt idx="6">
                  <c:v>DCF con la prima implícita del mercado (4,2 %)</c:v>
                </c:pt>
                <c:pt idx="7">
                  <c:v>Precio actual (14,49)</c:v>
                </c:pt>
              </c:strCache>
            </c:strRef>
          </c:cat>
          <c:val>
            <c:numRef>
              <c:f>Hoja1!$B$2:$B$9</c:f>
              <c:numCache>
                <c:formatCode>#,##0.0</c:formatCode>
                <c:ptCount val="8"/>
                <c:pt idx="0">
                  <c:v>9.9</c:v>
                </c:pt>
                <c:pt idx="1">
                  <c:v>10.5</c:v>
                </c:pt>
                <c:pt idx="2">
                  <c:v>11.92</c:v>
                </c:pt>
                <c:pt idx="3">
                  <c:v>19.01</c:v>
                </c:pt>
                <c:pt idx="4">
                  <c:v>20.75</c:v>
                </c:pt>
                <c:pt idx="5">
                  <c:v>11.01</c:v>
                </c:pt>
                <c:pt idx="6">
                  <c:v>27.13</c:v>
                </c:pt>
                <c:pt idx="7">
                  <c:v>14.42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(9,90 – 17,93)</c:v>
                </c:pt>
                <c:pt idx="1">
                  <c:v>Precio objetivo de los analistas (10,50 – 22,00)</c:v>
                </c:pt>
                <c:pt idx="2">
                  <c:v>Comparables: EV/EBITDA NTM (11,92 – 22,20)</c:v>
                </c:pt>
                <c:pt idx="3">
                  <c:v>Comparables: PER NTM (19,01 – 24,49)</c:v>
                </c:pt>
                <c:pt idx="4">
                  <c:v>DCF (WACC y g ± 0,5) (20,75 – 29,43)</c:v>
                </c:pt>
                <c:pt idx="5">
                  <c:v>Escenarios (bajista – alcista) (11,01 – 29,88)</c:v>
                </c:pt>
                <c:pt idx="6">
                  <c:v>DCF con la prima implícita del mercado (4,2 %)</c:v>
                </c:pt>
                <c:pt idx="7">
                  <c:v>Precio actual (14,49)</c:v>
                </c:pt>
              </c:strCache>
            </c:strRef>
          </c:cat>
          <c:val>
            <c:numRef>
              <c:f>Hoja1!$C$2:$C$9</c:f>
              <c:numCache>
                <c:formatCode>#,##0.0</c:formatCode>
                <c:ptCount val="8"/>
                <c:pt idx="0">
                  <c:v>8.03</c:v>
                </c:pt>
                <c:pt idx="1">
                  <c:v>11.5</c:v>
                </c:pt>
                <c:pt idx="2">
                  <c:v>10.28</c:v>
                </c:pt>
                <c:pt idx="3">
                  <c:v>5.479999999999997</c:v>
                </c:pt>
                <c:pt idx="4">
                  <c:v>8.68</c:v>
                </c:pt>
                <c:pt idx="5">
                  <c:v>18.869999999999997</c:v>
                </c:pt>
                <c:pt idx="6">
                  <c:v>7.040000000000003</c:v>
                </c:pt>
                <c:pt idx="7">
                  <c:v>0.14000000000000057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Europa continental</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346</c:v>
                </c:pt>
                <c:pt idx="1">
                  <c:v>385</c:v>
                </c:pt>
                <c:pt idx="2">
                  <c:v>466</c:v>
                </c:pt>
                <c:pt idx="3">
                  <c:v>534</c:v>
                </c:pt>
                <c:pt idx="4">
                  <c:v>563</c:v>
                </c:pt>
              </c:numCache>
            </c:numRef>
          </c:val>
        </c:ser>
        <c:ser>
          <c:idx val="1"/>
          <c:order val="1"/>
          <c:tx>
            <c:strRef>
              <c:f>Hoja1!$C$1</c:f>
              <c:strCache>
                <c:ptCount val="1"/>
                <c:pt idx="0">
                  <c:v>Latinoamérica</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235</c:v>
                </c:pt>
                <c:pt idx="1">
                  <c:v>287</c:v>
                </c:pt>
                <c:pt idx="2">
                  <c:v>394</c:v>
                </c:pt>
                <c:pt idx="3">
                  <c:v>460</c:v>
                </c:pt>
                <c:pt idx="4">
                  <c:v>489</c:v>
                </c:pt>
              </c:numCache>
            </c:numRef>
          </c:val>
        </c:ser>
        <c:ser>
          <c:idx val="2"/>
          <c:order val="2"/>
          <c:tx>
            <c:strRef>
              <c:f>Hoja1!$D$1</c:f>
              <c:strCache>
                <c:ptCount val="1"/>
                <c:pt idx="0">
                  <c:v>Resto del mundo</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150</c:v>
                </c:pt>
                <c:pt idx="1">
                  <c:v>170</c:v>
                </c:pt>
                <c:pt idx="2">
                  <c:v>192</c:v>
                </c:pt>
                <c:pt idx="3">
                  <c:v>216</c:v>
                </c:pt>
                <c:pt idx="4">
                  <c:v>235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Europa continental</c:v>
                </c:pt>
                <c:pt idx="1">
                  <c:v>Latinoamérica</c:v>
                </c:pt>
                <c:pt idx="2">
                  <c:v>Resto del mundo</c:v>
                </c:pt>
              </c:strCache>
            </c:strRef>
          </c:cat>
          <c:val>
            <c:numRef>
              <c:f>Hoja1!$B$2:$B$4</c:f>
              <c:numCache>
                <c:formatCode>General</c:formatCode>
                <c:ptCount val="3"/>
                <c:pt idx="0">
                  <c:v>43.7</c:v>
                </c:pt>
                <c:pt idx="1">
                  <c:v>38</c:v>
                </c:pt>
                <c:pt idx="2">
                  <c:v>18.3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Brasil</c:v>
                </c:pt>
                <c:pt idx="1">
                  <c:v>Francia</c:v>
                </c:pt>
                <c:pt idx="2">
                  <c:v>Resto de Europa continental</c:v>
                </c:pt>
                <c:pt idx="3">
                  <c:v>Resto de Latinoamérica</c:v>
                </c:pt>
                <c:pt idx="4">
                  <c:v>Resto del mundo</c:v>
                </c:pt>
              </c:strCache>
            </c:strRef>
          </c:cat>
          <c:val>
            <c:numRef>
              <c:f>Hoja1!$B$2:$B$6</c:f>
              <c:numCache>
                <c:formatCode>0"%"</c:formatCode>
                <c:ptCount val="5"/>
                <c:pt idx="0">
                  <c:v>28.9</c:v>
                </c:pt>
                <c:pt idx="1">
                  <c:v>12.2</c:v>
                </c:pt>
                <c:pt idx="2">
                  <c:v>31.5</c:v>
                </c:pt>
                <c:pt idx="3">
                  <c:v>9.1</c:v>
                </c:pt>
                <c:pt idx="4">
                  <c:v>18.3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volumen mundial de vales de comida (Fortune Business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2022</c:v>
                </c:pt>
                <c:pt idx="1">
                  <c:v>2023</c:v>
                </c:pt>
                <c:pt idx="2">
                  <c:v>2030e</c:v>
                </c:pt>
              </c:strCache>
            </c:strRef>
          </c:cat>
          <c:val>
            <c:numRef>
              <c:f>Hoja1!$B$2:$B$4</c:f>
              <c:numCache>
                <c:formatCode>#,##0</c:formatCode>
                <c:ptCount val="3"/>
                <c:pt idx="0">
                  <c:v>65570</c:v>
                </c:pt>
                <c:pt idx="1">
                  <c:v>67910</c:v>
                </c:pt>
                <c:pt idx="2">
                  <c:v>105560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Pluxee</c:v>
                </c:pt>
                <c:pt idx="1">
                  <c:v>Edenred (Ticket Restaurant)</c:v>
                </c:pt>
                <c:pt idx="2">
                  <c:v>Swile (con Bimpli)</c:v>
                </c:pt>
                <c:pt idx="3">
                  <c:v>Upcoop (antes Groupe Up / Chèque Déjeuner)</c:v>
                </c:pt>
                <c:pt idx="4">
                  <c:v>Alelo</c:v>
                </c:pt>
                <c:pt idx="5">
                  <c:v>VR Benefícios</c:v>
                </c:pt>
                <c:pt idx="6">
                  <c:v>Flash, Caju e iFood Benefícios</c:v>
                </c:pt>
              </c:strCache>
            </c:strRef>
          </c:cat>
          <c:val>
            <c:numRef>
              <c:f>Hoja1!$B$2:$B$8</c:f>
              <c:numCache>
                <c:formatCode>0.0"%"</c:formatCode>
                <c:ptCount val="7"/>
                <c:pt idx="0">
                  <c:v>26</c:v>
                </c:pt>
                <c:pt idx="1">
                  <c:v>36.9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strCache>
            </c:strRef>
          </c:cat>
          <c:val>
            <c:numRef>
              <c:f>Hoja1!$B$2:$B$14</c:f>
              <c:numCache>
                <c:formatCode>#,##0</c:formatCode>
                <c:ptCount val="13"/>
                <c:pt idx="0">
                  <c:v>731</c:v>
                </c:pt>
                <c:pt idx="1">
                  <c:v>842</c:v>
                </c:pt>
                <c:pt idx="2">
                  <c:v>1052</c:v>
                </c:pt>
                <c:pt idx="3">
                  <c:v>1210</c:v>
                </c:pt>
                <c:pt idx="4">
                  <c:v>1287</c:v>
                </c:pt>
                <c:pt idx="5">
                  <c:v>1293</c:v>
                </c:pt>
                <c:pt idx="6">
                  <c:v>1281</c:v>
                </c:pt>
                <c:pt idx="7">
                  <c:v>1345</c:v>
                </c:pt>
                <c:pt idx="8">
                  <c:v>1418</c:v>
                </c:pt>
                <c:pt idx="9">
                  <c:v>1489</c:v>
                </c:pt>
                <c:pt idx="10">
                  <c:v>1556</c:v>
                </c:pt>
                <c:pt idx="11">
                  <c:v>1616</c:v>
                </c:pt>
                <c:pt idx="12">
                  <c:v>1664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strCache>
            </c:strRef>
          </c:cat>
          <c:val>
            <c:numRef>
              <c:f>Hoja1!$C$2:$C$14</c:f>
              <c:numCache>
                <c:formatCode>#,##0</c:formatCode>
                <c:ptCount val="13"/>
                <c:pt idx="0">
                  <c:v>209</c:v>
                </c:pt>
                <c:pt idx="1">
                  <c:v>255</c:v>
                </c:pt>
                <c:pt idx="2">
                  <c:v>363</c:v>
                </c:pt>
                <c:pt idx="3">
                  <c:v>431</c:v>
                </c:pt>
                <c:pt idx="4">
                  <c:v>445</c:v>
                </c:pt>
                <c:pt idx="5">
                  <c:v>458</c:v>
                </c:pt>
                <c:pt idx="6">
                  <c:v>443</c:v>
                </c:pt>
                <c:pt idx="7">
                  <c:v>468</c:v>
                </c:pt>
                <c:pt idx="8">
                  <c:v>496</c:v>
                </c:pt>
                <c:pt idx="9">
                  <c:v>521</c:v>
                </c:pt>
                <c:pt idx="10">
                  <c:v>545</c:v>
                </c:pt>
                <c:pt idx="11">
                  <c:v>565</c:v>
                </c:pt>
                <c:pt idx="12">
                  <c:v>582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28.6</c:v>
                </c:pt>
                <c:pt idx="1">
                  <c:v>30.3</c:v>
                </c:pt>
                <c:pt idx="2">
                  <c:v>34.5</c:v>
                </c:pt>
                <c:pt idx="3">
                  <c:v>35.6</c:v>
                </c:pt>
                <c:pt idx="4">
                  <c:v>34.6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19.8</c:v>
                </c:pt>
                <c:pt idx="1">
                  <c:v>22.4</c:v>
                </c:pt>
                <c:pt idx="2">
                  <c:v>27.1</c:v>
                </c:pt>
                <c:pt idx="3">
                  <c:v>28.3</c:v>
                </c:pt>
                <c:pt idx="4">
                  <c:v>26</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16</c:v>
                </c:pt>
                <c:pt idx="1">
                  <c:v>20.7</c:v>
                </c:pt>
                <c:pt idx="2">
                  <c:v>7.7</c:v>
                </c:pt>
                <c:pt idx="3">
                  <c:v>11</c:v>
                </c:pt>
                <c:pt idx="4">
                  <c:v>15.3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5.7</c:v>
                </c:pt>
                <c:pt idx="1">
                  <c:v>8.7</c:v>
                </c:pt>
                <c:pt idx="2">
                  <c:v>6</c:v>
                </c:pt>
                <c:pt idx="3">
                  <c:v>4.3</c:v>
                </c:pt>
                <c:pt idx="4">
                  <c:v>6.8</c:v>
                </c:pt>
                <c:pt idx="5">
                  <c:v>6.6</c:v>
                </c:pt>
                <c:pt idx="6">
                  <c:v>0.1</c:v>
                </c:pt>
                <c:pt idx="7">
                  <c:v>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10.6</c:v>
                </c:pt>
                <c:pt idx="1">
                  <c:v>13.2</c:v>
                </c:pt>
                <c:pt idx="2">
                  <c:v>8.8</c:v>
                </c:pt>
                <c:pt idx="3">
                  <c:v>11.1</c:v>
                </c:pt>
                <c:pt idx="4">
                  <c:v>9.6</c:v>
                </c:pt>
                <c:pt idx="5">
                  <c:v>9</c:v>
                </c:pt>
                <c:pt idx="6">
                  <c:v>2.8</c:v>
                </c:pt>
                <c:pt idx="7">
                  <c:v>-3.3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674</c:v>
                </c:pt>
                <c:pt idx="1">
                  <c:v>648</c:v>
                </c:pt>
                <c:pt idx="2">
                  <c:v>132</c:v>
                </c:pt>
                <c:pt idx="3">
                  <c:v>60</c:v>
                </c:pt>
                <c:pt idx="4">
                  <c:v>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99</c:v>
                </c:pt>
                <c:pt idx="1">
                  <c:v>132</c:v>
                </c:pt>
                <c:pt idx="2">
                  <c:v>430</c:v>
                </c:pt>
                <c:pt idx="3">
                  <c:v>312</c:v>
                </c:pt>
                <c:pt idx="4">
                  <c:v>397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117</c:v>
                </c:pt>
                <c:pt idx="1">
                  <c:v>174</c:v>
                </c:pt>
                <c:pt idx="2">
                  <c:v>81</c:v>
                </c:pt>
                <c:pt idx="3">
                  <c:v>133</c:v>
                </c:pt>
                <c:pt idx="4">
                  <c:v>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-21.4</c:v>
                </c:pt>
                <c:pt idx="1">
                  <c:v>-26.4</c:v>
                </c:pt>
                <c:pt idx="2">
                  <c:v>157.6</c:v>
                </c:pt>
                <c:pt idx="3">
                  <c:v>22.4</c:v>
                </c:pt>
                <c:pt idx="4">
                  <c:v>20.2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17.1</c:v>
                </c:pt>
                <c:pt idx="1">
                  <c:v>25.2</c:v>
                </c:pt>
                <c:pt idx="2">
                  <c:v>21.9</c:v>
                </c:pt>
                <c:pt idx="3">
                  <c:v>88.7</c:v>
                </c:pt>
                <c:pt idx="4">
                  <c:v>62.8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-5.83</c:v>
                </c:pt>
                <c:pt idx="1">
                  <c:v>-4.92</c:v>
                </c:pt>
                <c:pt idx="2">
                  <c:v>1.98</c:v>
                </c:pt>
                <c:pt idx="3">
                  <c:v>1.68</c:v>
                </c:pt>
                <c:pt idx="4">
                  <c:v>1.62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FY2026</c:v>
                </c:pt>
                <c:pt idx="1">
                  <c:v>FY2029</c:v>
                </c:pt>
                <c:pt idx="2">
                  <c:v>FY2033</c:v>
                </c:pt>
              </c:strCache>
            </c:strRef>
          </c:cat>
          <c:val>
            <c:numRef>
              <c:f>Hoja1!$B$2:$B$4</c:f>
              <c:numCache>
                <c:formatCode>#,##0</c:formatCode>
                <c:ptCount val="3"/>
                <c:pt idx="0">
                  <c:v>75</c:v>
                </c:pt>
                <c:pt idx="1">
                  <c:v>550</c:v>
                </c:pt>
                <c:pt idx="2">
                  <c:v>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0</c:v>
                </c:pt>
                <c:pt idx="1">
                  <c:v>1</c:v>
                </c:pt>
                <c:pt idx="2">
                  <c:v>0</c:v>
                </c:pt>
                <c:pt idx="3">
                  <c:v>0</c:v>
                </c:pt>
                <c:pt idx="4">
                  <c:v>148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45</c:v>
                </c:pt>
                <c:pt idx="1">
                  <c:v>195</c:v>
                </c:pt>
                <c:pt idx="2">
                  <c:v>140</c:v>
                </c:pt>
                <c:pt idx="3">
                  <c:v>0</c:v>
                </c:pt>
                <c:pt idx="4">
                  <c:v>51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0</c:v>
                </c:pt>
                <c:pt idx="1">
                  <c:v>0</c:v>
                </c:pt>
                <c:pt idx="2">
                  <c:v>0</c:v>
                </c:pt>
                <c:pt idx="3">
                  <c:v>33</c:v>
                </c:pt>
                <c:pt idx="4">
                  <c:v>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1</c:v>
                </c:pt>
                <c:pt idx="1">
                  <c:v>5</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Bellon S.A. (holding de la familia Bellon)</c:v>
                </c:pt>
                <c:pt idx="1">
                  <c:v>Montefiore Investment</c:v>
                </c:pt>
                <c:pt idx="2">
                  <c:v>Smallcap World Fund, Inc. (Capital Group)</c:v>
                </c:pt>
                <c:pt idx="3">
                  <c:v>Capital Research and Management Company</c:v>
                </c:pt>
                <c:pt idx="4">
                  <c:v>Bank of America Corporation</c:v>
                </c:pt>
                <c:pt idx="5">
                  <c:v>Autocartera</c:v>
                </c:pt>
              </c:strCache>
            </c:strRef>
          </c:cat>
          <c:val>
            <c:numRef>
              <c:f>Hoja1!$B$2:$B$7</c:f>
              <c:numCache>
                <c:formatCode>0.0"%"</c:formatCode>
                <c:ptCount val="6"/>
                <c:pt idx="0">
                  <c:v>46.16</c:v>
                </c:pt>
                <c:pt idx="1">
                  <c:v>5</c:v>
                </c:pt>
                <c:pt idx="2">
                  <c:v>0</c:v>
                </c:pt>
                <c:pt idx="3">
                  <c:v>0.14</c:v>
                </c:pt>
                <c:pt idx="4">
                  <c:v>2.48</c:v>
                </c:pt>
                <c:pt idx="5">
                  <c:v>1.82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-26.3</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Pluxee</c:v>
                </c:pt>
                <c:pt idx="1">
                  <c:v>Edenred</c:v>
                </c:pt>
                <c:pt idx="2">
                  <c:v>Corpay</c:v>
                </c:pt>
                <c:pt idx="3">
                  <c:v>WEX</c:v>
                </c:pt>
                <c:pt idx="4">
                  <c:v>Nexi</c:v>
                </c:pt>
                <c:pt idx="5">
                  <c:v>Adyen</c:v>
                </c:pt>
                <c:pt idx="6">
                  <c:v>Global Payments</c:v>
                </c:pt>
              </c:strCache>
            </c:strRef>
          </c:cat>
          <c:val>
            <c:numRef>
              <c:f>Hoja1!$B$2:$B$8</c:f>
              <c:numCache>
                <c:formatCode>0.0"x"</c:formatCode>
                <c:ptCount val="7"/>
                <c:pt idx="0">
                  <c:v>6.8</c:v>
                </c:pt>
                <c:pt idx="1">
                  <c:v>5.9</c:v>
                </c:pt>
                <c:pt idx="2">
                  <c:v>10.6</c:v>
                </c:pt>
                <c:pt idx="3">
                  <c:v>7.7</c:v>
                </c:pt>
                <c:pt idx="4">
                  <c:v>5.2</c:v>
                </c:pt>
                <c:pt idx="5">
                  <c:v>9.7</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Pluxee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-0.7</c:v>
                </c:pt>
              </c:numCache>
            </c:numRef>
          </c:xVal>
          <c:yVal>
            <c:numRef>
              <c:f>Hoja1!$C$2</c:f>
              <c:numCache>
                <c:formatCode>0.0"x"</c:formatCode>
                <c:ptCount val="1"/>
                <c:pt idx="0">
                  <c:v>6.8</c:v>
                </c:pt>
              </c:numCache>
            </c:numRef>
          </c:yVal>
          <c:smooth val="0"/>
        </c:ser>
        <c:ser>
          <c:idx val="1"/>
          <c:order val="1"/>
          <c:tx>
            <c:strRef>
              <c:f>Hoja1!$A$3</c:f>
              <c:strCache>
                <c:ptCount val="1"/>
                <c:pt idx="0">
                  <c:v>Edenred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3.7</c:v>
                </c:pt>
              </c:numCache>
            </c:numRef>
          </c:xVal>
          <c:yVal>
            <c:numRef>
              <c:f>Hoja1!$C$3</c:f>
              <c:numCache>
                <c:formatCode>0.0"x"</c:formatCode>
                <c:ptCount val="1"/>
                <c:pt idx="0">
                  <c:v>5.9</c:v>
                </c:pt>
              </c:numCache>
            </c:numRef>
          </c:yVal>
          <c:smooth val="0"/>
        </c:ser>
        <c:ser>
          <c:idx val="2"/>
          <c:order val="2"/>
          <c:tx>
            <c:strRef>
              <c:f>Hoja1!$A$4</c:f>
              <c:strCache>
                <c:ptCount val="1"/>
                <c:pt idx="0">
                  <c:v>Corpay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11.9</c:v>
                </c:pt>
              </c:numCache>
            </c:numRef>
          </c:xVal>
          <c:yVal>
            <c:numRef>
              <c:f>Hoja1!$C$4</c:f>
              <c:numCache>
                <c:formatCode>0.0"x"</c:formatCode>
                <c:ptCount val="1"/>
                <c:pt idx="0">
                  <c:v>10.6</c:v>
                </c:pt>
              </c:numCache>
            </c:numRef>
          </c:yVal>
          <c:smooth val="0"/>
        </c:ser>
        <c:ser>
          <c:idx val="3"/>
          <c:order val="3"/>
          <c:tx>
            <c:strRef>
              <c:f>Hoja1!$A$5</c:f>
              <c:strCache>
                <c:ptCount val="1"/>
                <c:pt idx="0">
                  <c:v>WEX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4.3</c:v>
                </c:pt>
              </c:numCache>
            </c:numRef>
          </c:xVal>
          <c:yVal>
            <c:numRef>
              <c:f>Hoja1!$C$5</c:f>
              <c:numCache>
                <c:formatCode>0.0"x"</c:formatCode>
                <c:ptCount val="1"/>
                <c:pt idx="0">
                  <c:v>7.7</c:v>
                </c:pt>
              </c:numCache>
            </c:numRef>
          </c:yVal>
          <c:smooth val="0"/>
        </c:ser>
        <c:ser>
          <c:idx val="4"/>
          <c:order val="4"/>
          <c:tx>
            <c:strRef>
              <c:f>Hoja1!$A$6</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c:v>
                </c:pt>
              </c:numCache>
            </c:numRef>
          </c:xVal>
          <c:yVal>
            <c:numRef>
              <c:f>Hoja1!$C$6</c:f>
              <c:numCache>
                <c:formatCode>0.0"x"</c:formatCode>
                <c:ptCount val="1"/>
                <c:pt idx="0">
                  <c:v>5.2</c:v>
                </c:pt>
              </c:numCache>
            </c:numRef>
          </c:yVal>
          <c:smooth val="0"/>
        </c:ser>
        <c:ser>
          <c:idx val="5"/>
          <c:order val="5"/>
          <c:tx>
            <c:strRef>
              <c:f>Hoja1!$A$7</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21.3</c:v>
                </c:pt>
              </c:numCache>
            </c:numRef>
          </c:xVal>
          <c:yVal>
            <c:numRef>
              <c:f>Hoja1!$C$7</c:f>
              <c:numCache>
                <c:formatCode>0.0"x"</c:formatCode>
                <c:ptCount val="1"/>
                <c:pt idx="0">
                  <c:v>9.7</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Reward Gateway (plataforma de compromiso de empleados, Reino Unido y Australia)</c:v>
                </c:pt>
                <c:pt idx="1">
                  <c:v>Nets (procesamiento de pagos, países nórdicos y Centroeuropa)</c:v>
                </c:pt>
                <c:pt idx="2">
                  <c:v>Ingenico (terminales y pagos a comercios)</c:v>
                </c:pt>
                <c:pt idx="3">
                  <c:v>Alpha Group International (divisas y cuentas para empresas, Reino Unido)</c:v>
                </c:pt>
                <c:pt idx="4">
                  <c:v>Cobee (plataforma digital de beneficios, España, Portugal y México)</c:v>
                </c:pt>
              </c:strCache>
            </c:strRef>
          </c:cat>
          <c:val>
            <c:numRef>
              <c:f>Hoja1!$B$2:$B$6</c:f>
              <c:numCache>
                <c:formatCode>0.0"x"</c:formatCode>
                <c:ptCount val="5"/>
                <c:pt idx="0">
                  <c:v>25.6</c:v>
                </c:pt>
                <c:pt idx="1">
                  <c:v>20</c:v>
                </c:pt>
                <c:pt idx="2">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248</c:v>
                </c:pt>
                <c:pt idx="1">
                  <c:v>233</c:v>
                </c:pt>
                <c:pt idx="2">
                  <c:v>271</c:v>
                </c:pt>
                <c:pt idx="3">
                  <c:v>293</c:v>
                </c:pt>
                <c:pt idx="4">
                  <c:v>305</c:v>
                </c:pt>
                <c:pt idx="5">
                  <c:v>317</c:v>
                </c:pt>
                <c:pt idx="6">
                  <c:v>326</c:v>
                </c:pt>
                <c:pt idx="7">
                  <c:v>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1521</c:v>
                </c:pt>
                <c:pt idx="1">
                  <c:v>2926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14,49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11.01</c:v>
                </c:pt>
                <c:pt idx="1">
                  <c:v>24.43</c:v>
                </c:pt>
                <c:pt idx="2">
                  <c:v>29.88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14,49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(9,90 – 17,93)</c:v>
                </c:pt>
                <c:pt idx="1">
                  <c:v>Precio objetivo de los analistas (10,50 – 22,00)</c:v>
                </c:pt>
                <c:pt idx="2">
                  <c:v>Comparables: EV/EBITDA NTM (11,92 – 22,20)</c:v>
                </c:pt>
                <c:pt idx="3">
                  <c:v>Comparables: PER NTM (19,01 – 24,49)</c:v>
                </c:pt>
                <c:pt idx="4">
                  <c:v>DCF (WACC y g ± 0,5) (20,75 – 29,43)</c:v>
                </c:pt>
                <c:pt idx="5">
                  <c:v>Escenarios (bajista – alcista) (11,01 – 29,88)</c:v>
                </c:pt>
                <c:pt idx="6">
                  <c:v>DCF con la prima implícita del mercado (4,2 %)</c:v>
                </c:pt>
                <c:pt idx="7">
                  <c:v>Precio actual (14,49)</c:v>
                </c:pt>
              </c:strCache>
            </c:strRef>
          </c:cat>
          <c:val>
            <c:numRef>
              <c:f>Hoja1!$B$2:$B$9</c:f>
              <c:numCache>
                <c:formatCode>#,##0.0</c:formatCode>
                <c:ptCount val="8"/>
                <c:pt idx="0">
                  <c:v>9.9</c:v>
                </c:pt>
                <c:pt idx="1">
                  <c:v>10.5</c:v>
                </c:pt>
                <c:pt idx="2">
                  <c:v>11.92</c:v>
                </c:pt>
                <c:pt idx="3">
                  <c:v>19.01</c:v>
                </c:pt>
                <c:pt idx="4">
                  <c:v>20.75</c:v>
                </c:pt>
                <c:pt idx="5">
                  <c:v>11.01</c:v>
                </c:pt>
                <c:pt idx="6">
                  <c:v>27.13</c:v>
                </c:pt>
                <c:pt idx="7">
                  <c:v>14.42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(9,90 – 17,93)</c:v>
                </c:pt>
                <c:pt idx="1">
                  <c:v>Precio objetivo de los analistas (10,50 – 22,00)</c:v>
                </c:pt>
                <c:pt idx="2">
                  <c:v>Comparables: EV/EBITDA NTM (11,92 – 22,20)</c:v>
                </c:pt>
                <c:pt idx="3">
                  <c:v>Comparables: PER NTM (19,01 – 24,49)</c:v>
                </c:pt>
                <c:pt idx="4">
                  <c:v>DCF (WACC y g ± 0,5) (20,75 – 29,43)</c:v>
                </c:pt>
                <c:pt idx="5">
                  <c:v>Escenarios (bajista – alcista) (11,01 – 29,88)</c:v>
                </c:pt>
                <c:pt idx="6">
                  <c:v>DCF con la prima implícita del mercado (4,2 %)</c:v>
                </c:pt>
                <c:pt idx="7">
                  <c:v>Precio actual (14,49)</c:v>
                </c:pt>
              </c:strCache>
            </c:strRef>
          </c:cat>
          <c:val>
            <c:numRef>
              <c:f>Hoja1!$C$2:$C$9</c:f>
              <c:numCache>
                <c:formatCode>#,##0.0</c:formatCode>
                <c:ptCount val="8"/>
                <c:pt idx="0">
                  <c:v>8.03</c:v>
                </c:pt>
                <c:pt idx="1">
                  <c:v>11.5</c:v>
                </c:pt>
                <c:pt idx="2">
                  <c:v>10.28</c:v>
                </c:pt>
                <c:pt idx="3">
                  <c:v>5.479999999999997</c:v>
                </c:pt>
                <c:pt idx="4">
                  <c:v>8.68</c:v>
                </c:pt>
                <c:pt idx="5">
                  <c:v>18.869999999999997</c:v>
                </c:pt>
                <c:pt idx="6">
                  <c:v>7.040000000000003</c:v>
                </c:pt>
                <c:pt idx="7">
                  <c:v>0.14000000000000057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