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RATIONAL Aktiengesellschaft</w:t>
      </w:r>
    </w:p>
    <w:p>
      <w:pPr>
        <w:spacing w:after="60"/>
        <w:rPr>
          <w:color w:val="52514E"/>
          <w:sz w:val="22"/>
          <w:szCs w:val="22"/>
        </w:rPr>
      </w:pPr>
      <w:r>
        <w:rPr>
          <w:color w:val="52514E"/>
          <w:sz w:val="22"/>
          <w:szCs w:val="22"/>
        </w:rPr>
        <w:t xml:space="preserve">RAA · Xetra (Fráncfort, Prime Standard) · ISIN DE0007010803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577,50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699,64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+23,9 % (base +21,6 %)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466,62 EUR · mercado 564,55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6.566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RATIONAL Aktiengesellschaft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RAA / DE0007010803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(equipamiento de cocina profesional)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Landsberg am Lech · 1973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www.rational-online.com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577,50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560,50 – 776,50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6.566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6.168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6,8 M EUR/día (≈ 11.100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699,64 EUR</w:t>
      </w:r>
      <w:r>
        <w:t xml:space="preserve"> frente a 577,50 · Rentabilidad a 12 meses </w:t>
      </w:r>
      <w:r>
        <w:rPr>
          <w:b/>
          <w:bCs/>
        </w:rPr>
        <w:t xml:space="preserve">+23,9 % (base +21,6 %)</w:t>
      </w:r>
      <w:r>
        <w:t xml:space="preserve"> · Valor intrínseco 466,62 EUR · con la prima implícita del mercado: 564,55 (-2,2 %) · Alcista / bajista +6,5 % / -40,5 %</w:t>
      </w:r>
    </w:p>
    <w:p>
      <w:pPr>
        <w:spacing w:after="100"/>
      </w:pPr>
      <w:r>
        <w:rPr>
          <w:b/>
        </w:rPr>
        <w:t xml:space="preserve">La recomendación y por qué.</w:t>
      </w:r>
      <w:r>
        <w:t xml:space="preserve"> Mantener, con convicción baja (antes media): las reglas discrepan y todo depende de la prima de riesgo. El valor objetivo es de 466,62 EUR, un 19,2 % por debajo del precio de 577,50 EUR (cierre del 6-oct-2026), y la rentabilidad total esperada a 12 meses es del −16,4 % con nuestro WACC del 9,24 %. Con la prima de riesgo que hoy pide el mercado (4,20 %, WACC del 7,89 %), el objetivo sube a 564,55 EUR y la rentabilidad a +0,5 %, con una asimetría de 1,35x. Las dos reglas discrepan (Vender con nuestro coste de capital, Mantener con el del mercado) y manda la relativa: Rational es un negocio excepcional a un precio que rinde lo mismo que pide hoy el mercado y no cubre un coste de capital normal con un Bund al 3,52 %.</w:t>
      </w:r>
    </w:p>
    <w:p>
      <w:pPr>
        <w:spacing w:after="100"/>
      </w:pPr>
      <w:r>
        <w:rPr>
          <w:b/>
        </w:rPr>
        <w:t xml:space="preserve">El negocio.</w:t>
      </w:r>
      <w:r>
        <w:t xml:space="preserve"> Rational tiene en torno al 50 % del mercado mundial de hornos combinados desde 2009 [16, 20] y un ROIC sin caja del 61,2 %, frente al 10-14 % de Middleby, Electrolux Professional y Hoshizaki [62]. El recorrido es real: el 75 % de las 4,8 millones de cocinas relevantes sigue sin horno combinado [17], y en EE. UU. la penetración es de ≈ 15 % frente a más del 50 % en muchos mercados europeos [13]. Por eso el DCF usa una etapa de transición de diez años, que aporta un 8,7 % del valor. La calidad de la empresa sostiene el crecimiento que proyectamos: el 6,2 % anual del caso base se financia con el ROIC actual y un 10 % del beneficio reinvertido, y la cuota seguiría en torno al 50 %.</w:t>
      </w:r>
    </w:p>
    <w:p>
      <w:pPr>
        <w:spacing w:after="100"/>
      </w:pPr>
      <w:r>
        <w:rPr>
          <w:b/>
        </w:rPr>
        <w:t xml:space="preserve">Finanzas.</w:t>
      </w:r>
      <w:r>
        <w:t xml:space="preserve"> Las ventas crecieron un 6,9 % anual en 2019-2025, sin compras, y el margen EBITDA volvió al 29,3 % [1]. El crecimiento se ha frenado: +5,5 % en 2025 y +4,2 % en el 2T26, tras adelantos de pedidos al 1T por la subida de precios en EE. UU. [5]. El margen EBIT del 1S26 (26,5 %) incluye 13,9 M de devolución de aranceles: sin ella, 24,3 % [5]; el LTM del informe la excluye. Caja neta de 404 M y un reparto del 90 % del beneficio en 2025, con 4 EUR de extraordinario [1].</w:t>
      </w:r>
    </w:p>
    <w:p>
      <w:pPr>
        <w:spacing w:after="100"/>
      </w:pPr>
      <w:r>
        <w:rPr>
          <w:b/>
        </w:rPr>
        <w:t xml:space="preserve">Equipo y gobierno.</w:t>
      </w:r>
      <w:r>
        <w:t xml:space="preserve"> La dirección cumple: guía de ventas alcanzada en 2021-2025 [1]. Resta el gobierno: la familia Meister y el cofundador Walter Kurtz, que preside el Aufsichtsrat, suman el 55,2 % [1]; el 82,55 % del capital libre presente votó contra el sistema de remuneración en 2026 [34], y el contrato del CEO vence en noviembre de 2027 sin sucesión pública [1].</w:t>
      </w:r>
    </w:p>
    <w:p>
      <w:pPr>
        <w:spacing w:after="100"/>
      </w:pPr>
      <w:r>
        <w:rPr>
          <w:b/>
        </w:rPr>
        <w:t xml:space="preserve">Valoración.</w:t>
      </w:r>
      <w:r>
        <w:t xml:space="preserve"> El DCF da 483,66 EUR (−16,2 %). El DCF inverso dice que el precio descuenta un crecimiento del 8,4 % anual en 2027e-2035e, el de la última década (8,3 % [1]), frente al 6,2 % de nuestro caso base, que está solo un 1,1-2,6 % por debajo del consenso [47]. La discrepancia no está en las cifras sino en el descuento: el precio implica una rentabilidad del 8,1 %. A 15,0x el EBITDA de los próximos doce meses, cotiza un 32 % por debajo de su media histórica (24,5x de los últimos doce meses) y cerca de los comparables de calidad (Kone, Schindler e ITW, 13,3x) [58, 59, 61]: el descuento histórico refleja los tipos, no una oportunidad.</w:t>
      </w:r>
    </w:p>
    <w:p>
      <w:pPr>
        <w:spacing w:after="100"/>
      </w:pPr>
      <w:r>
        <w:rPr>
          <w:b/>
        </w:rPr>
        <w:t xml:space="preserve">Riesgos y catalizadores.</w:t>
      </w:r>
      <w:r>
        <w:t xml:space="preserve"> Tres riesgos pesan más: un coste de capital más alto (beta de 1,35 frente al DAX: −19,9 %), un crecimiento dos puntos más lento (−14,8 %) por la competencia de Unox, que crece ≈ 18 % al año y fabrica en EE. UU. [30, 31], y una recesión de la restauración (−12,9 %). Catalizadores: resultados de nueve meses el 5-nov-2026 y Capital Markets Day el 19-nov-2026 [45].</w:t>
      </w:r>
    </w:p>
    <w:p>
      <w:pPr>
        <w:spacing w:after="100"/>
      </w:pPr>
      <w:r>
        <w:rPr>
          <w:b/>
        </w:rPr>
        <w:t xml:space="preserve">Qué cambiaría la decisión.</w:t>
      </w:r>
      <w:r>
        <w:t xml:space="preserve"> Compraríamos por debajo de 459,62 EUR (un Comprar que solo da la regla relativa exige un 5 % de rentabilidad con nuestro WACC) y venderíamos por encima de 645,34 EUR. Pasaríamos a Comprar si las unidades vuelven a crecer por encima del 7 % con el margen EBITDA en el 29 %, o si el Bund baja del 2,5 %; a Vender si Norteamérica crece menos del 5 % en moneda local dos trimestres seguidos o el margen bruto cae del 57 % sin efecto arancel. La convicción subiría si las dos reglas coincidieran; con una prima del mercado del 5,5 %, la nuestra, ambas dirían Vender.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699,64 EUR</w:t>
      </w:r>
      <w:r>
        <w:t xml:space="preserve"> (rentabilidad +23,9 % (base +21,6 %)) · Valor intrínseco: 466,62 EUR (-19,2 % sobre 577,50) · con la prima implícita del mercado: 564,55 (-2,2 %)</w:t>
      </w:r>
    </w:p>
    <w:p>
      <w:pPr>
        <w:spacing w:after="100"/>
      </w:pPr>
      <w:r>
        <w:t xml:space="preserve">Rational es el líder mundial de un nicho que no deja de crecer: en torno al 50 % de los hornos combinados profesionales [16], un ROIC del 61,2 % sin caja y un margen EBITDA del 29,3 % en 2025, sin deuda y sin compras desde 1993 [1]. El 75 % de las 4,8 millones de cocinas relevantes todavía cocina con aparatos tradicionales [17]; en EE. UU., la penetración del horno combinado es de ≈ 15 % [13]. Es una de las pocas empresas en las que un DCF de tres etapas está justificado.</w:t>
      </w:r>
    </w:p>
    <w:p>
      <w:pPr>
        <w:spacing w:after="100"/>
      </w:pPr>
      <w:r>
        <w:t xml:space="preserve">El precio de 577,50 EUR descuenta, con un WACC del 9,24 %, que las ventas crezcan un 8,4 % anual hasta 2035e, como en la década pasada, o un margen EBITDA del 34,1 % con nuestro crecimiento del 6,2 %. A 15,0x el EBITDA de los próximos doce meses y 22,8x el beneficio, cotiza en mínimos de su historia y un 32 % por debajo de su media, pero con el Bund al 3,52 % [49] frente a cero en 2019-2021.</w:t>
      </w:r>
    </w:p>
    <w:p>
      <w:pPr>
        <w:spacing w:after="100"/>
      </w:pPr>
      <w:r>
        <w:t xml:space="preserve">El mercado acierta al recortar el múltiplo: el crecimiento ha bajado del 10-31 % de 2021-2023 al 5,5-6 % [1, 5] y el tipo libre ha subido. Para invertir hay que creer una de dos cosas: que Rational vuelve a crecer al 8 % durante diez años, o que una prima de riesgo del 4,2 % como la que hoy pide el mercado [50] es la adecuada para una acción que cayó un 53,8 % en 2021-2022 [44]. Ni con la segunda alcanza: vale 564,55 EUR y rinde un 0,5 % a un año, lo que basta para mantener, no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699,64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 × 20,84 = 431,39 · 25,9x × 26,49 = 686,09 · 34,9x × 28,51 = 995,00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 / 21,6 %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795,86 (nuestro base -13,8 %)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466,62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-40,5 %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9,2 %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564,55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466,62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466,62 y 795,16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795,16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459,62 EUR: pasaríamos a Comprar (un Comprar solo de la regla relativa exige además un 5 % de rentabilidad total con nuestro WACC).</w:t>
      </w:r>
    </w:p>
    <w:p>
      <w:pPr>
        <w:pStyle w:val="ListParagraph"/>
        <w:numPr>
          <w:ilvl w:val="0"/>
          <w:numId w:val="2"/>
        </w:numPr>
        <w:spacing w:after="60"/>
      </w:pPr>
      <w:r>
        <w:t xml:space="preserve">Unidades del grupo por encima del +7 % en 2026-2027 con el margen EBITDA en el 29 %: el DCF base subiría hacia el alcista (614,86 EUR).</w:t>
      </w:r>
    </w:p>
    <w:p>
      <w:pPr>
        <w:pStyle w:val="ListParagraph"/>
        <w:numPr>
          <w:ilvl w:val="0"/>
          <w:numId w:val="2"/>
        </w:numPr>
        <w:spacing w:after="60"/>
      </w:pPr>
      <w:r>
        <w:t xml:space="preserve">Bund a 10 años por debajo del 2,5 %: el WACC bajaría un punto y el DCF superaría el precio.</w:t>
      </w:r>
    </w:p>
    <w:p>
      <w:pPr>
        <w:pStyle w:val="ListParagraph"/>
        <w:numPr>
          <w:ilvl w:val="0"/>
          <w:numId w:val="2"/>
        </w:numPr>
        <w:spacing w:after="60"/>
      </w:pPr>
      <w:r>
        <w:t xml:space="preserve">Norteamérica por debajo del +5 % en moneda local dos trimestres seguidos, o margen bruto por debajo del 57 % sin efecto arancel: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Con la prima de riesgo que pide hoy el mercado (4,2 %), el precio queda cerca del valor (564,55 EUR): descuenta un crecimiento algo por encima de nuestro caso base y un margen estable. El consenso espera ventas de 1.350 M en 2026e y 1.570 M en 2028e (+7,7 % y +8,0 % anual en 2027e-2028e) y un BPA de 28,15 EUR en 2028e [47], con un precio objetivo medio de 795,86 EUR, un 37,8 % por encima del precio [46].</w:t>
      </w:r>
    </w:p>
    <w:p>
      <w:pPr>
        <w:keepNext/>
        <w:spacing w:after="100"/>
      </w:pPr>
      <w:r>
        <w:rPr>
          <w:b/>
          <w:bCs/>
        </w:rPr>
        <w:t xml:space="preserve">Lo que creemos nosotros.</w:t>
      </w:r>
    </w:p>
    <w:p>
      <w:pPr>
        <w:spacing w:after="100"/>
      </w:pPr>
      <w:r>
        <w:t xml:space="preserve">Nuestras cifras están cerca del consenso (entre un 1,1 % y un 2,6 % por debajo en ventas) y no vemos un deterioro del negocio. Discrepamos del precio objetivo de los analistas: con un Bund al 3,52 %, no hay valor de 795,86 EUR sin suponer un crecimiento del 8 % durante una década (con la prima del mercado, 4,2 %, el DCF da 605,12 EUR), y el bajista (343,70 EUR) es verosímil con una recesión como la de 2009.</w:t>
      </w:r>
    </w:p>
    <w:p>
      <w:pPr>
        <w:keepNext/>
        <w:spacing w:after="100"/>
      </w:pPr>
      <w:r>
        <w:rPr>
          <w:b/>
          <w:bCs/>
        </w:rPr>
        <w:t xml:space="preserve">Por qué podemos tener razón.</w:t>
      </w:r>
    </w:p>
    <w:p>
      <w:pPr>
        <w:spacing w:after="100"/>
      </w:pPr>
      <w:r>
        <w:t xml:space="preserve">Los precios objetivo de los analistas parecen anclados en los múltiplos de 2019-2024 (24,5x de media), que se pagaron con tipos cercanos a cero. Esa diferencia de 30 % entre el precio objetivo medio y el nuestro, con cifras casi iguales, es tasa de descuento. Si los tipos no vuelven a bajar, el múltiplo de Rational convergerá con el de los comparables de calidad (13,3x), no con su historia.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7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Recorrido de penetración</w:t>
      </w:r>
      <w:r>
        <w:t xml:space="preserve">: el 75 % de las 4,8 millones de cocinas relevantes no tiene horno combinado y EE. UU. está en ≈ 15 % [13, 17].</w:t>
      </w:r>
    </w:p>
    <w:p>
      <w:pPr>
        <w:pStyle w:val="ListParagraph"/>
        <w:numPr>
          <w:ilvl w:val="0"/>
          <w:numId w:val="2"/>
        </w:numPr>
        <w:spacing w:after="60"/>
      </w:pPr>
      <w:r>
        <w:rPr>
          <w:b/>
        </w:rPr>
        <w:t xml:space="preserve">Rentabilidad excepcional</w:t>
      </w:r>
      <w:r>
        <w:t xml:space="preserve">: ROIC sin caja del 61,2 % y ROIC incremental del 84,6 % en 2019-2025.</w:t>
      </w:r>
    </w:p>
    <w:p>
      <w:pPr>
        <w:pStyle w:val="ListParagraph"/>
        <w:numPr>
          <w:ilvl w:val="0"/>
          <w:numId w:val="2"/>
        </w:numPr>
        <w:spacing w:after="60"/>
      </w:pPr>
      <w:r>
        <w:rPr>
          <w:b/>
        </w:rPr>
        <w:t xml:space="preserve">Balance sin deuda</w:t>
      </w:r>
      <w:r>
        <w:t xml:space="preserve">: caja neta de 404 M y 431,7 M de liquidez a jun-26, tras pagar 227,4 M de dividendo [5].</w:t>
      </w:r>
    </w:p>
    <w:p>
      <w:pPr>
        <w:pStyle w:val="ListParagraph"/>
        <w:numPr>
          <w:ilvl w:val="0"/>
          <w:numId w:val="2"/>
        </w:numPr>
        <w:spacing w:after="60"/>
      </w:pPr>
      <w:r>
        <w:rPr>
          <w:b/>
        </w:rPr>
        <w:t xml:space="preserve">Dirección que cumple</w:t>
      </w:r>
      <w:r>
        <w:t xml:space="preserve">: guía de ventas alcanzada o superada en los cinco ejercicios de 2021 a 2025 [1].</w:t>
      </w:r>
    </w:p>
    <w:p>
      <w:pPr>
        <w:pStyle w:val="ListParagraph"/>
        <w:numPr>
          <w:ilvl w:val="0"/>
          <w:numId w:val="2"/>
        </w:numPr>
        <w:spacing w:after="60"/>
      </w:pPr>
      <w:r>
        <w:rPr>
          <w:b/>
        </w:rPr>
        <w:t xml:space="preserve">Múltiplo en mínimos</w:t>
      </w:r>
      <w:r>
        <w:t xml:space="preserve">: 16,6x el EBITDA de los últimos doce meses, frente a una media de 24,5x [1, 44].</w:t>
      </w:r>
    </w:p>
    <w:p>
      <w:pPr>
        <w:pStyle w:val="Heading2"/>
      </w:pPr>
      <w:r>
        <w:t xml:space="preserve">En contra</w:t>
      </w:r>
    </w:p>
    <w:p>
      <w:pPr>
        <w:pStyle w:val="ListParagraph"/>
        <w:numPr>
          <w:ilvl w:val="0"/>
          <w:numId w:val="2"/>
        </w:numPr>
        <w:spacing w:after="60"/>
      </w:pPr>
      <w:r>
        <w:rPr>
          <w:b/>
        </w:rPr>
        <w:t xml:space="preserve">Precio que exige una década como la anterior</w:t>
      </w:r>
      <w:r>
        <w:t xml:space="preserve">: crecimiento implícito del 8,4 % frente al 6,2 % de nuestro caso base.</w:t>
      </w:r>
    </w:p>
    <w:p>
      <w:pPr>
        <w:pStyle w:val="ListParagraph"/>
        <w:numPr>
          <w:ilvl w:val="0"/>
          <w:numId w:val="2"/>
        </w:numPr>
        <w:spacing w:after="60"/>
      </w:pPr>
      <w:r>
        <w:rPr>
          <w:b/>
        </w:rPr>
        <w:t xml:space="preserve">Crecimiento que se frena</w:t>
      </w:r>
      <w:r>
        <w:t xml:space="preserve">: +4,2 % en el 2T26 tras adelantar pedidos al 1T; el consenso necesita un 2S de +8,4 % [5, 47].</w:t>
      </w:r>
    </w:p>
    <w:p>
      <w:pPr>
        <w:pStyle w:val="ListParagraph"/>
        <w:numPr>
          <w:ilvl w:val="0"/>
          <w:numId w:val="2"/>
        </w:numPr>
        <w:spacing w:after="60"/>
      </w:pPr>
      <w:r>
        <w:rPr>
          <w:b/>
        </w:rPr>
        <w:t xml:space="preserve">Competencia que acelera</w:t>
      </w:r>
      <w:r>
        <w:t xml:space="preserve">: Unox, con 360 M EUR de ventas, crece ≈ 18 % al año y fabrica en EE. UU. [30, 31].</w:t>
      </w:r>
    </w:p>
    <w:p>
      <w:pPr>
        <w:pStyle w:val="ListParagraph"/>
        <w:numPr>
          <w:ilvl w:val="0"/>
          <w:numId w:val="2"/>
        </w:numPr>
        <w:spacing w:after="60"/>
      </w:pPr>
      <w:r>
        <w:rPr>
          <w:b/>
        </w:rPr>
        <w:t xml:space="preserve">Gobierno cerrado</w:t>
      </w:r>
      <w:r>
        <w:t xml:space="preserve">: bloque estable del 55,2 % y un 82,55 % del capital libre presente en contra del sistema de remuneración [1, 34].</w:t>
      </w:r>
    </w:p>
    <w:p>
      <w:pPr>
        <w:pStyle w:val="ListParagraph"/>
        <w:numPr>
          <w:ilvl w:val="0"/>
          <w:numId w:val="2"/>
        </w:numPr>
        <w:spacing w:after="60"/>
      </w:pPr>
      <w:r>
        <w:rPr>
          <w:b/>
        </w:rPr>
        <w:t xml:space="preserve">Cíclica en las caídas</w:t>
      </w:r>
      <w:r>
        <w:t xml:space="preserve">: −23 % de ventas en 2020 con el margen EBIT en el 16,4 % [15].</w:t>
      </w:r>
    </w:p>
    <w:p>
      <w:pPr>
        <w:pStyle w:val="Heading2"/>
      </w:pPr>
      <w:r>
        <w:t xml:space="preserve">Qué tiene que pasar para que la tesis funcione</w:t>
      </w:r>
    </w:p>
    <w:p>
      <w:pPr>
        <w:spacing w:after="100"/>
      </w:pPr>
      <w:r>
        <w:t xml:space="preserve">La tesis depende del crecimiento en unidades en EE. UU., donde la penetración del horno combinado es de ≈ 15 % [13]: es lo único que puede sostener un 7 % anual durante años. La señal de que no se cumple sería un Norteamérica por debajo del +5 % en moneda local dos trimestres seguidos, una vez agotado el efecto de las subidas de precio del 4-5 % de 2026 [1]. En paralelo, el margen bruto sin aranceles: por debajo del 57 %, Unox estaría ganando con precio.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 el 1S26; +4,2 % reportado en el 2T26 [5]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un 7 % anual en 2027e-2030e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+10 % en el 1S26 [5]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mercado con más recorrido (penetración ≈ 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sin aranceles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57,6 % en el 1S26 sin la devolución (59,8 % con ella) [5]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 frente a Unox y los grandes grupos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en el 1S26 sin la devolución [5]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24 %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un margen EBITDA del 29 % desde 2028e (EBIT ≈ 26 %)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Bund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 [49]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4 % o 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valoración depende más del coste de capital que de las cifras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16,6x / 15,0x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 / 22,8x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RATIONAL nace en 1973 en Landsberg am Lech, fundada por Siegfried Meister (1938-2017), con una idea: sustituir los aparatos convencionales de la cocina profesional por un solo sistema que cocina con vapor, aire caliente o ambos [19]. Desde sus primeros años se rige por la estrategia de concentración en el cuello de botella de Mewes: un solo cliente objetivo, quien cocina en caliente en una cocina profesional, y crecimiento orgánico [1, 17, 19]. Sale a bolsa en 2000 a 23 EUR por acción [16, 20]. Con la filial francesa FRIMA (Wittenheim, Alsacia) añade en 2005 el VarioCookingCenter, hoy iVario, su segunda familia de producto [19, 20]. En 2020 lanza la generación iCombi/iVario, en 2024 abre una tercera categoría con el iHexagon (vapor, convección y microondas) y en 2026 empieza a fabricar en Suzhou (China) un horno para el cliente chino sensible al precio [1, 16, 19]. El control sigue concentrado: el 55,2 % del capital está en manos del accionista de referencia y el 44,8 % es flotante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Siegfried Meister funda RATIONAL en Landsberg am Lech (Baviera)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horno combinado de RATIONAL (CD 101) y adopción de la estrategia de concentración en el cuello de botella de Mewes, que sigue guiando la empresa [17,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ClimaPlus Combi y fabricación del horno combinado número 100.000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a 23,00 EUR por acción [16,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SelfCookingCenter, horno con inteligencia de cocción, y del VarioCookingCenter de la filial francesa FRIMA, origen de la segunda familia de producto [19,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plena crisis financiera las ventas caen un 8 % (314,4 M EUR frente a 343,0 M) pero el EBIT sube un 9 % hasta 90,5 M; la empresa declara una cuota mundial superior al 50 %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Fallece el fundador (2017); FRIMA adopta la marca RATIONAL y se presenta la plataforma en la nube ConnectedCooking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iCombi Pro e iVario; la pandemia recorta las ventas un 23 % (649,6 M EUR) y el EBIT un 52 % [15,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categoría de producto, el iHexagon, y entrada en productos digitales de pago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1.259,6 M EUR (+6 %) y margen EBIT del 26,4 %; entran en vigor los aranceles de EE. UU. a las importaciones europeas, que restan margen bruto en el tercer trimestre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Arranca la fábrica de Suzhou (China) con el iCombi One, horno manual solo para China, y se fabrica el horno combinado número 1,5 millones; en el segundo trimestre se cobran unos 14 M EUR de devolución de aranceles IEEPA [1, 19,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RATIONAL fabrica sistemas de cocción para cocinas profesionales que preparan al menos 20 comidas calientes por servicio [1]. El 69 % de las ventas de 2025 son equipos (iCombi, iVario e iHexagon) y el 31 %, posventa: accesorios, productos de limpieza, repuestos y servicios [1]. El iCombi (horno combinado de vapor y aire caliente, versiones Pro inteligente y Classic manual) generó 1.108,4 M EUR en 2025 y el iVario (cocción por contacto o en líquido, que sustituye marmitas, sartenes basculantes y freidoras) 151,2 M EUR [1]. Los clientes van de restaurantes y hoteles a comedores de empresa, hospitales, colegios, ejércitos, cadenas de comida rápida, supermercados y gasolineras [1]. Vende en más de 120 países con 22 filiales comerciales y distribuidores independientes; fabrica el iCombi en Landsberg (Alemania), el iVario en Wittenheim (Francia) y, desde 2026, un horno para China en Suzhou [1, 16]. El 90 % de las ventas se hace fuera de Alemania y el 53 % en divisa distinta del euro (dólar, 20 %) [1, 16].</w:t>
      </w:r>
    </w:p>
    <w:p>
      <w:pPr>
        <w:pStyle w:val="Heading2"/>
      </w:pPr>
      <w:r>
        <w:t xml:space="preserve">Cómo gana dinero</w:t>
      </w:r>
    </w:p>
    <w:p>
      <w:pPr>
        <w:spacing w:after="100"/>
      </w:pPr>
      <w:r>
        <w:t xml:space="preserve">Vende un equipo caro y duradero (vida útil calculada de 12 años en su inventario de emisiones) a un precio que paga el ahorro de energía, agua, espacio y mano de obra del cliente [1]. El margen bruto se mantiene en el 59 % (59,0 % en 2025) y el margen EBIT en el 26 % (26,4 %), con un objetivo declarado del 25-26 % [1, 16]. La posventa (31 % de las ventas) es la parte recurrente: crece con el parque instalado y creció un 5 % en 2025 [1]. Sin deuda bancaria y con un 80 % de patrimonio sobre activo, el beneficio se reparte en un 70 % como dividendo [1, 16]. El apalancamiento operativo es alto: en 2020 una caída de ventas del 23 % redujo el EBIT un 52 % [15]. Los costes clave son acero inoxidable, componentes electrónicos y personal; en 2025 los aranceles de EE. UU. bajaron el margen bruto del tercer trimestre al 58,1 % y para 2026 la empresa estima un punto menos de margen bruto, compensado con subidas de precio del 4-5 % en EE. UU. [1]. El cuarto trimestre es el más fuerte (341,3 M EUR de 1.259,6 M en 2025)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DACH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Norte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segmentos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conciliación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DACH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Norte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segmentos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conciliación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mínima: el mayor cliente final supuso alrededor del 1 % de las ventas de 2025, y la empresa no considera material la dependencia de grandes clientes ni de distribuidores [1]. Por número de equipos vendidos, el 40 % va a restaurantes con servicio, el 40 % a restauración colectiva (comedores, hospitales, colegios), el 13 % a distribución minorista y el 7 % a restaurantes sin servicio [17]. No hay contratos plurianuales: la venta es transaccional y la recompra llega con la renovación del parque, que la propia empresa señala como motor en los mercados maduros [1]. La satisfacción del cliente se mide con un NPS de 60, dentro de la franja «best in class» de 60-80 [1, 16]. El poder de precios se ve en los márgenes: el margen bruto pasó del 55 % en 2022, con inflación de costes, al 59 % en 2024 y 2025 [1], y para 2026 la empresa traslada el arancel estadounidense con subidas del 4-5 % en EE. UU.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iCombi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Hornos mixtos, el 88 % de las ventas; 562,2 M en el 1S26 (+5 %)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iVario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Sartenes y marmitas multifunción; 79,4 M en el 1S26 (+14 %)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vendidas (equipos)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n.p. en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iCombi +6 %, iVario +12 %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publica la variación, no el número de unidades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posventa (recambios, consumibles, accesorios y servicio)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en importe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También 31 % en el 1S26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100-120 durante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publicado; junio de 2026 fue récord de entrada de pedidos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2.913 a junio de 2026; la plantilla comercial creció un 8 % interanual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20 % de las ventas está en dólares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Métrica de la empresa: EBIT / (patrimonio medio + deuda con coste media + pensiones medias); 37,8 % a jun-26 [1,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sistemas de cocción multifunción para cocinas profesionales: hornos combinados y, en menor medida, sartenes multifunción, dentro del equipamiento de cocina comercial. RATIONAL cifra en 19-19,8 millones las cocinas comerciales del mundo, de las que unos 4,8 millones son relevantes para el iCombi y 1,6 millones para el iVario [17, 18]. De esas 4,8 millones, el 12 % cocina ya con un horno de RATIONAL, el 13 % con uno de la competencia y el 75 % con aparatos tradicionales [17, 19]: la penetración del horno combinado ronda el 25 % en el mundo, el 15 % en EE. UU. y supera el 50 % en muchos mercados europeos [1, 13]. En el iVario la penetración es del 4 % (≈ 65.000 cocinas) y otro 4 % usa equipos de la competencia [18]. Para el tamaño en valor se usa el estudio de Global Industry Analysts (2.400 M USD en 2024) [29], que cuadra con la estimación propia que sale de las ventas del iCombi y una cuota del 50 % (≈ 2.110 M EUR en 2024) [1, 16]. La serie es esa estimación propia y la TCAC histórica es la de 2019-2025, para no partir del hundimiento de 2020.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2.400 M USD en 2024 (≈ 2.310 M EUR al cambio del BCE de cierre de 2024) en hornos combinados comerciales, con previsión de 4.200 M USD en 2030 [27, 29]. Estimación propia por la vía de RATIONAL (ventas del iCombi divididas por una cuota del 50 %): ≈ 2.220 M EUR en 2025 [1, 16]. El equipamiento de cocina comercial en conjunto supera los 35.000 M USD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estimación propia: ventas del grupo de producto iCombi de RATIONAL divididas por una cuota del 50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aparatos tradicionales por hornos combinados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75 % de las 4,8 millones de cocinas relevantes cocina aún con aparatos tradicionales; la penetración mundial del combinado es del 25 % [1, 17, 19]. El horno combinado número 100.000 de RATIONAL se fabricó en 1997 y el 1,5 millones en 2026 [19]. En 2025 las unidades vendidas crecieron un 6 % (iCombi +6 %, iVario +12 %) [1]; con un 12 % de las 4,8 millones de cocinas relevantes, el parque de RATIONAL equivale a unas 576.000 cocinas (estimación propia)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cocineros y coste de la mano de obra, la energía y el agua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estudio de la Universidad de Weihenstephan-Triesdorf con el comedor de AXA en Colonia (oct-2023 a feb-2025) midió ahorros del 48 % en agua, 24 % en energía y 20 % en potencia punta frente a equipos tradicionales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baja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del horno combinado de alrededor del 15 % en EE. UU. frente a más del 50 % en muchos mercados europeos [13]; Norteamérica creció un 13 % en 2025 hasta 338,2 M EUR [1]. El mercado estadounidense de hornos combinados se estima en 647,6 M USD en 2024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la restauración y renovación del parque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RATIONAL cayeron un 8 % en 2009 y un 23 % en 2020; las del segmento de restauración de Middleby, un 4,2 % en 2024 y un 1,2 % en 2025 [15, 20,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tipos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RATIONAL fabrica en Europa todo lo que vende fuera de China; los aranceles restan alrededor de 1 punto de margen bruto en 2026 y se compensan con subidas de precio del 4-5 % en EE. UU.; el 53 % de las ventas está en divisa distinta del euro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competidores locales de bajo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North cayó un 16 % en 2025 y China un 29 %; RATIONAL responde con un horno manual fabricado en Suzhou solo para China desde 2026 [1, 16]. Global Industry Analysts prevé un 13,7 % anual de crecimiento del mercado chino hasta 2030 [29].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100 fabricantes en el mundo [1], pero en hornos combinados RATIONAL tiene alrededor del 50 % [16] y un margen EBIT del 26,4 % [1], frente al 18,0 % del grupo Middleby [22] y el 6,2 % del negocio de restauración de Electrolux Professional [24]. Los grandes grupos (Ali Group, Middleby, ITW, Electrolux Professional) compiten con catálogos amplios; Unox crece deprisa en hornos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Clientela muy atomizada: el mayor cliente final pesa alrededor del 1 % de las ventas [1]. Las cadenas grandes negocian precio, pero RATIONAL mantiene un margen bruto del 59 %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genéricos (acero inoxidable, electrónica); la empresa usa proveedores redundantes y existencias de seguridad y califica el riesgo de suministro como de probabilidad muy alta pero impacto muy bajo [1]. Para 2026 espera solo una ligera subida del coste de las materias primas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décadas de software de cocción, una red de venta y servicio en más de 120 países y una base instalada; el NPS de 60 está en la franja «best in class» [1, 16]. La entrada llega por abajo, con hornos baratos en China, a los que RATIONAL responde con el iCombi One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la cocina tradicional, que pierde terreno pero aún equipa el 75 % de las cocinas relevantes [17]; los hornos rápidos con microondas (TurboChef de Middleby, Merrychef de Welbilt) compiten en comida rápida, y RATIONAL los ataca con el iHexagon desde 2024 [1, 22, 25].</w:t>
            </w:r>
          </w:p>
        </w:tc>
      </w:tr>
    </w:tbl>
    <w:p>
      <w:pPr>
        <w:spacing w:after="160" w:before="0"/>
      </w:pPr>
    </w:p>
    <w:p>
      <w:pPr>
        <w:pStyle w:val="Heading2"/>
      </w:pPr>
      <w:r>
        <w:t xml:space="preserve">Ciclo</w:t>
      </w:r>
    </w:p>
    <w:p>
      <w:pPr>
        <w:spacing w:after="100"/>
      </w:pPr>
      <w:r>
        <w:t xml:space="preserve">Los indicadores son las ventas de los fabricantes: RATIONAL crece (+6 % en 2025 y +8 % orgánico en el primer semestre de 2026) [1, 13], mientras el segmento de restauración de Middleby cae un 1,2 % en 2025 tras un 4,2 % en 2024 y el equipo de ITW cae un 0,3 % orgánico en 2025 [22, 23]. En 2009 RATIONAL vendió un 8 % menos y aun así subió el EBIT un 9 %; Middleby, un 0,8 % menos [20, 28]. En 2020 RATIONAL cayó un 23 % (EBIT -52 %), Middleby un 15 % y Welbilt un 28 % [15, 28, 33]. En 2023-2024 RATIONAL creció un 10 % y un 6 % mientras Middleby retrocedía [1, 22].</w:t>
      </w:r>
    </w:p>
    <w:p>
      <w:pPr>
        <w:pStyle w:val="Heading2"/>
      </w:pPr>
      <w:r>
        <w:t xml:space="preserve">Regulación</w:t>
      </w:r>
    </w:p>
    <w:p>
      <w:pPr>
        <w:spacing w:after="100"/>
      </w:pPr>
      <w:r>
        <w:t xml:space="preserve">Aranceles: desde la primavera de 2025 EE. UU. grava las importaciones europeas; RATIONAL, que abastece ese mercado solo desde Europa, perdió margen bruto en el tercer trimestre de 2025 (58,1 %) y prevé un punto menos en 2026, compensado con subidas del 4-5 % [1]. Tras la sentencia del Tribunal Supremo de EE. UU. sobre los aranceles IEEPA cobró unos 14 M EUR de devolución en el segundo trimestre de 2026, contabilizados en el coste de ventas, y mantiene los aranceles vigentes como riesgo material [1, 21]. Sostenibilidad: CSRD/ESRS y taxonomía europea (sus ventas siguen sin ser elegibles para mitigación climática) y la restricción europea de PFAS en tramitación, que obliga a revisar juntas y recubrimientos (PTFE, FKM) [1].</w:t>
      </w:r>
    </w:p>
    <w:p>
      <w:pPr>
        <w:pStyle w:val="Heading2"/>
      </w:pPr>
      <w:r>
        <w:t xml:space="preserve">Tendencias y disrupción</w:t>
      </w:r>
    </w:p>
    <w:p>
      <w:pPr>
        <w:spacing w:after="100"/>
      </w:pPr>
      <w:r>
        <w:t xml:space="preserve">Tres tendencias favorecen a RATIONAL. La escasez de cocineros empuja a equipos que cocinan solos: el iCombi Pro detecta el alimento y ajusta la cocción [1]. La electrificación y el coste de la energía premian equipos eficientes; el 86 % de las emisiones de la cadena de RATIONAL sale del uso de sus equipos (2,65 Mt CO2e de 3,09 Mt en 2025), así que una red eléctrica más limpia refuerza su argumento [1]. La conectividad (ConnectedCooking) y las aplicaciones de pago abren ingresos recurrentes [16]. En contra, la comida rápida exige velocidad (de ahí el iHexagon con microondas) y en China surgen competidores locales baratos [1, 16]. Unox, con 360 M EUR de ventas en 2025, un plan para duplicarlas en 2030 y fábrica en EE. UU., es el retador más agresivo [30, 31].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hornos combinados para cocina profesional: alrededor del 50 % de cuota según la empresa [16] (ya «más del 50 %» en 2009 [20]); en número de cocinas, el 12 % de las 4,8 millones relevantes usa un RATIONAL frente al 13 % de todos los competidores juntos [17, 19]. En iVario, la mitad de las cocinas equipadas (4 % frente a 4 %) [18]. Estimación propia por valor: el iCombi facturó 1.056 M EUR en 2024 frente a un mercado de ≈ 2.310 M EUR, un 46 % [1, 27, 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Middleby (Commercial Foodservice)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compras con decenas de marcas (Blodgett Combi, Houno, TurboChef, Pitco). Ventas del segmento: 2.351 M USD en 2025 (-1,2 %); EBITDA ajustado del segmento del 26,7 %; el margen EBIT es el operativo del grupo (operaciones continuadas), 18,0 % [22]. Vendió el 51 % de su negocio residencial y prepara la escisión de procesado de alimentos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ITW Food Equipment (Hobart, Vulcan)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ITW: lavado de vajilla, cocción, refrigeración, preparación y un negocio de servicio que crece más que el equipo (+2,8 % frente a -0,3 % orgánico en 2025). Ventas de 2.699 M USD y margen operativo del 27,9 %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 Group (Welbilt: Convotherm, Merrychef)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Acordó comprar Welbilt en julio de 2021 por 24 USD por acción (≈ 4.800 M USD de valor empresa) [25]. Ingresos y margen son las últimas cuentas públicas de Welbilt (2021): 1.546,9 M USD de ventas y 181,6 M USD de resultado operativo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Electrolux Professional (Food &amp;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EPRO-B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Hornos combinados SkyLine dentro de una oferta completa de cocina. Ventas de restauración de 7.317 M SEK en 2025 (+1,1 % orgánico) con resultado operativo del 6,2 % (EBITA sin extraordinarios del 10,7 %); grupo: 12.169 M SEK y 8,4 % [24,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Hoshizaki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6465</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máquinas de hielo y refrigeración; poca presencia en cocción. Ventas de 485.890 M JPY en 2025 (+9,1 %) y beneficio operativo de 51.932 M JPY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Unox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especialista en hornos (combinados y de convección). Ventas de 134 M EUR en 2019, 330 M EUR en 2024 y 360 M EUR en 2025, con plan de duplicarlas en 2030; fábrica en Carolina del Norte (EE. UU.) [30, 31]. No publica márgenes.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ConnectedCooking conecta equipos y recetas dentro de una cadena, pero no hay efecto de red entre clientes distintos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cadenas estandarizan recetas y formación sobre un equipo; la posventa (31 % de las ventas) crece con el parque y el iCombi Pro sustituye incluso combinados antiguos [1]. Cuota estable en torno al 50 % desde al menos 2009 [2,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Inventó la categoría y su software de cocción inteligente no tiene equivalente directo; NPS de 60 [1, 2]. Margen bruto del 59 % frente al 40,2 % del segmento de restauración de Middleby [1,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especializadas (Landsberg y Wittenheim; esta con capacidad para 25.000 iVario al año ampliable a 75.000) [3, 4] y ninguna deuda bancaria [1]. Margen EBIT del 26,4 % en 2025 y del 26-29 % en todos los años de 2011 a 2019 [1,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100 fabricantes, pero RATIONAL tiene casi tantas cocinas equipadas como todos los demás juntos (12 % frente a 13 %) y una red de venta y servicio en más de 120 países que un entrante tardaría años en replicar [1, 2, 3].</w:t>
            </w:r>
          </w:p>
        </w:tc>
      </w:tr>
    </w:tbl>
    <w:p>
      <w:pPr>
        <w:spacing w:after="160" w:before="0"/>
      </w:pPr>
    </w:p>
    <w:p>
      <w:pPr>
        <w:pStyle w:val="Heading2"/>
      </w:pPr>
      <w:r>
        <w:t xml:space="preserve">Amenazas</w:t>
      </w:r>
    </w:p>
    <w:p>
      <w:pPr>
        <w:spacing w:after="100"/>
      </w:pPr>
      <w:r>
        <w:t xml:space="preserve">La amenaza principal es una fusión que cree un rival grande con capacidad de innovación y venta, riesgo que la propia empresa señala [1]; Ali Group (con Welbilt) y Middleby ya suman decenas de marcas [22, 25]. La segunda, los combinados manuales baratos, sobre todo chinos, en el segmento sensible al precio, donde RATIONAL vendió un 29 % menos en China en 2025 [1]. La tercera, Unox, que crece en torno al 18 % anual desde 2019 (estimación propia con sus ventas publicadas) y fabrica ya en EE. UU., donde RATIONAL paga arancel [1, 31]. La probabilidad de que el margen se erosione de forma visible en cinco años parece baja-media: la cuota se ha mantenido en torno al 50 % desde 2009 [16, 20].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2019-2025: ingresos </w:t>
      </w:r>
      <w:r>
        <w:rPr>
          <w:b/>
          <w:bCs/>
        </w:rPr>
        <w:t xml:space="preserve">6,9 %</w:t>
      </w:r>
      <w:r>
        <w:t xml:space="preserve">, EBITDA </w:t>
      </w:r>
      <w:r>
        <w:rPr>
          <w:b/>
          <w:bCs/>
        </w:rPr>
        <w:t xml:space="preserve">6,8 %</w:t>
      </w:r>
      <w:r>
        <w:t xml:space="preserve">, BPA </w:t>
      </w:r>
      <w:r>
        <w:rPr>
          <w:b/>
          <w:bCs/>
        </w:rPr>
        <w:t xml:space="preserve">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843,6 M en 2019 a 1.259,6 M en 2025, todo crecimiento orgánico: el grupo no ha comprado ninguna empresa desde 1993 [1, 15]. La serie tiene un año anómalo, 2020 (COVID), con ventas -23 % y margen EBIT del 16,4 %, recuperado en dos años (+20 % en 2021 y +31 % en 2022) [4, 15]. El margen bruto cayó del 59,0 % de 2019 al 55,1-55,3 % en 2021-2022 y volvió al 59,2 % en 2024 y al 59,0 % en 2025 [1, 3, 15]. El margen EBIT subió del 20,5 % (2021) al 26,4 % (2025). En 2025 las ventas crecieron un 5,5 % (8 % sin efecto divisa); los aranceles de EE. UU. bajaron el margen bruto del tercer trimestre al 58,1 %, y el cuarto lo recuperó hasta el 59,9 % [1]. Los gastos de I+D crecen más deprisa que las ventas: 75,8 M en 2025 (6,0 % de las ventas) frente a 45,1 M en 2021 (5,8 %) [1, 4]. En 2026 la empresa mantiene la previsión de crecimiento de un dígito medio-alto y margen EBIT del 25-26 % [5].</w:t>
      </w:r>
    </w:p>
    <w:p>
      <w:pPr>
        <w:pStyle w:val="Heading2"/>
      </w:pPr>
      <w:r>
        <w:t xml:space="preserve">Ajustes y partidas no recurrentes</w:t>
      </w:r>
    </w:p>
    <w:p>
      <w:pPr>
        <w:spacing w:after="100"/>
      </w:pPr>
      <w:r>
        <w:t xml:space="preserve">Las cifras son las reportadas. Partidas no recurrentes o de distorsión: (1) devolución de aranceles IEEPA de EE. UU. por 13,9 M en el 2T26, registrada como menor coste de ventas; sin ella, el margen EBIT del 1S26 sería del 24,3 % en vez del 26,5 % [5]. </w:t>
      </w:r>
      <w:r>
        <w:rPr>
          <w:b/>
        </w:rPr>
        <w:t xml:space="preserve">El LTM a jun-26 del informe la excluye</w:t>
      </w:r>
      <w:r>
        <w:t xml:space="preserve"> (EBITDA 371,9 M en vez de 385,7 M, EBIT 335,2 M en vez de 349,1 M, beneficio 255,6 M y BPA 22,48 EUR tras el 25,8 % de impuestos; estimación propia): es un cobro único por aranceles declarados ilegales, no una mejora del negocio; (2) resultado neto por divisas en otros ingresos y gastos de explotación: +1,9 M en 2021, −0,6 M en 2022, −4,5 M en 2023, −9,4 M en 2024, −1,6 M en 2025 y +0,9 M en el 1S26 [1, 2, 3, 4, 5]; se deja dentro, porque se repite todos los años; (3) hiperinflación (NIC 29, Turquía) en el resultado financiero, por debajo de 0,5 M al año [1]; (4) reexpresión de 2023 por NIC 8: un activo por impuesto diferido en Suiza no reconocido desde 2020 eleva el gasto fiscal de 2023 a 70,1 M (68,3 M publicado) y el beneficio pasa de 215,8 M a 214,0 M [2]; (5) alargamiento de la vida útil del desarrollo capitalizado de cinco a diez años en 2025, que reduce la amortización en 1,5 M al año en 2025-2028 [1]. La cuenta se presenta por función: los gastos generales suman ventas y servicio y administración.</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Rational no publica transcripción de sus conferencias; las preguntas se envían por chat y el diálogo con analistas sigue en una llamada de seguimiento de relación con inversores (11-ago-2026) [11]. En la conferencia del 1T26 (6-may) la dirección explicó el salto del 11 % en ventas sin efecto divisa por el adelanto de compras antes de la subida de precios en EE. UU. de febrero, avisó de que el margen bruto caía 155 pb (57,6 %) por aranceles y divisa, y añadió dos riesgos nuevos: el fallo del Supremo de EE. UU. contra los aranceles IEEPA, con una devolución reclamada de unos 14 M USD y nuevos aranceles de la sección 232 del 25 %, y la guerra de Irán, con Oriente Medio en torno al 3 % de las ventas [12, 14]. Tres meses después (6-ago) el discurso cambió de foco: el 2T26 creció solo un 4 % por la resaca de ese adelanto, pero la devolución de 13,9 M elevó el margen EBIT del trimestre al 29,0 %; la dirección la presentó como la causa de un margen bruto inesperadamente alto (59,8 % en el semestre) y mantuvo la previsión anual de margen EBIT del 25-26 %, que ya incluye la devolución [5, 11]. Como novedad, citó un récord de entrada de pedidos en junio y nuevas presiones de coste en acero inoxidable, logística, componentes y aranceles [13]. China sigue cayendo (Asia Norte -1 % en el 1S26) por la reestructuración y el lanzamiento del iCombi One, un modelo que se fabrica en China [1, 5]. Los trimestres de la tabla salen de los comunicados trimestrales y semestrales; el cuarto trimestre es el año menos los nueve meses [1, 6, 7, 8, 9,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y casi sin pasivos financieros: patrimonio del 80 % del activo en 2025 [1]. La liquidez creció de 231 M en 2019 a 544 M en 2025 aunque el grupo repartió entre el 70 % y el 90 % del beneficio, porque el capex ronda la amortización (33,7 M frente a 37,0 M en 2025). El circulante comercial (existencias + clientes - proveedores) subió de 255,5 M en 2024 a 291,8 M en 2025, por encima del crecimiento de las ventas, por la capitalización de aranceles en las existencias y unos clientes mayores (199,9 M frente a 181,1 M) [1]. En 2022 los clientes saltaron 65,9 M con el repunte de ventas posterior a la COVID [3]. Los saldos de 2022 y 2023 son los reexpresados por la empresa en el informe de 2024 (NIC 8, +24,0 M de activo por impuesto diferido)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1.107</w:t>
      </w:r>
      <w:r>
        <w:t xml:space="preserve">, conversión </w:t>
      </w:r>
      <w:r>
        <w:rPr>
          <w:b/>
          <w:bCs/>
        </w:rPr>
        <w:t xml:space="preserve">87 %</w:t>
      </w:r>
      <w:r>
        <w:t xml:space="preserve"> del beneficio neto; adquisiciones 0, dividendos 819, recompras 0.</w:t>
      </w:r>
    </w:p>
    <w:p>
      <w:pPr>
        <w:spacing w:after="100"/>
      </w:pPr>
      <w:r>
        <w:t xml:space="preserve">La conversión de beneficio en caja es alta: el flujo operativo igualó o superó al beneficio neto en 2023-2025 (1,0 veces en 2025, 1,1 en 2024) [1, 2]. Los años flojos se explican por el circulante: 2020 (92,7 M, impuestos pagados por encima del gasto) y 2022 (160,6 M, con 90,4 M de aumento de clientes y otros activos) [3, 15]. El flujo operativo de 2025 bajó a 253,1 M (283,1 M en 2024) por el aumento de existencias con aranceles capitalizados y pagos de impuestos de años anteriores [1, 5]. El capex es reducido, 25-41 M al año (2,7 % de las ventas en 2025), parecido a la amortización; la empresa no separa mantenimiento y crecimiento. Estimación propia: el capex de mantenimiento se aproxima a la amortización de inmovilizado material e intangible que recoge la nota de segmentos (26,1 M en 2025), y el resto corresponde a la nueva planta en China y al edificio de recambios de Landsberg [1, 5]. Los intereses cobrados (12,2 M en 2025) se clasifican en inversión, no en explotación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GmbH (ejercicios 2021-2025); PricewaterhouseCoopers propuesto para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firmó sin salvedades las cuentas de 2025, quinto año seguido; para 2026 la junta nombró a PwC con un 15,57 % de votos en contra, y su primer cierre (marzo de 2027) es el que hay que leer con atención [1, 34]. Hay tres decisiones contables a conocer. En 2024 se reexpresó 2023 por NIC 8 al aflorar un activo por impuesto diferido en Suiza no reconocido desde 2020 (24,0 M en el patrimonio de apertura): un error a favor del accionista, pero un error [2]. En 2025 se alargó de cinco a diez años la vida útil del desarrollo capitalizado, con 1,5 M menos de amortización al año hasta 2028; el saldo es pequeño (13,3 M) y en 2025-2026 no se capitalizó desarrollo nuevo [1, 5]. Los aranceles de EE. UU. se activan en existencias y llegan al coste de ventas con retraso, así que parte del coste de 2025 pasa a 2026 [1]. No hay remuneración en acciones relevante, ni fondo de comercio salvo 0,4 M de 1993, ni deterioros [1]. Los tres indicadores no avisan de nada: un Altman Z de 20,03, en zona segura (sin significado práctico con un 80 % de patrimonio sobre activo); un Piotroski F de 5, que pierde los puntos de ROA, margen bruto y rotación porque 2025 creció menos que el capital, y el de conversión porque el flujo operativo (253,1 M) quedó apenas por debajo del beneficio (253,8 M) al subir existencias y clientes; y un Beneish M de −2,43, por debajo del umbral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de Deloitte a PwC para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Propuesto por el consejo de supervisión a recomendación del comité de auditoría tras cinco años de Deloitte; no se explican desacuerdos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2023 por un activo fiscal diferido no reconocido (NIC 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+24,0 M en el patrimonio y -1,8 M en el beneficio de 2023; origen en un acuerdo fiscal suizo de 2020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Devolución de aranceles IEEPA de 13,9 M en el coste de ventas del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 no recurrente dentro del EBIT y del LTM; eleva 2,2 puntos el margen EBIT del 1S26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Alargamiento de la vida útil del desarrollo capitalizado (5 a 10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el EBIT en 1,5 M al año en 2025-2028, el 0,5 % del EBIT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en divisas con control de capitales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 M de la caja y 0,3 M de otros activos financieros a dic-25, sobre todo en China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84,6 % · </w:t>
      </w:r>
      <w:r>
        <w:rPr>
          <w:b/>
          <w:bCs/>
        </w:rPr>
        <w:t xml:space="preserve">WACC</w:t>
      </w:r>
      <w:r>
        <w:t xml:space="preserve">: 9,2 %.</w:t>
      </w:r>
    </w:p>
    <w:p>
      <w:pPr>
        <w:spacing w:after="100"/>
      </w:pPr>
      <w:r>
        <w:t xml:space="preserve">Rational crea valor con holgura y desde siempre: el ROIC sin caja fue del 61,2 % en 2025 y del 62,6 % en 2024, frente a un WACC del 9,24 %; el mínimo de los siete años fue el 27,2 % de 2020, con las cocinas cerradas por la COVID, y aun así casi triplicó el coste de capital. El capital invertido es pequeño: 251 M de inmovilizado y un circulante del 23,2 % de las ventas frente a un EBIT de 332,6 M [1]. Lo que mueve el ROIC es el margen (EBIT del 26,4 %), no la rotación ni el apalancamiento, que es nulo. El ROIC incremental de 2019-2025 es del 84,6 %: cada euro nuevo invertido ha rendido más que el capital ya existente, porque las ventas crecieron con poca fábrica nueva. El ROE (28,2 %) queda muy por debajo del ROIC porque 544 M de liquidez, el 46 % del activo, rinden en torno al 2 % [1]. Los competidores están lejos con la misma fuente: Middleby 10,4 %, Electrolux Professional 9,7 %, Hoshizaki 14,1 %; solo ITW (29,3 %) y Kone y Schindler (54-55 %) se acercan [62].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186,3 M + depósitos a plazo 353,1 M + fondo monetario 5,0 M = 544,4 M a dic-25, sin deuda bancaria desde 2023 [1]. A jun-26, tras pagar 227,4 M de dividendo: caja 206,0 M y otros activos financieros corrientes 226,2 M; la empresa cifra su posición financiera neta en unos 430 M [5]. De la caja de dic-25, 13,5 M están en divisas con control de capitales, sobre todo en China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covenants ni rating. Los pasivos por arrendamiento suman 27,1 M a dic-25 (9,5 M corrientes) [1]. Las pensiones son pequeñas: 6,5 M [1]. Las provisiones (101,4 M en total, 87,9 M corrientes) son de explotación: personal 36,1 M, bonificaciones comerciales 27,5 M, garantías 21,5 M y otras 16,4 M [1]. A jun-26 suben por la provisión de costes arancelarios en EE. UU. [5]. No constan opciones de venta de minoritarios, pagos aplazados por adquisiciones, factoring ni confirming en las notas revisadas del informe anual [1].</w:t>
      </w:r>
    </w:p>
    <w:p>
      <w:pPr>
        <w:pStyle w:val="Heading1"/>
      </w:pPr>
      <w:r>
        <w:t xml:space="preserve">12. Asignación de capital</w:t>
      </w:r>
    </w:p>
    <w:p>
      <w:pPr>
        <w:pStyle w:val="Confianza"/>
        <w:spacing w:after="100"/>
      </w:pPr>
      <w:r>
        <w:t xml:space="preserve">Confianza: Alta</w:t>
      </w:r>
    </w:p>
    <w:p>
      <w:pPr>
        <w:spacing w:after="100"/>
      </w:pPr>
      <w:r>
        <w:t xml:space="preserve">Rational aspira a repartir en torno al 70 % del beneficio del grupo y completa con dividendos extraordinarios cuando la caja se acumula: 2,50 EUR en los ejercicios 2021 y 2022 y 4,00 EUR en 2025, sobre un ordinario de 16,00 EUR (20,00 EUR en total, 227,4 M pagados en mayo de 2026, el 90 % del beneficio) [1, 5]. No recompra acciones ni tiene autocartera; el número de acciones, 11,37 M, no ha cambiado en todo el periodo analizado [1, 15]. La prioridad declarada es mantener una liquidez alta e independiente de bancos y mercados de capitales [5]. La inversión se dedica a capacidad propia: la nueva planta de China y el edificio de recambios de Landsberg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asignación de capital es sencilla y disciplinada: crecimiento orgánico, capex bajo y casi todo el flujo libre devuelto en dividendos. Entre 2019 y 2025 el grupo pagó 819 M de dividendos frente a unos 1.110 M de flujo libre después de arrendamientos, y aun así la liquidez pasó de 231 M a 544 M [1, 3, 4, 15]. No ha hecho ninguna adquisición desde la de Wittenheim (Francia) en 1993, origen del único fondo de comercio (0,4 M) [1]. No hay dilución: el número de acciones es el mismo en todo el periodo [1]. Lo discutible es la caja ociosa: más de 500 M rentan unos 10-13 M de intereses al año, y la empresa la usa como colchón en lugar de recomprar acciones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Peter Stadelmann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Vorstand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años en Malik Management (St. Gallen), del que fue director general del grupo entre 2006 y 2012; entró en el Vorstand de RATIONAL en 2012 y lo preside desde enero de 2014 [43]. En su etapa las ventas pasaron de 613 M EUR (2016) a 1.260 M EUR (2025) y el EBIT de 167 a 333 M EUR [1]. Contrato hasta noviembre de 2027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Jörg Walter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Puestos financieros en RÜTGERS y ROTO Frank; en el grupo RATIONAL desde 2011, donde llevó el controlling del grupo antes de entrar en el Vorstand en marzo de 2021 [38, 43]. Contrato hasta febrero de 2029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Martin Hermann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técnico (CTO; también las áreas de operaciones desde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mecánico (doctorado por Stuttgart); consejero delegado de H. Stoll y CTO/COO de Hauni Maschinenbau desde 2012 [43]. En el Vorstand desde septiembre de 2022; en 2025 asumió las áreas del COO saliente Peter Wiedemann y fue renovado hasta agosto de 2030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Markus Paschmann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y de marketing (CSMO)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en Siemens, Harting y el Vorstand de Sick AG (desde 2006); responsable de ventas y marketing de RATIONAL desde diciembre de 2013 [43]. Renovado en julio de 2025 hasta febrero de 2029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Walter Kurtz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Aufsichtsrat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de RATIONAL con Siegfried Meister en 1973, vicepresidente del Aufsichtsrat de 1998 a 2017 y presidente desde el 11 de agosto de 2017; la empresa lo presenta como accionista ancla [43]. Los estatutos le dan el derecho a nombrar hasta dos consejeros: en 2024 se nombró a sí mismo y a su hijo Moritz Graser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Febrero de 2021: ligero aumento de unidades y ventas y margen EBIT al nivel de 2020 (16 %); elevada por hecho relevante en julio de 2021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+20 %, unidades +19 %, margen EBIT 21 %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con crecimiento de dos dígitos bajos, ventas +10-15 % y EBIT creciendo algo más que las ventas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+31 %, EBIT +48 %, margen EBIT 23,2 %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con crecimiento de un dígito alto, unidades de un dígito bajo-medio, margen EBIT algo por debajo de 2022 y ROCE en torno al 36 %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+10 %, unidades 0 %, margen EBIT 24,6 %, ROCE 38,9 %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y ventas con crecimiento de un dígito medio-alto, margen EBIT cercano al de 2023 y ROCE en torno al 37 %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+6 %, unidades +3 %, margen EBIT 26,3 %, ROCE 39,1 %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y ventas con crecimiento de un dígito medio, margen EBIT en torno al 26 % y ROCE algo por encima del 37 %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+6 %, unidades +6 %, margen EBIT 26,4 %, ROCE 36,7 %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Unidades y ventas con crecimiento de un dígito medio-alto y margen EBIT del 25-26 % [1,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con ventas +6 % (+8 % orgánico) y margen EBIT del 26,5 %, o 24,3 % sin el reembolso arancelario de unos 14 M EUR; guía confirmada en agosto [5,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es estable y de casa: el CEO lleva doce años en el cargo, el CSMO trece y el CFO salió del controlling del grupo. En los cinco ejercicios cerrados la guía de ventas se cumplió o se superó; los fallos son menores, en unidades (2023 y 2024) o en ROCE (2025: 36,7 % frente a «algo por encima del 37 %») [1, 2, 3]. El margen EBIT batió la guía todos los años, lo que apunta a previsiones prudentes. El riesgo está en la sucesión: el contrato del CEO, nacido en 1965, vence en noviembre de 2027 y no hay plan público; el Vorstand pasó de cinco a cuatro miembros al retirarse el COO a finales de 2024, y el CTO asumió sus áreas [38, 43]. El Aufsichtsrat no tiene comisión de nombramientos: decidirá en pleno y con el peso del núcleo fundador.</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Peter Stadelmann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presidente del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Vorstand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Jörg Walter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Vorstand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Martin Hermann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CTO,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Vorstand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Markus Paschmann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CSMO,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Vorstand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Walter Kurtz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Aufsichtsrat; cofundador y accionista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Erich Baumgärtner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Aufsichtsrat; antiguo CFO de RATIONAL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Moritz Graser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Aufsichtsrat, nombrado por Walter Kurtz (su padre)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Clarissa Käfer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Christoph Lintz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Werner Schwind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Dr. Johannes Würbser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Aufsichtsrat; persona estrechamente vinculada a Franziska Würbser, del pacto Meister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16,60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Gabriella Meister y Franziska Würbser (pacto de sindicación)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del fundador Siegfried Meister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3.590.810 acciones a principios de 2026, frente a 3.581.578 declaradas en 2019; Franziska Würbser vendió 27.000 acciones (16,6 M EUR) el 9 de diciembre de 2025 [1, 3,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Ulrike Meister (incluye 55.000 acciones de HONUA Natur &amp; Mensch Stiftung)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1.772.316 acciones, frente a 1.803.464 en 2019 [1,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Miembros del Aufsichtsrat (sobre todo el cofundador Walter Kurtz)</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los 13.314 miles de EUR de dividendo de 2024 cobrados por los consejeros, a 15 EUR por acción, son 887.600 acciones; cuadra con las 887.603 acciones excluidas del voto sobre la gestión del Aufsichtsrat en 2026 [1,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empresa, con un 55,2 % de accionistas estables, igual que en 2021 [1,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acciones propias ni autorización de recompra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Franziska Würbser (persona estrechamente vinculada al consejero Dr. Johannes Würbser)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sistema es </w:t>
      </w:r>
      <w:r>
        <w:rPr>
          <w:b/>
        </w:rPr>
        <w:t xml:space="preserve">conservador y sin acciones</w:t>
      </w:r>
      <w:r>
        <w:t xml:space="preserve">: en torno a un 70 % de fijo, un 10 % de variable anual ligado al beneficio neto del grupo frente al presupuesto y un 20 % de variable a tres años, que depende en un 75 % del ROCE medio y en un 25 % de objetivos no financieros (calidad MIS-12 y equipos conectados en 2025-2027) [38, 39]. Hay malus y clawback, tope de 3,5 M EUR para el CEO, indemnización máxima de dos anualidades y no competencia de dos años pagada al 50 % [38, 39]. En 2025 el CEO devengó 2,28 M EUR, unas 24 veces el coste medio por empleado [1, 38]. Se aparta del código alemán en tres puntos: no hay grupo de comparación, no hay pago en acciones ni obligación de tenerlas, y el variable largo mide tres años y no cuatro [1]. </w:t>
      </w:r>
      <w:r>
        <w:rPr>
          <w:b/>
        </w:rPr>
        <w:t xml:space="preserve">El flotante lo rechaza</w:t>
      </w:r>
      <w:r>
        <w:t xml:space="preserve">: el sistema de 2026 salió con un 69,19 % a favor y el informe de 2025 con un 72,00 % [34]. Descontando el núcleo fundador, votó en contra en torno al 83 % y al 75 % del capital libre presente.</w:t>
      </w:r>
    </w:p>
    <w:p>
      <w:pPr>
        <w:pStyle w:val="Heading2"/>
      </w:pPr>
      <w:r>
        <w:t xml:space="preserve">Operaciones vinculadas, estructura de control y defensas</w:t>
      </w:r>
    </w:p>
    <w:p>
      <w:pPr>
        <w:spacing w:after="100"/>
      </w:pPr>
      <w:r>
        <w:t xml:space="preserve">Una acción, un voto y sin autocartera, pero el capital está cerrado: la familia del fundador suma el 47,17 % (31,58 % en el pacto de Gabriella Meister y Franziska Würbser y 15,59 % de Ulrike Meister) y los consejeros, sobre todo el cofundador Walter Kurtz, en torno a un 7,8 % [1]. Con una asistencia a la junta del 87-90 % del capital en 2024-2026, ese bloque del 55 % decide [34, 35, 36, 37]. Kurtz preside el Aufsichtsrat desde 2017 y los estatutos le dan el derecho a nombrar dos de los siete consejeros sin pasar por la junta; lo usó en 2024 para sí mismo y para su hijo [1]. Aun así, la empresa declara que </w:t>
      </w:r>
      <w:r>
        <w:rPr>
          <w:b/>
        </w:rPr>
        <w:t xml:space="preserve">no tiene accionista de control</w:t>
      </w:r>
      <w:r>
        <w:t xml:space="preserve"> a efectos del código y califica de independiente a Johannes Würbser, vinculado al pacto [1, 42]. Las operaciones con partes vinculadas son menores (2,8 M EUR de compras a sociedades de un consejero) y no hay pactos de cambio de control con el Vorstand [1].</w:t>
      </w:r>
    </w:p>
    <w:p>
      <w:pPr>
        <w:pStyle w:val="Heading2"/>
      </w:pPr>
      <w:r>
        <w:t xml:space="preserve">Señales de alerta</w:t>
      </w:r>
    </w:p>
    <w:p>
      <w:pPr>
        <w:pStyle w:val="ListParagraph"/>
        <w:numPr>
          <w:ilvl w:val="0"/>
          <w:numId w:val="2"/>
        </w:numPr>
        <w:spacing w:after="60"/>
      </w:pPr>
      <w:r>
        <w:t xml:space="preserve">Rechazo creciente del flotante a la remuneración: el sistema bajó del 77,62 % a favor (2025) al 69,19 % (2026), y el informe de remuneración se aprobó con un 72,00 % [34, 40].</w:t>
      </w:r>
    </w:p>
    <w:p>
      <w:pPr>
        <w:pStyle w:val="ListParagraph"/>
        <w:numPr>
          <w:ilvl w:val="0"/>
          <w:numId w:val="2"/>
        </w:numPr>
        <w:spacing w:after="60"/>
      </w:pPr>
      <w:r>
        <w:t xml:space="preserve">La empresa declara que no tiene accionista de control y califica de independiente al consejero Johannes Würbser, aunque Franziska Würbser, del pacto Meister del 31,58 %, consta como persona estrechamente vinculada a él [1, 41, 42].</w:t>
      </w:r>
    </w:p>
    <w:p>
      <w:pPr>
        <w:pStyle w:val="ListParagraph"/>
        <w:numPr>
          <w:ilvl w:val="0"/>
          <w:numId w:val="2"/>
        </w:numPr>
        <w:spacing w:after="60"/>
      </w:pPr>
      <w:r>
        <w:t xml:space="preserve">El presidente Walter Kurtz tiene un derecho estatutario a nombrar dos de los siete miembros del Aufsichtsrat; en 2024 se nombró a sí mismo y a su hijo [1].</w:t>
      </w:r>
    </w:p>
    <w:p>
      <w:pPr>
        <w:pStyle w:val="ListParagraph"/>
        <w:numPr>
          <w:ilvl w:val="0"/>
          <w:numId w:val="2"/>
        </w:numPr>
        <w:spacing w:after="60"/>
      </w:pPr>
      <w:r>
        <w:t xml:space="preserve">Venta de 27.000 acciones (16,6 M EUR) por Franziska Würbser el 9 de diciembre de 2025 [42].</w:t>
      </w:r>
    </w:p>
    <w:p>
      <w:pPr>
        <w:pStyle w:val="ListParagraph"/>
        <w:numPr>
          <w:ilvl w:val="0"/>
          <w:numId w:val="2"/>
        </w:numPr>
        <w:spacing w:after="60"/>
      </w:pPr>
      <w:r>
        <w:t xml:space="preserve">Cambio de auditor: PwC sustituye a Deloitte para 2026, con un 15,57 % de votos en contra [34, 36].</w:t>
      </w:r>
    </w:p>
    <w:p>
      <w:pPr>
        <w:pStyle w:val="ListParagraph"/>
        <w:numPr>
          <w:ilvl w:val="0"/>
          <w:numId w:val="2"/>
        </w:numPr>
        <w:spacing w:after="60"/>
      </w:pPr>
      <w:r>
        <w:t xml:space="preserve">Sucesión: el contrato del CEO vence en noviembre de 2027 y no hay comisión de nombramientos [1, 38].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el informe semestral de 2026, publicado el 6 de agosto, Rational confirma para el conjunto del año un crecimiento de las ventas de un dígito medio-alto y un margen EBIT dentro del rango previo del 25 % al 26 % [5]. La previsión incluye una devolución de aranceles de unos 14 M EUR y los efectos negativos de los aranceles de importación en EE. UU. y de mayores costes logísticos y de materias primas, que la dirección señala como las principales incertidumbres del segundo semestre [5]. La próxima actualización llega con la declaración de los nueve meses, el 5 de noviembre de 2026, seguida del día del mercado de capitales del 19 de noviembre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[47, 48]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[47, 48]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[47, 48]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585,00 – 1.070,00</w:t>
            </w:r>
          </w:p>
        </w:tc>
      </w:tr>
    </w:tbl>
    <w:p>
      <w:pPr>
        <w:spacing w:after="160" w:before="0"/>
      </w:pPr>
    </w:p>
    <w:p>
      <w:pPr>
        <w:pStyle w:val="Heading2"/>
      </w:pPr>
      <w:r>
        <w:t xml:space="preserve">Revisiones de estimaciones</w:t>
      </w:r>
    </w:p>
    <w:p>
      <w:pPr>
        <w:spacing w:after="100"/>
      </w:pPr>
      <w:r>
        <w:t xml:space="preserve">MarketScreener solo publica la evolución de las estimaciones en gráficos, sin cifras, así que no hay un cambio medible del BPA ni del EBITDA a 3 y 12 meses. El consenso de 14 analistas es «Outperform», con un precio objetivo medio de 795,86 EUR, un 37,8 % sobre el cierre, y un rango de 585 a 1.070 EUR [46]. finanzen.net recoge nueve objetivos con una media de 829,62 EUR: Bernstein 1.070, Barclays 860, Berenberg 835, Goldman Sachs 831, UBS 805, Warburg 800, Deutsche Bank 756 y RBC 680; DZ Bank, en neutral, sin objetivo [52]. Tras los resultados del 6 de agosto, Deutsche Bank, RBC y DZ Bank mantuvieron neutral y el resto, compra [46]. Las estimaciones completas salen de un solo proveedor; finanzen.net sirve de contraste del precio objetivo.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Rational pierde un 12,7 % en el año y un 18,5 % a doce meses, frente a un -0,2 % y un -0,9 % del MDAX y un +8,9 % y un +7,3 % del ETF de bienes industriales europeos [44]. La diferencia se abrió en 2025 (-19,7 % frente a +19,7 % del MDAX) y es sobre todo compresión del múltiplo: el EV/EBITDA de cierre pasó de 25,2x en 2024 a 18,9x en 2025, y hoy es de 15,8x sobre el consenso de 2026 [48]. El semestral señala los aranceles de EE. UU. y los costes logísticos como la principal incertidumbre [5]. La caída máxima en cinco años, del 53,8 %, fue entre noviembre de 2021 y septiembre de 2022, con la subida de tipos [44]. La acción cerró el 6 de octubre a 577,50 EUR, cerca del mínimo de 52 semanas (560,50) y un 26 % por debajo del máximo (776,50) [44]. La beta de cinco años es 1,04 frente al MDAX, pero 1,35 frente al DAX y 1,72 frente al STOXX Europe 600 [44].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año y el EBITDA de ese ejercicio, Rational cotizó a una media de 24,5x el EBITDA de los últimos doce meses en 2019 y 2022-2025 (mínimo 19,0x en 2025, máximo 32,0x en 2019), y a 37,2x el beneficio. Hoy cotiza a 16,6x y 25,7x, un 32 % y un 31 % por debajo de esa media y por debajo del mínimo de la serie [1, 44]. Se excluyen 2020 y 2021 porque el beneficio de la pandemia (EBITDA de 136 M en 2020 y 190 M en 2021) inflaba los múltiplos a 52-62x. Dos cosas explican el descuento. El crecimiento se ha frenado del 10-31 % de 2021-2023 al 5,5-6,0 % de 2024-2026e [1, 5]. Y el tipo libre ha subido: el Bund a 10 años está en el 3,52 % [49], cuando en 2019-2021 era negativo. Con un Bund al 3,5 %, pagar 24-25x el EBITDA exigiría aceptar una prima de riesgo de 2-3 puntos; el precio actual ya no lo hace.</w:t>
      </w:r>
    </w:p>
    <w:p>
      <w:pPr>
        <w:pStyle w:val="Heading1"/>
      </w:pPr>
      <w:r>
        <w:t xml:space="preserve">18. Comparables cotizados</w:t>
      </w:r>
    </w:p>
    <w:p>
      <w:pPr>
        <w:pStyle w:val="Confianza"/>
        <w:spacing w:after="100"/>
      </w:pPr>
      <w:r>
        <w:t xml:space="preserve">Confianza: Media</w:t>
      </w:r>
    </w:p>
    <w:p>
      <w:pPr>
        <w:spacing w:after="100"/>
      </w:pPr>
      <w:r>
        <w:t xml:space="preserve">Tres fabricantes cotizados de equipos de cocina profesional (Middleby, Electrolux Professional y Hoshizaki; Welbilt dejó de cotizar al comprarla Ali Group) y uno de maquinaria alimentaria (JBT Marel). Se añaden compounders industriales de nicho con caja neta o ROIC alto con los que el mercado compara a Rational: Kone y Schindler (base instalada y servicio), Interroll y Krones (maquinaria de nicho) e ITW (referencia de márgenes y ROIC). Se descartan los fabricantes asiáticos de electrodomésticos que agrupa MarketScreener, porque venden al consumidor. Capitalizaciones convertidas a EUR al tipo del BCE del 6-oct-2026 [51]; precios del cierre del 6 de octubre.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Middleby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Electrolux Professional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Hoshizaki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Interroll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Illinois Tool 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 / 9,2x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10,7x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17,2x / 22,0x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(9 comparables): múltiplo = 12,4 + -0,47 × crecimiento; R² = 0,07. El crecimiento explica poco los múltiplos de estos comparables (R² &lt; 0,3): la regresión no se usa en la valoración.</w:t>
      </w:r>
    </w:p>
    <w:p>
      <w:pPr>
        <w:spacing w:after="100"/>
      </w:pPr>
      <w:r>
        <w:t xml:space="preserve">Rational cotiza a unas 15,0x el EBITDA de los próximos 12 meses y 22,7x el beneficio, frente a una mediana de los nueve comparables de 9,2x y 17,2x [47, 53, 54, 55, 56, 57, 58, 59, 60, 61]: una prima de en torno al 60 % en EV/EBITDA. La mediana mezcla negocios muy distintos. Los fabricantes de cocina profesional cotizan entre 6,8x y 10,4x, pero con márgenes EBITDA del 13 % al 23 % y ROIC del 5 % al 14 % [53, 54, 55, 56, 62]; Rational tiene un 29 % y un 56 % [47, 62]. Los comparables de calidad son Kone y Schindler (13,3x y 12,6x, ROIC del 55 % y 54 %, crecimiento del 3,5 % al 5,5 %) e ITW (16,4x, margen del 29 %) [58, 59, 61, 62]. Frente a ese subgrupo, cuya mediana es 13,3x, la prima es de un 13 % y la explica un crecimiento algo mayor, en torno al 7,5 % [47]. El múltiplo razonable sale de ese subgrupo, no de la mediana completa.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Welbilt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a 24 USD por acción: unos 3.500 M USD de capital y 4.800 M USD de valor empresa [25]. Múltiplos sobre las ventas (1.546,9 M USD) y el EBITDA operativo ajustado (275,4 M USD) de 2021 [25]. Convertido a EUR al tipo del BCE del 14-jul-2021, 1,1812 USD/EUR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Unified Brands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Electrolux Professional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Comprada a Dover por unos 2.140 M SEK (244 M USD) sin caja ni deuda, con ventas esperadas de unos 1.150 M SEK (135 M USD) en 2021 [63]. No se publicó el EBITDA. Convertido a EUR al tipo del BCE del 12-oct-2021, 10,1078 SEK/EUR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Tosei (Japón)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Lavandería profesional y envasado al vacío, comprada a fondos ligados a Mitsubishi por unos 1.650 M SEK sin caja ni deuda, con ventas de unos 1.000 M SEK y margen EBITA superior al del comprador [64]. No se publicó el EBITDA. Convertido a EUR al tipo del BCE del 22-dic-2023, 11,0556 SEK/EUR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234,84 – 317,41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 única referencia de control con EBITDA publicado en cocina profesional es la compra de Welbilt por Ali Group: 17,4x el EBITDA ajustado y 3,1x las ventas de 2021 [25], en pleno pico de múltiplos. Rational cotiza hoy a unas 15x el EBITDA de los próximos 12 meses y 4,7x las ventas, sin prima de control [47]. Las compras de Electrolux Professional (1,65x-1,86x ventas) son negocios pequeños y de menos margen [63, 64]. Una operación sobre Rational es improbable: los accionistas de referencia tienen el 55,2 % y el capital flotante es del 44,8 % [16], así que cualquier oferta depende de ellos.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+6,0 % (1.335 M), cerrado: el 1S26 creció un 5,8 % (+8 % orgánico), el 2T solo un 4,2 % tras adelantar pedidos al 1T por la subida de precios en EE. UU., y la guía es de un dígito medio-alto [5]. El consenso (+7,2 %, 1.350 M) exige un 2S de +8,4 % [47]. De 2027e a 2030e, +7,0 % anual, por debajo del +7,7 % y +8,0 % del consenso para 2027e-2028e [47] y del 8,3 % anual de 2016-2025 [1]: unos 4 puntos de unidades (+6 % en 2025 [1]) y 3 de precio (subidas del 4-5 % en EE. UU. en 2026 [1]). Después, medio punto menos cada año hasta el 5 % en 2034e-2035e. Media de 2027e-2035e: 6,2 %. La proyección queda entre un 1,1 % y un 2,6 % por debajo del consenso en ventas.</w:t>
      </w:r>
    </w:p>
    <w:p>
      <w:pPr>
        <w:keepNext/>
        <w:spacing w:after="100"/>
      </w:pPr>
      <w:r>
        <w:rPr>
          <w:b/>
          <w:bCs/>
        </w:rPr>
        <w:t xml:space="preserve">Márgenes.</w:t>
      </w:r>
    </w:p>
    <w:p>
      <w:pPr>
        <w:spacing w:after="100"/>
      </w:pPr>
      <w:r>
        <w:t xml:space="preserve">Margen EBITDA del 28,8 % en 2026e, el del consenso [47]: la guía de margen EBIT del 25-26 % incluye ≈ 1 punto de devolución de aranceles y absorbe aranceles, logística y materias primas más caras [5]. Del 28,8 % en 2027e al 29,0 % desde 2028e: es el margen de 2016-2019 (28-29 %) y de 2024-2025 (29,5 % y 29,3 %) [1], sin mejoras por escala, porque la empresa reinvierte en red comercial (los puestos de venta crecieron un 8 % en doce meses [5]). El margen bruto ronda el 59 % y no hay competidor con más del 28 % de margen EBIT (ITW Food Equipment) [23]. El riesgo está en el precio: Unox crece ≈ 18 % al año [30, 31].</w:t>
      </w:r>
    </w:p>
    <w:p>
      <w:pPr>
        <w:keepNext/>
        <w:spacing w:after="100"/>
      </w:pPr>
      <w:r>
        <w:rPr>
          <w:b/>
          <w:bCs/>
        </w:rPr>
        <w:t xml:space="preserve">Inversión y circulante.</w:t>
      </w:r>
    </w:p>
    <w:p>
      <w:pPr>
        <w:spacing w:after="100"/>
      </w:pPr>
      <w:r>
        <w:t xml:space="preserve">Capex del 3,8 % de las ventas en 2026e (nuevo edificio de recambios en Landsberg [5]) y del 3,6 % después. Con NIIF 16, el capex incluye los arrendamientos: el 2,7 % del capex de 2025 más ≈ 0,9 puntos de pagos de arrendamientos (11,8 M) [1], para no contar oficinas y almacenes sin alquiler. La amortización es del 3,0 % (2,9 % en 2025, con derechos de uso) [1]: el capex la supera en todos los años. Circulante comercial del 23 % de las ventas, la media de 2021-2025 (21,4-24,9 %) [1]; subirlo al 26 % restaría solo un 1,3 % del valor. Tipo impositivo del 25,8 % (25,6 % en 2025) [1].</w:t>
      </w:r>
    </w:p>
    <w:p>
      <w:pPr>
        <w:keepNext/>
        <w:spacing w:after="100"/>
      </w:pPr>
      <w:r>
        <w:rPr>
          <w:b/>
          <w:bCs/>
        </w:rPr>
        <w:t xml:space="preserve">Coste del capital.</w:t>
      </w:r>
    </w:p>
    <w:p>
      <w:pPr>
        <w:spacing w:after="100"/>
      </w:pPr>
      <w:r>
        <w:t xml:space="preserve">Sin deuda financiera, el WACC es el coste del capital: 9,24 %. Tasa libre: Bund a 10 años al 3,52 % el 6-oct-2026, de la serie diaria del Bundesbank [49]. Beta de 1,04 a cinco años mensual frente al MDAX, su índice [44]. Es la más baja de las que salen: frente al DAX da 1,35 y frente al STOXX Europe 600, 1,72, porque Rational cayó un 53,8 % entre nov-2021 y sep-2022 cuando el mercado caía mucho menos [44]. Con 1,35 el WACC sería del 10,95 % y el DCF un 19,9 % más bajo; no la usamos porque la caída de 2022 fue una vuelta del múltiplo, no un riesgo del negocio. Prima de mercado del 5,5 %; la prima implícita de Damodaran (su estimación principal, con reparto sostenible) es hoy del 4,20 % [50] y da un WACC del 7,89 % en la regla relativa.</w:t>
      </w:r>
    </w:p>
    <w:p>
      <w:pPr>
        <w:keepNext/>
        <w:spacing w:after="100"/>
      </w:pPr>
      <w:r>
        <w:rPr>
          <w:b/>
          <w:bCs/>
        </w:rPr>
        <w:t xml:space="preserve">Valor terminal.</w:t>
      </w:r>
    </w:p>
    <w:p>
      <w:pPr>
        <w:spacing w:after="100"/>
      </w:pPr>
      <w:r>
        <w:t xml:space="preserve">Gordon con un 2,5 % nominal en euros: inflación del objetivo del BCE (2 %) más medio punto real, coherente con un Bund al 3,52 % [49], que ya descuenta esa inflación. El terminal empieza en 2046e, tras la etapa de transición. El múltiplo implícito es de 9,7x el EBITDA de 2045e, para una empresa que nunca ha cotizado por debajo de 15x: es un supuesto prudente, porque en 2046e el horno combinado seguiría lejos de la saturación en EE. UU. y Asia. Un múltiplo de salida de 14x, el de los comparables de calidad (Kone, Schindler e ITW, 12,6-16,4x [58, 59, 61]), equivaldría a crecer un 4,5 % a perpetuidad, casi el doble de la inflación; por eso no se usa.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10 años el DCF da 483,66 por acción; sin ella (crecimiento terminal desde 2035e), 445,14.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Rational es el caso de libro para una etapa de transición. El mercado está poco penetrado: de las 4,8 millones de cocinas profesionales relevantes para el iCombi, el 75 % sigue cocinando con aparatos tradicionales; Rational equipa el 12 % y sus competidores el 13 % [17]. En EE. UU., su mayor mercado de crecimiento, la penetración del horno combinado es de ≈ 15 %, frente a más del 50 % en muchos mercados europeos y ≈ 25 % en el mundo [13]; en el iVario, el 92 % de las 1,6 millones de cocinas relevantes no tiene equipo multifunción [18]. La ventaja aguanta: cuota en torno al 50 % desde 2009 [16, 20] y un ROIC del 61,2 %, 52 puntos por encima del WACC. Por eso el crecimiento baja en línea recta del 5 % al 2,5 % en diez años (2036e-2045e) con el margen de 2035e. Sin esta etapa, el DCF baja un 8,0 %.</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444,49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615,09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M (10 % del NOPAT)</w:t>
            </w:r>
          </w:p>
        </w:tc>
      </w:tr>
    </w:tbl>
    <w:p>
      <w:pPr>
        <w:spacing w:after="160" w:before="0"/>
      </w:pPr>
    </w:p>
    <w:p>
      <w:pPr>
        <w:spacing w:after="100"/>
      </w:pPr>
      <w:r>
        <w:t xml:space="preserve">La proyección apenas necesita inversión neta de la amortización (reinversión acumulada de 346 M, el 10 % del NOPAT, con un capex bruto medio del 3,6 % de las ventas). En un negocio de activos ligeros, el crecimiento medio del 6,2 %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creció un 5,8 % publicado y un 8 % orgánico (con adelanto de pedidos al 1T); la divisa restó ≈ 2 puntos [5]. Precio: subidas del 4-5 % en EE. UU., el 20 % de las ventas, más las habituales en el resto (estimación propia) [1]. Unidades: +6 % en 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4 puntos de unidades, por debajo del +6 % de 2025, y 3 de precio; el consenso da +7,7 % [1, 47].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reparto; consenso +8,0 % [47].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Sustitución de aparatos tradicionales: el 75 % de las cocinas relevantes no tiene horno combinado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con una penetración del ≈ 15 % frente a más del 50 % en Europa, sostiene las unidades [13].</w:t>
            </w:r>
          </w:p>
        </w:tc>
      </w:tr>
    </w:tbl>
    <w:p>
      <w:pPr>
        <w:spacing w:after="160" w:before="0"/>
      </w:pPr>
    </w:p>
    <w:p>
      <w:pPr>
        <w:spacing w:after="100"/>
      </w:pPr>
      <w:r>
        <w:t xml:space="preserve">Sí. El caso base crece un 6,2 % anual y reinvierte ≈ 10 % del NOPAT (346 M): al ROIC del 61,2 % eso financia ≈ 6,1 %, y unos 3 puntos al año son precio, que no pide capital. El capital nuevo rendiría un 56,6 %, menos que el ROIC actual y que el incremental histórico (84,6 %). Hay inversión neta, aunque el motor hable de activos ligeros. Poder de precios probado: el margen bruto volvió del 55 % al 59 % tras la inflación y en 2026 traslada el arancel [1]. Cuota, a mano (el 50 % es de hornos combinados [16, 20]): con el iCombi al ritmo del grupo y el mercado al 6,3 % histórico, en 2035e seguiría en ≈ 50 %. Ciclo: −8 % en 2009 y −23 % en 2020 [15, 20], superado en 2022.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(base: 6,2 %)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34,1 % (base: 29,0 %)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9,2 %)</w:t>
            </w:r>
          </w:p>
        </w:tc>
      </w:tr>
    </w:tbl>
    <w:p>
      <w:pPr>
        <w:spacing w:after="160" w:before="0"/>
      </w:pPr>
    </w:p>
    <w:p>
      <w:pPr>
        <w:spacing w:after="100"/>
      </w:pPr>
      <w:r>
        <w:t xml:space="preserve">El DCF da 483,66 EUR por acción, un 16,2 % por debajo del precio, con un rango de 439,20 a 542,40 EUR al mover WACC y crecimiento terminal medio punto. La etapa de transición aporta un 8,7 %: sin ella serían 445,14 EUR. El valor terminal pesa un 33 % y la transición un 29 %: dos tercios del valor dependen de lo que pase después de 2035e. El DCF inverso responde a la pregunta central. Para justificar 577,50 EUR con nuestros márgenes y un WACC del 9,24 %, las ventas tendrían que crecer un 8,4 % anual en 2027e-2035e, frente al 6,2 % del caso base y al 8,3 % anual de 2016-2025 [1]: el precio descuenta otra década como la anterior, y esa década incluyó la salida de la pandemia y subidas de precio por la inflación. Con nuestro crecimiento, haría falta un margen EBITDA del 34,1 %, cinco puntos por encima de cualquier año de la historia. Dicho de otro modo, el precio descuenta una rentabilidad anual del 8,1 %: algo más que el 7,89 % que hoy pide el mercado, menos que el 9,24 % de nuestro WACC. No es exigente frente al mercado; lo es frente a un Bund al 3,52 %.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recesión de la restauración en 2027e como la de 2009, cuando las ventas cayeron un 8 % [20]: crecimiento de −8 % y margen EBITDA cuatro puntos más bajo ese año, con una recuperación parcial en 2028e. Después, Unox, que duplica ventas hacia 2030 y ya fabrica en EE. UU. [31], y el iCombi One de gama más barata recortan el precio medio: dos puntos menos de crecimiento y de margen cada año (crecimiento medio del 3,3 % y margen final del 27 %) y un terminal del 2,0 %.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crecen un 6,0 % en 2026e (guía de un dígito medio-alto [5]) y un 7,0 % anual hasta 2030e, algo por debajo del consenso (−1,1 % a −2,6 % en ventas), y frenan medio punto al año hasta el 5 % en 2035e; después, una etapa de transición de diez años lleva el crecimiento al 2,5 %. El margen EBITDA se queda en el 29 %, el de 2016-2019 y 2024-2025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penetración del horno combinado en EE. UU. (≈ 15 % frente a más del 50 % en muchos mercados europeos [13]) se acelera con la escasez de cocineros: dos puntos más de crecimiento cada año (8,2 % de media, como el 8,3 % anual de 2016-2025 [1]), un punto más de margen por escala comercial y un terminal del 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57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481,47 EUR (-16,6 %).</w:t>
      </w:r>
    </w:p>
    <w:p>
      <w:pPr>
        <w:spacing w:after="100"/>
      </w:pPr>
      <w:r>
        <w:t xml:space="preserve">Con nuestro WACC, la asimetría es mala: el alcista vale 614,86 EUR (+6,5 %), el base 483,66 EUR (−16,2 %) y el bajista 343,70 EUR (−40,5 %); el valor ponderado es de 481,47 EUR. Incluso repetir el crecimiento de la última década (alcista, 8,2 % de media) apenas supera el precio. Con la prima de riesgo que hoy pide el mercado (4,20 %, WACC del 7,89 %), el cuadro mejora sin cambiar la decisión: alcista 795,26 EUR, bajista 416,41 EUR y asimetría de 1,35x, con un valor objetivo de 564,55 EUR (−2,2 %). La conclusión depende del coste de capital más que de las cifras del negocio. El bajista no es cosmético: Rational vendió un 8 % menos en 2009 y un 23 % menos en 2020, con el margen EBIT del 16,4 % [15, 20]; lo que lo hace caro es sumar a la recesión dos puntos menos de crecimiento y de margen para siempre, que es lo que pasaría si Unox gana cuota con precio.</w:t>
      </w:r>
    </w:p>
    <w:p>
      <w:pPr>
        <w:pStyle w:val="Heading1"/>
      </w:pPr>
      <w:r>
        <w:t xml:space="preserve">22. Suma de partes</w:t>
      </w:r>
    </w:p>
    <w:p>
      <w:pPr>
        <w:pStyle w:val="Confianza"/>
        <w:spacing w:after="100"/>
      </w:pPr>
      <w:r>
        <w:t xml:space="preserve">Confianza: Alta</w:t>
      </w:r>
    </w:p>
    <w:p>
      <w:pPr>
        <w:spacing w:after="100"/>
      </w:pPr>
      <w:r>
        <w:t xml:space="preserve">No aplica. Rational tiene un solo negocio: sistemas de cocción para cocina profesional (iCombi, el 88 % de las ventas, e iVario, el 12 %), vendidos a los mismos clientes, con la misma red comercial y márgenes que la empresa no separa; sus segmentos son geográficos [1]. La liquidez (431,7 M) ya está en el puente [5].</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57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466,62 EUR (-19,2 % sobre 577,50).</w:t>
      </w:r>
    </w:p>
    <w:p>
      <w:pPr>
        <w:spacing w:after="100"/>
      </w:pPr>
      <w:r>
        <w:t xml:space="preserve">El DCF pesa un 50 % porque la pregunta del informe es qué crecimiento descuenta el precio, y es el único método que separa el valor del negocio del múltiplo del momento. Los escenarios pesan un 30 % para recoger el ciclo de la restauración (−8 % de ventas en 2009 y −23 % en 2020 [15, 20]). Los comparables pesan solo un 20 %: la mediana de nueve empresas (9,2x el EBITDA de los próximos doce meses) mezcla fabricantes de cocina con márgenes del 13-23 % y ROIC del 5-14 % con Rational (29 % y 61,2 %) [53, 54, 55, 56, 57, 58, 59, 60, 61, 62]; el subgrupo de calidad (Kone, Schindler, ITW) cotiza a 13,3x, cerca de las 15,0x de Rational. Las transacciones no pesan: solo Ali Group-Welbilt publicó EBITDA (17,4x) [25], y la familia y el cofundador tienen el 55,2 % [1], así que no hay oferta posible sin ellos. Puente a 30-jun-2026: sin deuda, 27,6 M de arrendamientos, 6,4 M de pensiones y 431,7 M de caja, depósitos y fondo monetario [5]. La dispersión es amplia (de 343,70 a 614,86 EUR), y el valor con la prima del mercado (564,55 EUR) queda un 2,2 %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(23.5x) × 1.1 (tope: la mediana de 5 años, 36.9x,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686,09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+75,1 %</w:t>
            </w:r>
          </w:p>
        </w:tc>
      </w:tr>
    </w:tbl>
    <w:p>
      <w:pPr>
        <w:spacing w:after="160" w:before="0"/>
      </w:pPr>
    </w:p>
    <w:p>
      <w:pPr>
        <w:spacing w:after="100"/>
      </w:pPr>
      <w:r>
        <w:rPr>
          <w:b/>
          <w:bCs/>
        </w:rPr>
        <w:t xml:space="preserve">Objetivo a 12 meses (ponderado):</w:t>
      </w:r>
      <w:r>
        <w:t xml:space="preserve"> 699,64 EUR · rentabilidad +23,9 % (base +21,6 %) · señal Mantener.</w:t>
      </w:r>
    </w:p>
    <w:p>
      <w:pPr>
        <w:spacing w:after="100"/>
      </w:pPr>
      <w:r>
        <w:t xml:space="preserve">Para comparar, con la regla v2 (historia al cierre, mismo precio): 20,0x / 23,5x / 30,6x, 12,5 % Mantener; con el tope anterior del base (×1,3, 14-oct mediodía): 40,6 % Mantener. Decide la regla vigente (v3 con tope ×1,1; METODO-VIGENTE.md).</w:t>
      </w:r>
    </w:p>
    <w:p>
      <w:pPr>
        <w:keepNext/>
        <w:spacing w:after="100"/>
      </w:pPr>
      <w:r>
        <w:rPr>
          <w:b/>
          <w:bCs/>
        </w:rPr>
        <w:t xml:space="preserve">Frente al consenso (solo contraste).</w:t>
      </w:r>
    </w:p>
    <w:p>
      <w:pPr>
        <w:spacing w:after="100"/>
      </w:pPr>
      <w:r>
        <w:t xml:space="preserve">Nuestro BPA base de 2028e (26,49) se separa un -5,9 % del consenso (28,15) y nuestro precio base (622,52) un -21,8 % del objetivo medio de los analistas (795,86).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466,62 (-19,2 %) frente al objetivo a 12 meses ponderado 633,56 (+12,5 % con dividendo; base +10,6 %).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de 2026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3T25 creció un 6,0 % [7]; un 3T por debajo del 5 % pondría en duda la guía de un dígito medio-alto y el 7,2 %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 2026, virtual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Ocasión para fijar un objetivo a medio plazo o hablar de la caja ociosa (431,7 M); sin novedades, nada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preliminares de 2026, guía de 2027 e informe anual (el de 2025 salió el 19-mar-2026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sin devolución de aranceles: la base de margen EBIT es ≈ 24,5 %, no el 26,5 % del 1S26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cierre auditado por PwC [34]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cambio de auditor tras cinco años, sin incidencias conocidas; cualquier reexpresión pesaría en la confianza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(la de 2026 fue el 29-abr [34])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extraordinario como los 4 EUR de 2025 [1] o una recompra; el voto a la remuneración (69,19 % a favor en 2026 [34]) medirá la paciencia de los minoritarios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nov-2027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o sucesión del CEO, cuyo contrato vence en noviembre de 2027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plan de sucesión público; una salida del CEO con doce años en el cargo sería el primer cambio de cúpula desde 2014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Política arancelaria de EE. UU. sobre bienes de equipo europeos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aranceles restaron ≈ 1 punto de margen bruto en 2026 y se trasladaron con subidas del 4-5 % [1]; uno nuevo o una subida frenaría el mercado que más crece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estructural más lento: la penetración en EE. UU. avanza menos de lo que dice la empresa y el iCombi One canibaliza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−14,8 % con dos puntos menos de crecimiento cada año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75 % de las 4,8 millones de cocinas relevantes sigue sin horno combinado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por debajo del +4 % dos años seguidos; Norteamérica por debajo del +5 % en moneda local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precio de Unox (360 M EUR, plan de duplicar ventas en 2030, fábrica en EE. UU.) y de los grandes grupos (Ali Group, Middleby, ITW)</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−7,6 % con dos puntos menos de margen EBITDA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en torno al 50 % desde 2009 y un tercio de las ventas en posventa [16,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57 % sin efecto arancel; rebajas en el iCombi Classic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de la restauración (un año como 2009, o como 2020)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si 2027e cae un 8 % y no se recupera el nivel; menos si se recupera como en 2021-2022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404 M, sin deuda; en 2009 el EBIT subió pese a vender un 8 % menos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por debajo de 100 M; caída de las ventas de Middleby en restauración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más alto (Bund o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−19,9 % con la beta de 1,35 frente al DAX (WACC del 10,95 %)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 la subida de tipos no toca la cuenta, solo el múltiplo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equipos fabricados en Alemania y Francia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−4 % por cada punto de margen EBITDA perdido de forma permanente (estimación propia, mitad del caso de dos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 precio del 4-5 % en 2026 [1] y devolución de 13,9 M de los aranceles IEEPA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58 % (58,1 % en el 3T25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 Norte: ventas a la baja dos años seguidos por la competencia local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&lt; −3 %: Asia pesa el 10,7 % de las ventas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crece con fuerza; reestructuración comercial en China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Norte por debajo del −5 %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y gobierno: contrato del CEO hasta nov-2027 y bloque estable del 55,2 % sin pacto conocido entre la familia y el cofundador presidente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modelizado: afectaría al múltiplo, no a las cifras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 de casa con 12-13 años en el cargo; guía cumplida en 2021-2025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un bloque familiar (Franziska Würbser vendió 27.000 acciones en dic-2025 [42])</w:t>
            </w:r>
          </w:p>
        </w:tc>
      </w:tr>
    </w:tbl>
    <w:p>
      <w:pPr>
        <w:spacing w:after="160" w:before="0"/>
      </w:pPr>
    </w:p>
    <w:p>
      <w:pPr>
        <w:pStyle w:val="Heading2"/>
      </w:pPr>
      <w:r>
        <w:t xml:space="preserve">Pre-mortem</w:t>
      </w:r>
    </w:p>
    <w:p>
      <w:pPr>
        <w:spacing w:after="100"/>
      </w:pPr>
      <w:r>
        <w:t xml:space="preserve">Octubre de 2029: Rational ha perdido un 40 % y cotiza a 345 EUR. Lo que pasó empezó en el 2S26, cuando las ventas de EE. UU., que habían adelantado pedidos al 1T por la subida de precios [5], no recuperaron el ritmo. En 2027 la restauración estadounidense, con márgenes estrechos y clientes que bajan de gama, recortó inversión: las ventas del grupo cayeron un 6 %, como en 2009, y el margen EBIT bajó al 22 %, porque Rational no recortó la red comercial que acababa de ampliar un 8 %. Unox, con fábrica en EE. UU. y sin aranceles, aprovechó para ganar las cadenas con un horno un 20-30 % más barato; Rational respondió con el iCombi One y su precio medio bajó. En 2028 la recuperación fue de un dígito bajo y el mercado dejó de creer en la penetración: el múltiplo pasó de 15x a 11x el EBITDA, como el de los comparables de calidad en un mal año. El Bund siguió por encima del 3,5 %. La señal que lo habría anticipado: dos trimestres seguidos de Norteamérica por debajo del +5 % en moneda local y un margen bruto por debajo del 57 % sin efecto arancel.</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el uso de los equipos: de 3,09 Mt CO2e de emisiones totales en 2025, 2,65 Mt (86 %) son del uso de los equipos vendidos y 0,39 Mt de las compras; las emisiones propias (alcance 1 y 2) son solo unas 4.900 t [1]. La empresa se fija reducir las de alcance 1 y 2 hasta 2030 y un 90 % las de alcance 3 en 2050 frente a 2023, sin objetivo intermedio de alcance 3 ni validación SBTi [1]. La intensidad es de 2,45 t CO2e por cada 1.000 EUR de ventas [1]. Sus ventas no son elegibles en la taxonomía europea para mitigación climática [1]. El argumento comercial es la eficiencia: ahorros medidos del 24 % de energía y del 48 % de agua frente a equipos tradicionales [1]. Otro asunto material son los PFAS de juntas y recubrimientos, con la restricción europea en tramitación [1]. En lo social, la rotación de personal fue del 6 % en 2025 [1].</w:t>
      </w:r>
    </w:p>
    <w:p>
      <w:pPr>
        <w:pStyle w:val="Heading2"/>
      </w:pPr>
      <w:r>
        <w:t xml:space="preserve">Controversias</w:t>
      </w:r>
    </w:p>
    <w:p>
      <w:pPr>
        <w:spacing w:after="100"/>
      </w:pPr>
      <w:r>
        <w:t xml:space="preserve">Ni el informe anual de 2025 ni el informe semestral de 2026 recogen sanciones, litigios materiales ni incidentes [1, 21]. Lo más cercano es el retraso de la nave de montaje de Wittenheim por un suelo defectuoso, cuyo sobrecoste puede no cubrirlo el contratista ni el seguro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unidades del iCombi vendieron en 2025 y qué parte fue reposición del parque instalado?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 4 puntos de unidades al año hasta 2030e; si la mitad es reposición, la penetración avanza más despacio de lo que sugiere 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+8 % orgánico del 1S26 fue precio y qué parte volumen, y qué precio medio tiene el iCombi One frente al iCombi Pro?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subida arancelaria del 4-5 % en EE. UU. del crecimiento real y mide el riesgo de canibalización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cuántos concursos de cadenas en EE. UU. han competido con Unox en 2025-2026 y cuántos han ganado?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Unox es el único competidor especialista que crece al doble; su fábrica en EE. UU. le evita los aranceles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430-540 M de liquidez sin deuda en vez de recomprar acciones, y qué nivel de caja consideran necesario?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es el 6,6 % de la capitalización y rinde ≈ 2 %; una recompra del 5 % apenas se notaría en el balance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EBIT de 2026 sin la devolución de 13,9 M y cuánto coste arancelario queda en existencias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real de margen es ≈ 24,5 %, no el 26,5 % del 1S26; el DCF supone 29 % de margen EBITDA desde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 algún acuerdo entre la familia Meister y Walter Kurtz sobre el voto o la venta de acciones, y qué plan hay para el contrato del CEO, que vence en noviembre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55,2 % estable decide la junta; el 82,55 % del capital libre presente votó contra el sistema de remuneración en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ventas y margen tiene la planta de China y cuándo esperan que Asia Norte vuelva a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Norte cae dos años seguidos y la planta china es la mayor inversión reciente fuera de Alemania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64 (39 primarias); citas distintas en el texto: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23,0 % frente a 23,2 % real: genera una variación de circulante de 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61,2 % frente a WACC 9,2 %: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0,07: el crecimiento no explica los múltiplos de estos comparables; no uses el valor de la regresión. Explicación: R² de 0,07: el crecimiento esperado no explica los múltiplos de estos nueve comparables (Kone y Schindler crecen un 3,5-5,5 % y cotizan a 12,6-13,3x; Hoshizaki crece un 8,5 % y cotiza a 6,8x). Lo que explica la prima es el ROIC, no el crecimiento.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-13,8 %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fuentes (39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(todos los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cartas de la dirección del 1T26 y 1S26: no citan el consenso; 2) Búsqueda web de prensa económica (goldesel.de, Quartr) sobre el 2T26: el artículo abierto no compara con el consenso; 3) Resumen de Quartr: sin cifras de consenso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las conferencias en la web de inversores: solo diapositivas, con preguntas por chat; 2) Quartr (resumen del 2T26): no recoge preguntas ni respuestas; 3) Prensa económica alemana (goldesel.de): solo cita al director financiero sobre el margen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2019-2022 con la segmentación vigente, y 2025 con México en Otros segmentos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del informe anual 2024: reexpresa solo 2023 (Asia pasa a Asia Norte y Asia Sur va a Otros); 2) Informe anual 2023: segmentación antigua para 2022-2023; 3) Informe del 1S26: reexpresa solo el 1S25 por el traspaso de México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3T24 a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el anual (8 %); 2) Comunicados trimestrales de 2024-2025 descargados: no dan el dato trimestral en las tablas; 3) Presentaciones de las conferencias de 2026: solo el 1T26 (11 %) y el 1S26 (8 %)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RATIONAL (declaración de sostenibilidad): no cita calificaciones ESG externas; 2) Ficha pública de Sustainalytics (sustainalytics.com/esg-rating/rational-ag/1013456014): la puntuación se carga con JavaScript y no aparece en el documento descargado; 3) El buscador devuelve una puntuación, pero sin página original legible no se usa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RATIONAL: solo da su cuota (~50 %) y unos 100 fabricantes; 2) Ficha del estudio de Global Industry Analysts: no publica cuotas en la parte abierta; 3) Derivarla: los grandes rivales (Ali Group, Unox, Electrolux Professional, Middleby) no publican ventas de hornos combinados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 Group: ingresos y margen propios; Marmon Foodservice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Ali Group no cotiza ni publica cuentas consolidadas en su web; 2) Marmon Foodservice va dentro de Berkshire Hathaway sin desglose; 3) Se usan las últimas cuentas públicas de Welbilt (2021) como aproximación de la parte de Ali Group que compite con RATIONAL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Unox: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Unox no cotiza ni publica cuentas en su web; 2) Prensa italiana (Il NordEst, Milano Finanza): solo ventas y pedidos; 3) Registro mercantil italiano (bilancio): de pago,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individual de los miembros del Vorstand y de Walter Kurtz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2025 y sistema de 2026: no exigen ni publican tenencias de acciones; 2) base de datos de Directors' Dealings de la BaFin: sin operaciones del Vorstand ni de Kurtz en 12 meses; 3) nota de partes vinculadas del informe anual: solo el agregado de los consejeros (dividendo de 13.314 miles de EUR, unas 887.600 acciones, 7,81 %)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agregado del Aufsichtsrat figura en accionistas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Stimmrechtsmitteilungen recientes (inversores institucionales con un 3 % o más)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notificaciones de derechos de voto de RATIONAL, en alemán y en inglés: el listado se carga por JavaScript y la descarga sale vacía; 2) enlaces de EQS (irpages2.equitystory.com) de la web de inversores: HTTP 503; 3) búsqueda de avisos de EQS en boerse-online.de: solo aparecen avisos de BlackRock de abril de 2022 (4,58-4,70 %)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votación detallados de las juntas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Abstimmungsergebnisse: solo publica la junta de 2026; 2) direcciones análogas para 2025 y 2024: HTTP 404; 3) informes de GSC Research y convocatoria de 2026: en 2025, unos 2,2 millones de votos en contra en los puntos 5 y 6 (algo menos del 78 % a favor; el sistema, con un 77,62 %); de 2024 no hay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estadísticas de RAA: «n/a»; 2) MarketScreener, páginas de consenso y valoración: no publican posiciones cortas; 3) registro de posiciones cortas netas del Bundesanzeiger: no consultado en esta pasada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2) finanzen.net, objetivos de precio: sin histórico de estimaciones; 3) Investing.com, consenso: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de revisiones usa recomendaciones y objetivos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la media «Outperform» y 14 analistas; 2) finanzen.net: nueve objetivos con banco y fecha, sin desglose agregado; 3) Investing.com: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Unified Brands y Tosei; otras 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Electrolux Professional: solo precio y ventas; 2) nota de Dover sobre Unified Brands: tiempo de espera agotado; 3) JBT-Marel (Business Wire): HTTP 403, y la compra de Royal Range por Electrolux Professional (2026) no publicó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(estados consolidados, notas y resumen de diez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https://www.rational-online.com/media/investor-relations/veroeffentlichungen-gj-2025/rational-ag---annual-report-fy-2025-(single-pages).pdf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(con 2023 reexpresado según NIC 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https://www.rational-online.com/media/investor-relations/veroeffentlichungen-gj-2024/rational-ag---annual-report-fy-2024-(single-pages).pdf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https://www.rational-online.com/media/investor-relations/veroeffentlichungen-gj-2023/rational-ag---annual-report-2023.pdf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https://www.rational-online.com/media/investor-relations/annual-reports/rational-ag---annual-report-2021-(print).pdf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on the first half year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https://www.rational-online.com/media/investor-relations/veroeffentlichungen-gj-2026/rational-ag---report-on-the-first-half-year-2026.pdf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first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https://www.rational-online.com/media/investor-relations/veroeffentlichungen-gj-2025/q1/rational-ag---statement-on-the-first-quarter-of-2026.pdf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first 9 months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https://www.rational-online.com/media/investor-relations/2025/q3/rational-ag---statement-on-the-first-9-months-of-2025.pdf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on the first half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https://www.rational-online.com/media/investor-relations/2025/q2/rational-ag---report-on-the-first-half-year-2025.pdf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first quarter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https://www.rational-online.com/media/investor-relations/2025/q1/rational-ag---statement-on-the-first-quarter-of-2025.pdf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first 9 months of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https://www.rational-online.com/media/investor-relations/veroeffentlichungen-gj-2024/q3/rational-ag---statement-on-the-first-9-months-of-2024.pdf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Earnings Call HY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https://www.rational-online.com/media/investor-relations/veroeffentlichungen-gj-2026/rational-ag---earnings-call-q2-2026.pdf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Earnings Call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https://www.rational-online.com/media/investor-relations/veroeffentlichungen-gj-2025/q1/rational-ag---earnings-call-q1-2026.pdf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of the Executive Board HY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https://www.rational-online.com/media/investor-relations/veroeffentlichungen-gj-2026/rational-ag---letter-of-the-executive-board-hy-2026.pdf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from the Executive Board on the first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https://www.rational-online.com/media/investor-relations/veroeffentlichungen-gj-2025/q1/rational-ag---letter-from-the-executive-board-on-the-first-quarter-of-2026.pdf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https://www.rational-online.com/media/investor-relations/annual-reports/rational-annual-report-2020.pdf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Profile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https://www.rational-online.com/media/investor-relations/veroeffentlichungen-gj-2025/rational-ag---company-profile-fy-2025.pdf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2024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https://www.rational-online.com/media/investor-relations/veroeffentlichungen-gj-2024/q4/rational-ag---capital-markets-day-2024.pdf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2025 (presentación, Wittenheim)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https://www.rational-online.com/media/investor-relations/veroeffentlichungen-gj-2025/rational-ag---capital-markets-day-2025.pdf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Presentation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https://www.rational-online.com/media/investor-relations/2025/q3/rational-ag---ir-presentation-fy-2025.pdf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 (archivo de AnnualReports.com)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https://www.annualreports.com/HostedData/AnnualReportArchive/r/rational_2009.pdf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Halbjahresbericht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https://www.rational-online.com/media/investor-relations/veroeffentlichungen-gj-2026/rational-ag---halbjahresbericht-2026.pdf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2025 (cerrado el 3-ene-2026)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Middleby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https://www.sec.gov/Archives/edgar/data/769520/000076952026000011/midd-20260103.htm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Illinois Tool Works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https://www.sec.gov/Archives/edgar/data/49826/000004982626000008/itw-20251231.htm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https://www.electroluxprofessionalgroup.com/en/wp-content/uploads/sites/2/2021/10/Electrolux-Professional-Group-Annual-and-Sustainability-report-2025.pdf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Welbilt,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https://www.sec.gov/Archives/edgar/data/1650962/000165096222000037/wbt-20211231.htm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Summary of Consolidated Financial Results for the Year Ended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Hoshizaki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https://www.hoshizaki.co.jp/en/pdf/en260213-3.pdf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(USD, SEK y JPY al 31-dic-2025; USD al 31-dic-2024 y al 31-dic-2021)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(ventas y resultado operativo 2008-2025)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Middleby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https://data.sec.gov/api/xbrl/companyfacts/CIK0000769520.json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Commercial Combi Ovens - Global Strategic Business Report (ficha del estudio)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Industry Analysts / Market Glass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https://www.gii.tw/report/go1752921-commercial-combi-ovens.html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Unox cresce ancora. «Ordini in aumento»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NordEst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https://www.ilnordest.it/economia/imprese/unox-cresce-ancora-ordini-in-aumento-q3ultkbh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Unox: raddoppio al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https://www.milanofinanza.it/news/raddoppio-al-2030-2712364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Year-end report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https://mfn.se/a/electrolux-professional/electrolux-professional-ab-year-end-report-q4-2025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(ventas 2016-2021)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Welbilt,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https://data.sec.gov/api/xbrl/companyfacts/CIK0001650962.json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Ordentliche Hauptversammlung 29.04.2026: Übersicht Abstimmungsergebnisse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https://www.rational-online.com/media/investor-relations/general-meeting/2026/deutsch/rational-ag---abstimmungsergebnisse-uebersicht-ohv2026.pdf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Report RATIONAL AG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GSC Research (publicado en la web de RATIONAL)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https://www.rational-online.com/media/investor-relations/general-meeting/2026/english/rational-ag---agm-report-2026-(gsc-research).pdf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Report RATIONAL AG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GSC Research (publicado en la web de RATIONAL)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https://www.rational-online.com/media/investor-relations/general-meeting/2025/rational-ag---agm-report-2025---gsc-research.pdf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Report RATIONAL AG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GSC Research (publicado en la web de RATIONAL)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https://www.rational-online.com/media/investor-relations/general-meeting/2024/rational-ag---agm-report-2024---gsc-research.pdf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fiscal year 2025 (§162 AktG)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https://www.rational-online.com/media/investor-relations/veroeffentlichungen-gj-2025/rational-ag---remuneration-report-fy-2025.pdf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system 2026 for the Executive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https://www.rational-online.com/media/investor-relations/general-meeting/2026/english/16-rational-ag-remuneration-system-2026-executive-board.pdf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 incl.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https://www.rational-online.com/media/investor-relations/general-meeting/2026/english/01-rational-ag-invitation-agm-2026-incl-agenda.pdf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Datenbank Directors' Dealings (art. 19 MAR), emisor DE0007010803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https://portal.mvp.bafin.de/database/DealingsInfo/sucheForm.do?emittentIsin=DE0007010803&amp;zeitraum=0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RATIONAL AG: Franziska Würbser, Verkauf von Aktien in 1.850 Teilausführungen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Group (reproducido por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https://www.boerse-online.de/dpa-afx/eqs-dd-rational-ag-deutsch-489682.html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Management (currículos del Vorstand y del Aufsichtsrat)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https://www.rational-online.com/en_us/company/corporate-governance/management/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RAA.DE, ^MDAXI, EXH4.DE, ^STOXX, EXSA.DE y ^GDAXI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https://finance.yahoo.com/quote/RAA.DE/history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and Investor Relations Calendar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https://www.rational-online.com/en_us/company/investor-relations/financial-and-investor-relations-calendar/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 Consensus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https://www.marketscreener.com/quote/stock/RATIONAL-AG-436515/consensus/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 Financials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https://www.marketscreener.com/quote/stock/RATIONAL-AG-436515/finances/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 Valuation (múltiplos históricos y estimados)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https://www.marketscreener.com/quote/stock/RATIONAL-AG-436515/valuation/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cotizados a 10 años,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Aktie: Kursziele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https://www.finanzen.net/kursziele/rational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Middleby Corporation: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https://www.marketscreener.com/quote/stock/THE-MIDDLEBY-CORPORATION-10026/valuation/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https://www.marketscreener.com/quote/stock/ELECTROLUX-PROFESSIONAL-A-105544686/valuation/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Hoshizaki: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https://www.marketscreener.com/quote/stock/HOSHIZAKI-CORPORATION-6500342/valuation/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https://www.marketscreener.com/quote/stock/JBT-MAREL-CORPORATION-3860953/valuation/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https://www.marketscreener.com/quote/stock/KONE-OYJ-1412480/valuation/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https://www.marketscreener.com/quote/stock/SCHINDLER-HOLDING-AG-174980/valuation/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Interroll: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https://www.marketscreener.com/quote/stock/INTERROLL-HOLDING-AG-73849/valuation/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Illinois Tool Works: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https://www.marketscreener.com/quote/stock/ILLINOIS-TOOL-WORKS-INC-13125/valuation/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Return on Invested Capital (ROIC) de Rational y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https://stockanalysis.com/quote/etr/RAA/statistics/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to acquire Unified Brands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https://www.electroluxprofessionalgroup.com/en/electrolux-professional-to-acquire-unified-brands/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Group to acquire Tosei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https://www.electroluxprofessionalgroup.com/en/electrolux-professional-group-to-acquire-tosei-corporation/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87,0 %</w:t>
      </w:r>
      <w:r>
        <w:t xml:space="preserve"> · Secciones con menos del 60 % de campos cubiertos: </w:t>
      </w:r>
      <w:r>
        <w:rPr>
          <w:b/>
          <w:bCs/>
        </w:rPr>
        <w:t xml:space="preserve">capital, sentimiento</w:t>
      </w:r>
      <w:r>
        <w:t xml:space="preserve"> · Generado el 14 oct 2026.</w:t>
      </w:r>
    </w:p>
    <w:p>
      <w:pPr>
        <w:pStyle w:val="Nota"/>
        <w:spacing w:after="100"/>
      </w:pPr>
      <w:r>
        <w:t xml:space="preserve">Una sola línea cotizada (Xetra, RAA), cuentas y cotización en euros: no hay conversión en las cifras de la empresa. El precio es el cierre del 6-oct-2026 (577,50 EUR), porque la sesión del 7-oct no había cerrado al calcular [44]. La caja del balance incluye los depósitos a plazo y el fondo monetario (544,4 M a dic-25 y 431,7 M a jun-26, tras pagar 227,4 M de dividendo), no solo el efectivo contable (186,3 M a dic-25) [1, 5]. El segundo semestre de 2025 y los cuartos trimestres salen por diferencia entre el año y los nueve meses [1, 7]. El flujo operativo no incluye los intereses cobrados (12,2 M en 2025), que Rational clasifica en inversión: el flujo libre histórico está ≈ 10 M al año por debajo del económico [1]. 2023 está reexpresado por NIC 8 (activo fiscal diferido en Suiza) y se usa la cifra reexpresada [2]. Los segmentos cambiaron dos veces (Asia partida en 2024; México a «Otros» en 2026) y solo van de 2023 a 2025 [1, 5]. El LTM a jun-26 se presenta sin la devolución de aranceles IEEPA de 13,9 M del 2T26 (EBITDA 371,9 M en vez de 385,7 M; BPA 22,48 EUR en vez de 23,39 EUR, con el tipo del 25,8 %) para que los múltiplos midan el negocio recurrente; el ejercicio 2026e del DCF sí la incluye, porque es caja real [5]. Rational no publica transcripciones de sus conferencias [11]. Los comparables extranjeros están convertidos al tipo del BCE del 6-oct-2026 [51].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RATIONAL Aktiengesellschaft (RAA)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577,50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(560,50 – 776,50)</c:v>
                </c:pt>
                <c:pt idx="1">
                  <c:v>Precio objetivo de los analistas (585,00 – 1.070,00)</c:v>
                </c:pt>
                <c:pt idx="2">
                  <c:v>Comparables: EV/EBITDA NTM (284,68 – 490,95)</c:v>
                </c:pt>
                <c:pt idx="3">
                  <c:v>Comparables: PER NTM (389,97 – 557,10)</c:v>
                </c:pt>
                <c:pt idx="4">
                  <c:v>DCF (WACC y g ± 0,5) (439,20 – 542,40)</c:v>
                </c:pt>
                <c:pt idx="5">
                  <c:v>Escenarios (bajista – alcista) (343,70 – 614,86)</c:v>
                </c:pt>
                <c:pt idx="6">
                  <c:v>DCF con la prima implícita del mercado (4,2 %)</c:v>
                </c:pt>
                <c:pt idx="7">
                  <c:v>Precio actual (577,50)</c:v>
                </c:pt>
              </c:strCache>
            </c:strRef>
          </c:cat>
          <c:val>
            <c:numRef>
              <c:f>Hoja1!$B$2:$B$9</c:f>
              <c:numCache>
                <c:formatCode>#,##0</c:formatCode>
                <c:ptCount val="8"/>
                <c:pt idx="0">
                  <c:v>560.5</c:v>
                </c:pt>
                <c:pt idx="1">
                  <c:v>585</c:v>
                </c:pt>
                <c:pt idx="2">
                  <c:v>284.68</c:v>
                </c:pt>
                <c:pt idx="3">
                  <c:v>389.97</c:v>
                </c:pt>
                <c:pt idx="4">
                  <c:v>439.2</c:v>
                </c:pt>
                <c:pt idx="5">
                  <c:v>343.7</c:v>
                </c:pt>
                <c:pt idx="6">
                  <c:v>553.53</c:v>
                </c:pt>
                <c:pt idx="7">
                  <c:v>574.61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(560,50 – 776,50)</c:v>
                </c:pt>
                <c:pt idx="1">
                  <c:v>Precio objetivo de los analistas (585,00 – 1.070,00)</c:v>
                </c:pt>
                <c:pt idx="2">
                  <c:v>Comparables: EV/EBITDA NTM (284,68 – 490,95)</c:v>
                </c:pt>
                <c:pt idx="3">
                  <c:v>Comparables: PER NTM (389,97 – 557,10)</c:v>
                </c:pt>
                <c:pt idx="4">
                  <c:v>DCF (WACC y g ± 0,5) (439,20 – 542,40)</c:v>
                </c:pt>
                <c:pt idx="5">
                  <c:v>Escenarios (bajista – alcista) (343,70 – 614,86)</c:v>
                </c:pt>
                <c:pt idx="6">
                  <c:v>DCF con la prima implícita del mercado (4,2 %)</c:v>
                </c:pt>
                <c:pt idx="7">
                  <c:v>Precio actual (577,50)</c:v>
                </c:pt>
              </c:strCache>
            </c:strRef>
          </c:cat>
          <c:val>
            <c:numRef>
              <c:f>Hoja1!$C$2:$C$9</c:f>
              <c:numCache>
                <c:formatCode>#,##0</c:formatCode>
                <c:ptCount val="8"/>
                <c:pt idx="0">
                  <c:v>216</c:v>
                </c:pt>
                <c:pt idx="1">
                  <c:v>485</c:v>
                </c:pt>
                <c:pt idx="2">
                  <c:v>206.26999999999998</c:v>
                </c:pt>
                <c:pt idx="3">
                  <c:v>167.13</c:v>
                </c:pt>
                <c:pt idx="4">
                  <c:v>103.19999999999999</c:v>
                </c:pt>
                <c:pt idx="5">
                  <c:v>271.16</c:v>
                </c:pt>
                <c:pt idx="6">
                  <c:v>114.00999999999999</c:v>
                </c:pt>
                <c:pt idx="7">
                  <c:v>5.779999999999973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DACH</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166.33</c:v>
                </c:pt>
                <c:pt idx="1">
                  <c:v>169.027</c:v>
                </c:pt>
                <c:pt idx="2">
                  <c:v>179.88</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445.761</c:v>
                </c:pt>
                <c:pt idx="1">
                  <c:v>476.609</c:v>
                </c:pt>
                <c:pt idx="2">
                  <c:v>519.48</c:v>
                </c:pt>
              </c:numCache>
            </c:numRef>
          </c:val>
        </c:ser>
        <c:ser>
          <c:idx val="2"/>
          <c:order val="2"/>
          <c:tx>
            <c:strRef>
              <c:f>Hoja1!$D$1</c:f>
              <c:strCache>
                <c:ptCount val="1"/>
                <c:pt idx="0">
                  <c:v>Norteamérica</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288.643</c:v>
                </c:pt>
                <c:pt idx="1">
                  <c:v>299.192</c:v>
                </c:pt>
                <c:pt idx="2">
                  <c:v>338.201</c:v>
                </c:pt>
              </c:numCache>
            </c:numRef>
          </c:val>
        </c:ser>
        <c:ser>
          <c:idx val="3"/>
          <c:order val="3"/>
          <c:tx>
            <c:strRef>
              <c:f>Hoja1!$E$1</c:f>
              <c:strCache>
                <c:ptCount val="1"/>
                <c:pt idx="0">
                  <c:v>Asia Norte</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123.881</c:v>
                </c:pt>
                <c:pt idx="1">
                  <c:v>118.769</c:v>
                </c:pt>
                <c:pt idx="2">
                  <c:v>99.287</c:v>
                </c:pt>
              </c:numCache>
            </c:numRef>
          </c:val>
        </c:ser>
        <c:ser>
          <c:idx val="4"/>
          <c:order val="4"/>
          <c:tx>
            <c:strRef>
              <c:f>Hoja1!$F$1</c:f>
              <c:strCache>
                <c:ptCount val="1"/>
                <c:pt idx="0">
                  <c:v>Otros segmentos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113.101</c:v>
                </c:pt>
                <c:pt idx="1">
                  <c:v>122.288</c:v>
                </c:pt>
                <c:pt idx="2">
                  <c:v>137.518</c:v>
                </c:pt>
              </c:numCache>
            </c:numRef>
          </c:val>
        </c:ser>
        <c:ser>
          <c:idx val="5"/>
          <c:order val="5"/>
          <c:tx>
            <c:strRef>
              <c:f>Hoja1!$G$1</c:f>
              <c:strCache>
                <c:ptCount val="1"/>
                <c:pt idx="0">
                  <c:v>Corporativo y conciliación</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-11.878</c:v>
                </c:pt>
                <c:pt idx="1">
                  <c:v>7.644</c:v>
                </c:pt>
                <c:pt idx="2">
                  <c:v>-14.808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DACH</c:v>
                </c:pt>
                <c:pt idx="1">
                  <c:v>EMEA</c:v>
                </c:pt>
                <c:pt idx="2">
                  <c:v>Norteamérica</c:v>
                </c:pt>
                <c:pt idx="3">
                  <c:v>Asia Norte</c:v>
                </c:pt>
                <c:pt idx="4">
                  <c:v>Otros segmentos</c:v>
                </c:pt>
                <c:pt idx="5">
                  <c:v>Corporativo y conciliación</c:v>
                </c:pt>
              </c:strCache>
            </c:strRef>
          </c:cat>
          <c:val>
            <c:numRef>
              <c:f>Hoja1!$B$2:$B$7</c:f>
              <c:numCache>
                <c:formatCode>General</c:formatCode>
                <c:ptCount val="6"/>
                <c:pt idx="0">
                  <c:v>14.3</c:v>
                </c:pt>
                <c:pt idx="1">
                  <c:v>41.2</c:v>
                </c:pt>
                <c:pt idx="2">
                  <c:v>26.9</c:v>
                </c:pt>
                <c:pt idx="3">
                  <c:v>7.9</c:v>
                </c:pt>
                <c:pt idx="4">
                  <c:v>10.9</c:v>
                </c:pt>
                <c:pt idx="5">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Alemania</c:v>
                </c:pt>
                <c:pt idx="1">
                  <c:v>Europa (sin Alemania)</c:v>
                </c:pt>
                <c:pt idx="2">
                  <c:v>Norteamérica</c:v>
                </c:pt>
                <c:pt idx="3">
                  <c:v>Asia</c:v>
                </c:pt>
                <c:pt idx="4">
                  <c:v>Latinoamérica</c:v>
                </c:pt>
                <c:pt idx="5">
                  <c:v>Resto del mundo</c:v>
                </c:pt>
              </c:strCache>
            </c:strRef>
          </c:cat>
          <c:val>
            <c:numRef>
              <c:f>Hoja1!$B$2:$B$7</c:f>
              <c:numCache>
                <c:formatCode>0"%"</c:formatCode>
                <c:ptCount val="6"/>
                <c:pt idx="0">
                  <c:v>10.3</c:v>
                </c:pt>
                <c:pt idx="1">
                  <c:v>42.6</c:v>
                </c:pt>
                <c:pt idx="2">
                  <c:v>24.2</c:v>
                </c:pt>
                <c:pt idx="3">
                  <c:v>10.7</c:v>
                </c:pt>
                <c:pt idx="4">
                  <c:v>6.7</c:v>
                </c:pt>
                <c:pt idx="5">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(estimación propia: ventas del grupo de producto iCombi de RATIONAL divididas por una cuota del 50 %))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1538</c:v>
                </c:pt>
                <c:pt idx="1">
                  <c:v>1162</c:v>
                </c:pt>
                <c:pt idx="2">
                  <c:v>1396</c:v>
                </c:pt>
                <c:pt idx="3">
                  <c:v>1790</c:v>
                </c:pt>
                <c:pt idx="4">
                  <c:v>2016</c:v>
                </c:pt>
                <c:pt idx="5">
                  <c:v>2112</c:v>
                </c:pt>
                <c:pt idx="6">
                  <c:v>2217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Rational</c:v>
                </c:pt>
                <c:pt idx="1">
                  <c:v>Middleby (Commercial Foodservice)</c:v>
                </c:pt>
                <c:pt idx="2">
                  <c:v>ITW Food Equipment (Hobart, Vulcan)</c:v>
                </c:pt>
                <c:pt idx="3">
                  <c:v>Ali Group (Welbilt: Convotherm, Merrychef)</c:v>
                </c:pt>
                <c:pt idx="4">
                  <c:v>Electrolux Professional (Food &amp; Beverage)</c:v>
                </c:pt>
                <c:pt idx="5">
                  <c:v>Hoshizaki</c:v>
                </c:pt>
                <c:pt idx="6">
                  <c:v>Unox</c:v>
                </c:pt>
              </c:strCache>
            </c:strRef>
          </c:cat>
          <c:val>
            <c:numRef>
              <c:f>Hoja1!$B$2:$B$8</c:f>
              <c:numCache>
                <c:formatCode>0.0"%"</c:formatCode>
                <c:ptCount val="7"/>
                <c:pt idx="0">
                  <c:v>26.4</c:v>
                </c:pt>
                <c:pt idx="1">
                  <c:v>18</c:v>
                </c:pt>
                <c:pt idx="2">
                  <c:v>27.9</c:v>
                </c:pt>
                <c:pt idx="3">
                  <c:v>11.7</c:v>
                </c:pt>
                <c:pt idx="4">
                  <c:v>6.2</c:v>
                </c:pt>
                <c:pt idx="5">
                  <c:v>10.7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843.633</c:v>
                </c:pt>
                <c:pt idx="1">
                  <c:v>649.587</c:v>
                </c:pt>
                <c:pt idx="2">
                  <c:v>779.734</c:v>
                </c:pt>
                <c:pt idx="3">
                  <c:v>1022.345</c:v>
                </c:pt>
                <c:pt idx="4">
                  <c:v>1125.838</c:v>
                </c:pt>
                <c:pt idx="5">
                  <c:v>1193.529</c:v>
                </c:pt>
                <c:pt idx="6">
                  <c:v>1259.558</c:v>
                </c:pt>
                <c:pt idx="7">
                  <c:v>1335</c:v>
                </c:pt>
                <c:pt idx="8">
                  <c:v>1429</c:v>
                </c:pt>
                <c:pt idx="9">
                  <c:v>1529</c:v>
                </c:pt>
                <c:pt idx="10">
                  <c:v>1636</c:v>
                </c:pt>
                <c:pt idx="11">
                  <c:v>1750</c:v>
                </c:pt>
                <c:pt idx="12">
                  <c:v>1864</c:v>
                </c:pt>
                <c:pt idx="13">
                  <c:v>1976</c:v>
                </c:pt>
                <c:pt idx="14">
                  <c:v>2084</c:v>
                </c:pt>
                <c:pt idx="15">
                  <c:v>2189</c:v>
                </c:pt>
                <c:pt idx="16">
                  <c:v>2298</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248.358</c:v>
                </c:pt>
                <c:pt idx="1">
                  <c:v>136.084</c:v>
                </c:pt>
                <c:pt idx="2">
                  <c:v>190.448</c:v>
                </c:pt>
                <c:pt idx="3">
                  <c:v>268.428</c:v>
                </c:pt>
                <c:pt idx="4">
                  <c:v>309.62</c:v>
                </c:pt>
                <c:pt idx="5">
                  <c:v>351.592</c:v>
                </c:pt>
                <c:pt idx="6">
                  <c:v>369.566</c:v>
                </c:pt>
                <c:pt idx="7">
                  <c:v>385</c:v>
                </c:pt>
                <c:pt idx="8">
                  <c:v>411</c:v>
                </c:pt>
                <c:pt idx="9">
                  <c:v>443</c:v>
                </c:pt>
                <c:pt idx="10">
                  <c:v>474</c:v>
                </c:pt>
                <c:pt idx="11">
                  <c:v>508</c:v>
                </c:pt>
                <c:pt idx="12">
                  <c:v>541</c:v>
                </c:pt>
                <c:pt idx="13">
                  <c:v>573</c:v>
                </c:pt>
                <c:pt idx="14">
                  <c:v>604</c:v>
                </c:pt>
                <c:pt idx="15">
                  <c:v>635</c:v>
                </c:pt>
                <c:pt idx="16">
                  <c:v>666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59</c:v>
                </c:pt>
                <c:pt idx="1">
                  <c:v>55.4</c:v>
                </c:pt>
                <c:pt idx="2">
                  <c:v>55.1</c:v>
                </c:pt>
                <c:pt idx="3">
                  <c:v>55.3</c:v>
                </c:pt>
                <c:pt idx="4">
                  <c:v>56.7</c:v>
                </c:pt>
                <c:pt idx="5">
                  <c:v>59.2</c:v>
                </c:pt>
                <c:pt idx="6">
                  <c:v>59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29.4</c:v>
                </c:pt>
                <c:pt idx="1">
                  <c:v>20.9</c:v>
                </c:pt>
                <c:pt idx="2">
                  <c:v>24.4</c:v>
                </c:pt>
                <c:pt idx="3">
                  <c:v>26.3</c:v>
                </c:pt>
                <c:pt idx="4">
                  <c:v>27.5</c:v>
                </c:pt>
                <c:pt idx="5">
                  <c:v>29.5</c:v>
                </c:pt>
                <c:pt idx="6">
                  <c:v>29.3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26.5</c:v>
                </c:pt>
                <c:pt idx="1">
                  <c:v>16.4</c:v>
                </c:pt>
                <c:pt idx="2">
                  <c:v>20.5</c:v>
                </c:pt>
                <c:pt idx="3">
                  <c:v>23.2</c:v>
                </c:pt>
                <c:pt idx="4">
                  <c:v>24.6</c:v>
                </c:pt>
                <c:pt idx="5">
                  <c:v>26.3</c:v>
                </c:pt>
                <c:pt idx="6">
                  <c:v>26.4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20.3</c:v>
                </c:pt>
                <c:pt idx="1">
                  <c:v>12.3</c:v>
                </c:pt>
                <c:pt idx="2">
                  <c:v>15.9</c:v>
                </c:pt>
                <c:pt idx="3">
                  <c:v>18.2</c:v>
                </c:pt>
                <c:pt idx="4">
                  <c:v>19</c:v>
                </c:pt>
                <c:pt idx="5">
                  <c:v>21</c:v>
                </c:pt>
                <c:pt idx="6">
                  <c:v>20.2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8.1</c:v>
                </c:pt>
                <c:pt idx="1">
                  <c:v>8.6</c:v>
                </c:pt>
                <c:pt idx="2">
                  <c:v>3.1</c:v>
                </c:pt>
                <c:pt idx="3">
                  <c:v>5.5</c:v>
                </c:pt>
                <c:pt idx="4">
                  <c:v>6</c:v>
                </c:pt>
                <c:pt idx="5">
                  <c:v>7.3</c:v>
                </c:pt>
                <c:pt idx="6">
                  <c:v>7.6</c:v>
                </c:pt>
                <c:pt idx="7">
                  <c:v>4.2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6">
                  <c:v>11</c:v>
                </c:pt>
                <c:pt idx="7">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54</c:v>
                </c:pt>
                <c:pt idx="1">
                  <c:v>55</c:v>
                </c:pt>
                <c:pt idx="2">
                  <c:v>51</c:v>
                </c:pt>
                <c:pt idx="3">
                  <c:v>62</c:v>
                </c:pt>
                <c:pt idx="4">
                  <c:v>56</c:v>
                </c:pt>
                <c:pt idx="5">
                  <c:v>55</c:v>
                </c:pt>
                <c:pt idx="6">
                  <c:v>58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70</c:v>
                </c:pt>
                <c:pt idx="1">
                  <c:v>100</c:v>
                </c:pt>
                <c:pt idx="2">
                  <c:v>101</c:v>
                </c:pt>
                <c:pt idx="3">
                  <c:v>93</c:v>
                </c:pt>
                <c:pt idx="4">
                  <c:v>80</c:v>
                </c:pt>
                <c:pt idx="5">
                  <c:v>81</c:v>
                </c:pt>
                <c:pt idx="6">
                  <c:v>88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26</c:v>
                </c:pt>
                <c:pt idx="1">
                  <c:v>27</c:v>
                </c:pt>
                <c:pt idx="2">
                  <c:v>30</c:v>
                </c:pt>
                <c:pt idx="3">
                  <c:v>29</c:v>
                </c:pt>
                <c:pt idx="4">
                  <c:v>25</c:v>
                </c:pt>
                <c:pt idx="5">
                  <c:v>25</c:v>
                </c:pt>
                <c:pt idx="6">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149.111</c:v>
                </c:pt>
                <c:pt idx="1">
                  <c:v>49.967999999999996</c:v>
                </c:pt>
                <c:pt idx="2">
                  <c:v>137.13000000000002</c:v>
                </c:pt>
                <c:pt idx="3">
                  <c:v>113.70899999999999</c:v>
                </c:pt>
                <c:pt idx="4">
                  <c:v>212.596</c:v>
                </c:pt>
                <c:pt idx="5">
                  <c:v>238.78000000000003</c:v>
                </c:pt>
                <c:pt idx="6">
                  <c:v>206.17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171.59</c:v>
                </c:pt>
                <c:pt idx="1">
                  <c:v>80.096</c:v>
                </c:pt>
                <c:pt idx="2">
                  <c:v>123.663</c:v>
                </c:pt>
                <c:pt idx="3">
                  <c:v>185.722</c:v>
                </c:pt>
                <c:pt idx="4">
                  <c:v>213.968</c:v>
                </c:pt>
                <c:pt idx="5">
                  <c:v>250.53</c:v>
                </c:pt>
                <c:pt idx="6">
                  <c:v>253.847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54.4</c:v>
                </c:pt>
                <c:pt idx="1">
                  <c:v>27.2</c:v>
                </c:pt>
                <c:pt idx="2">
                  <c:v>42.4</c:v>
                </c:pt>
                <c:pt idx="3">
                  <c:v>55.6</c:v>
                </c:pt>
                <c:pt idx="4">
                  <c:v>54.3</c:v>
                </c:pt>
                <c:pt idx="5">
                  <c:v>62.6</c:v>
                </c:pt>
                <c:pt idx="6">
                  <c:v>61.2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9.2</c:v>
                </c:pt>
                <c:pt idx="1">
                  <c:v>9.2</c:v>
                </c:pt>
                <c:pt idx="2">
                  <c:v>9.2</c:v>
                </c:pt>
                <c:pt idx="3">
                  <c:v>9.2</c:v>
                </c:pt>
                <c:pt idx="4">
                  <c:v>9.2</c:v>
                </c:pt>
                <c:pt idx="5">
                  <c:v>9.2</c:v>
                </c:pt>
                <c:pt idx="6">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33.2</c:v>
                </c:pt>
                <c:pt idx="1">
                  <c:v>15.2</c:v>
                </c:pt>
                <c:pt idx="2">
                  <c:v>21.7</c:v>
                </c:pt>
                <c:pt idx="3">
                  <c:v>28.5</c:v>
                </c:pt>
                <c:pt idx="4">
                  <c:v>29.3</c:v>
                </c:pt>
                <c:pt idx="5">
                  <c:v>31</c:v>
                </c:pt>
                <c:pt idx="6">
                  <c:v>28.2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-0.82</c:v>
                </c:pt>
                <c:pt idx="1">
                  <c:v>-1.71</c:v>
                </c:pt>
                <c:pt idx="2">
                  <c:v>-1.67</c:v>
                </c:pt>
                <c:pt idx="3">
                  <c:v>-1.19</c:v>
                </c:pt>
                <c:pt idx="4">
                  <c:v>-1.21</c:v>
                </c:pt>
                <c:pt idx="5">
                  <c:v>-1.34</c:v>
                </c:pt>
                <c:pt idx="6">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0</c:v>
                </c:pt>
                <c:pt idx="1">
                  <c:v>0</c:v>
                </c:pt>
                <c:pt idx="2">
                  <c:v>0</c:v>
                </c:pt>
                <c:pt idx="3">
                  <c:v>0</c:v>
                </c:pt>
                <c:pt idx="4">
                  <c:v>0</c:v>
                </c:pt>
                <c:pt idx="5">
                  <c:v>0</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108.015</c:v>
                </c:pt>
                <c:pt idx="1">
                  <c:v>64.809</c:v>
                </c:pt>
                <c:pt idx="2">
                  <c:v>54.576</c:v>
                </c:pt>
                <c:pt idx="3">
                  <c:v>113.7</c:v>
                </c:pt>
                <c:pt idx="4">
                  <c:v>153.495</c:v>
                </c:pt>
                <c:pt idx="5">
                  <c:v>153.495</c:v>
                </c:pt>
                <c:pt idx="6">
                  <c:v>170.55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4</c:v>
                </c:pt>
                <c:pt idx="1">
                  <c:v>3</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Gabriella Meister y Franziska Würbser (pacto de sindicación)</c:v>
                </c:pt>
                <c:pt idx="1">
                  <c:v>Ulrike Meister (incluye 55.000 acciones de HONUA Natur &amp; Mensch Stiftung)</c:v>
                </c:pt>
                <c:pt idx="2">
                  <c:v>Miembros del Aufsichtsrat (sobre todo el cofundador Walter Kurtz)</c:v>
                </c:pt>
                <c:pt idx="3">
                  <c:v>Capital flotante</c:v>
                </c:pt>
                <c:pt idx="4">
                  <c:v>Autocartera</c:v>
                </c:pt>
              </c:strCache>
            </c:strRef>
          </c:cat>
          <c:val>
            <c:numRef>
              <c:f>Hoja1!$B$2:$B$6</c:f>
              <c:numCache>
                <c:formatCode>0.0"%"</c:formatCode>
                <c:ptCount val="5"/>
                <c:pt idx="0">
                  <c:v>31.58</c:v>
                </c:pt>
                <c:pt idx="1">
                  <c:v>15.59</c:v>
                </c:pt>
                <c:pt idx="2">
                  <c:v>7.81</c:v>
                </c:pt>
                <c:pt idx="3">
                  <c:v>44.8</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c:v>
                </c:pt>
                <c:pt idx="1">
                  <c:v>26.7</c:v>
                </c:pt>
                <c:pt idx="2">
                  <c:v>-7.7</c:v>
                </c:pt>
                <c:pt idx="3">
                  <c:v>44.6</c:v>
                </c:pt>
                <c:pt idx="4">
                  <c:v>6.2</c:v>
                </c:pt>
                <c:pt idx="5">
                  <c:v>18.2</c:v>
                </c:pt>
                <c:pt idx="6">
                  <c:v>-38.4</c:v>
                </c:pt>
                <c:pt idx="7">
                  <c:v>26</c:v>
                </c:pt>
                <c:pt idx="8">
                  <c:v>17.8</c:v>
                </c:pt>
                <c:pt idx="9">
                  <c:v>-19.7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6.8</c:v>
                </c:pt>
                <c:pt idx="1">
                  <c:v>18.1</c:v>
                </c:pt>
                <c:pt idx="2">
                  <c:v>-17.6</c:v>
                </c:pt>
                <c:pt idx="3">
                  <c:v>31.2</c:v>
                </c:pt>
                <c:pt idx="4">
                  <c:v>8.8</c:v>
                </c:pt>
                <c:pt idx="5">
                  <c:v>14.1</c:v>
                </c:pt>
                <c:pt idx="6">
                  <c:v>-28.5</c:v>
                </c:pt>
                <c:pt idx="7">
                  <c:v>8</c:v>
                </c:pt>
                <c:pt idx="8">
                  <c:v>-5.7</c:v>
                </c:pt>
                <c:pt idx="9">
                  <c:v>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3">
                  <c:v>32</c:v>
                </c:pt>
                <c:pt idx="4">
                  <c:v>61.9</c:v>
                </c:pt>
                <c:pt idx="5">
                  <c:v>52.1</c:v>
                </c:pt>
                <c:pt idx="6">
                  <c:v>22.3</c:v>
                </c:pt>
                <c:pt idx="7">
                  <c:v>24.5</c:v>
                </c:pt>
                <c:pt idx="8">
                  <c:v>25.3</c:v>
                </c:pt>
                <c:pt idx="9">
                  <c:v>19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24.5</c:v>
                </c:pt>
                <c:pt idx="1">
                  <c:v>24.5</c:v>
                </c:pt>
                <c:pt idx="2">
                  <c:v>24.5</c:v>
                </c:pt>
                <c:pt idx="3">
                  <c:v>24.5</c:v>
                </c:pt>
                <c:pt idx="4">
                  <c:v>24.5</c:v>
                </c:pt>
                <c:pt idx="5">
                  <c:v>24.5</c:v>
                </c:pt>
                <c:pt idx="6">
                  <c:v>24.5</c:v>
                </c:pt>
                <c:pt idx="7">
                  <c:v>24.5</c:v>
                </c:pt>
                <c:pt idx="8">
                  <c:v>24.5</c:v>
                </c:pt>
                <c:pt idx="9">
                  <c:v>24.5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Rational</c:v>
                </c:pt>
                <c:pt idx="1">
                  <c:v>The Middleby Corporation</c:v>
                </c:pt>
                <c:pt idx="2">
                  <c:v>Electrolux Professional</c:v>
                </c:pt>
                <c:pt idx="3">
                  <c:v>Hoshizaki</c:v>
                </c:pt>
                <c:pt idx="4">
                  <c:v>JBT Marel</c:v>
                </c:pt>
                <c:pt idx="5">
                  <c:v>Krones</c:v>
                </c:pt>
                <c:pt idx="6">
                  <c:v>Kone</c:v>
                </c:pt>
                <c:pt idx="7">
                  <c:v>Schindler</c:v>
                </c:pt>
                <c:pt idx="8">
                  <c:v>Interroll</c:v>
                </c:pt>
                <c:pt idx="9">
                  <c:v>Illinois Tool Works</c:v>
                </c:pt>
              </c:strCache>
            </c:strRef>
          </c:cat>
          <c:val>
            <c:numRef>
              <c:f>Hoja1!$B$2:$B$11</c:f>
              <c:numCache>
                <c:formatCode>0.0"x"</c:formatCode>
                <c:ptCount val="10"/>
                <c:pt idx="0">
                  <c:v>15</c:v>
                </c:pt>
                <c:pt idx="1">
                  <c:v>10.4</c:v>
                </c:pt>
                <c:pt idx="2">
                  <c:v>6.9</c:v>
                </c:pt>
                <c:pt idx="3">
                  <c:v>6.8</c:v>
                </c:pt>
                <c:pt idx="4">
                  <c:v>9.2</c:v>
                </c:pt>
                <c:pt idx="5">
                  <c:v>4.3</c:v>
                </c:pt>
                <c:pt idx="6">
                  <c:v>13.3</c:v>
                </c:pt>
                <c:pt idx="7">
                  <c:v>12.6</c:v>
                </c:pt>
                <c:pt idx="8">
                  <c:v>8.6</c:v>
                </c:pt>
                <c:pt idx="9">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Rational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8.1</c:v>
                </c:pt>
              </c:numCache>
            </c:numRef>
          </c:xVal>
          <c:yVal>
            <c:numRef>
              <c:f>Hoja1!$C$2</c:f>
              <c:numCache>
                <c:formatCode>0.0"x"</c:formatCode>
                <c:ptCount val="1"/>
                <c:pt idx="0">
                  <c:v>15</c:v>
                </c:pt>
              </c:numCache>
            </c:numRef>
          </c:yVal>
          <c:smooth val="0"/>
        </c:ser>
        <c:ser>
          <c:idx val="1"/>
          <c:order val="1"/>
          <c:tx>
            <c:strRef>
              <c:f>Hoja1!$A$3</c:f>
              <c:strCache>
                <c:ptCount val="1"/>
                <c:pt idx="0">
                  <c:v>The Middleby Corporation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c:v>
                </c:pt>
              </c:numCache>
            </c:numRef>
          </c:xVal>
          <c:yVal>
            <c:numRef>
              <c:f>Hoja1!$C$3</c:f>
              <c:numCache>
                <c:formatCode>0.0"x"</c:formatCode>
                <c:ptCount val="1"/>
                <c:pt idx="0">
                  <c:v>10.4</c:v>
                </c:pt>
              </c:numCache>
            </c:numRef>
          </c:yVal>
          <c:smooth val="0"/>
        </c:ser>
        <c:ser>
          <c:idx val="2"/>
          <c:order val="2"/>
          <c:tx>
            <c:strRef>
              <c:f>Hoja1!$A$4</c:f>
              <c:strCache>
                <c:ptCount val="1"/>
                <c:pt idx="0">
                  <c:v>Electrolux Professional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4.9</c:v>
                </c:pt>
              </c:numCache>
            </c:numRef>
          </c:xVal>
          <c:yVal>
            <c:numRef>
              <c:f>Hoja1!$C$4</c:f>
              <c:numCache>
                <c:formatCode>0.0"x"</c:formatCode>
                <c:ptCount val="1"/>
                <c:pt idx="0">
                  <c:v>6.9</c:v>
                </c:pt>
              </c:numCache>
            </c:numRef>
          </c:yVal>
          <c:smooth val="0"/>
        </c:ser>
        <c:ser>
          <c:idx val="3"/>
          <c:order val="3"/>
          <c:tx>
            <c:strRef>
              <c:f>Hoja1!$A$5</c:f>
              <c:strCache>
                <c:ptCount val="1"/>
                <c:pt idx="0">
                  <c:v>Hoshizaki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8.5</c:v>
                </c:pt>
              </c:numCache>
            </c:numRef>
          </c:xVal>
          <c:yVal>
            <c:numRef>
              <c:f>Hoja1!$C$5</c:f>
              <c:numCache>
                <c:formatCode>0.0"x"</c:formatCode>
                <c:ptCount val="1"/>
                <c:pt idx="0">
                  <c:v>6.8</c:v>
                </c:pt>
              </c:numCache>
            </c:numRef>
          </c:yVal>
          <c:smooth val="0"/>
        </c:ser>
        <c:ser>
          <c:idx val="4"/>
          <c:order val="4"/>
          <c:tx>
            <c:strRef>
              <c:f>Hoja1!$A$6</c:f>
              <c:strCache>
                <c:ptCount val="1"/>
                <c:pt idx="0">
                  <c:v>JBT Marel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9.2</c:v>
                </c:pt>
              </c:numCache>
            </c:numRef>
          </c:yVal>
          <c:smooth val="0"/>
        </c:ser>
        <c:ser>
          <c:idx val="5"/>
          <c:order val="5"/>
          <c:tx>
            <c:strRef>
              <c:f>Hoja1!$A$7</c:f>
              <c:strCache>
                <c:ptCount val="1"/>
                <c:pt idx="0">
                  <c:v>Krones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3.8</c:v>
                </c:pt>
              </c:numCache>
            </c:numRef>
          </c:xVal>
          <c:yVal>
            <c:numRef>
              <c:f>Hoja1!$C$7</c:f>
              <c:numCache>
                <c:formatCode>0.0"x"</c:formatCode>
                <c:ptCount val="1"/>
                <c:pt idx="0">
                  <c:v>4.3</c:v>
                </c:pt>
              </c:numCache>
            </c:numRef>
          </c:yVal>
          <c:smooth val="0"/>
        </c:ser>
        <c:ser>
          <c:idx val="6"/>
          <c:order val="6"/>
          <c:tx>
            <c:strRef>
              <c:f>Hoja1!$A$8</c:f>
              <c:strCache>
                <c:ptCount val="1"/>
                <c:pt idx="0">
                  <c:v>Kone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13.3</c:v>
                </c:pt>
              </c:numCache>
            </c:numRef>
          </c:yVal>
          <c:smooth val="0"/>
        </c:ser>
        <c:ser>
          <c:idx val="7"/>
          <c:order val="7"/>
          <c:tx>
            <c:strRef>
              <c:f>Hoja1!$A$9</c:f>
              <c:strCache>
                <c:ptCount val="1"/>
                <c:pt idx="0">
                  <c:v>Schindler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3.5</c:v>
                </c:pt>
              </c:numCache>
            </c:numRef>
          </c:xVal>
          <c:yVal>
            <c:numRef>
              <c:f>Hoja1!$C$9</c:f>
              <c:numCache>
                <c:formatCode>0.0"x"</c:formatCode>
                <c:ptCount val="1"/>
                <c:pt idx="0">
                  <c:v>12.6</c:v>
                </c:pt>
              </c:numCache>
            </c:numRef>
          </c:yVal>
          <c:smooth val="0"/>
        </c:ser>
        <c:ser>
          <c:idx val="8"/>
          <c:order val="8"/>
          <c:tx>
            <c:strRef>
              <c:f>Hoja1!$A$10</c:f>
              <c:strCache>
                <c:ptCount val="1"/>
                <c:pt idx="0">
                  <c:v>Interroll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9.8</c:v>
                </c:pt>
              </c:numCache>
            </c:numRef>
          </c:xVal>
          <c:yVal>
            <c:numRef>
              <c:f>Hoja1!$C$10</c:f>
              <c:numCache>
                <c:formatCode>0.0"x"</c:formatCode>
                <c:ptCount val="1"/>
                <c:pt idx="0">
                  <c:v>8.6</c:v>
                </c:pt>
              </c:numCache>
            </c:numRef>
          </c:yVal>
          <c:smooth val="0"/>
        </c:ser>
        <c:ser>
          <c:idx val="9"/>
          <c:order val="9"/>
          <c:tx>
            <c:strRef>
              <c:f>Hoja1!$A$11</c:f>
              <c:strCache>
                <c:ptCount val="1"/>
                <c:pt idx="0">
                  <c:v>Illinois Tool Works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4.2</c:v>
                </c:pt>
              </c:numCache>
            </c:numRef>
          </c:xVal>
          <c:yVal>
            <c:numRef>
              <c:f>Hoja1!$C$11</c:f>
              <c:numCache>
                <c:formatCode>0.0"x"</c:formatCode>
                <c:ptCount val="1"/>
                <c:pt idx="0">
                  <c:v>16.4</c:v>
                </c:pt>
              </c:numCache>
            </c:numRef>
          </c:yVal>
          <c:smooth val="0"/>
        </c:ser>
        <c:axId val="10"/>
        <c:axId val="20"/>
      </c:scatterChart>
      <c:valAx>
        <c:axId val="10"/>
        <c:scaling>
          <c:orientation val="minMax"/>
          <c:max val="12"/>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Welbilt (EE. UU.)</c:v>
                </c:pt>
                <c:pt idx="1">
                  <c:v>Unified Brands (EE. UU.)</c:v>
                </c:pt>
                <c:pt idx="2">
                  <c:v>Tosei (Japón)</c:v>
                </c:pt>
              </c:strCache>
            </c:strRef>
          </c:cat>
          <c:val>
            <c:numRef>
              <c:f>Hoja1!$B$2:$B$4</c:f>
              <c:numCache>
                <c:formatCode>0.0"x"</c:formatCode>
                <c:ptCount val="3"/>
                <c:pt idx="0">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230</c:v>
                </c:pt>
                <c:pt idx="1">
                  <c:v>243</c:v>
                </c:pt>
                <c:pt idx="2">
                  <c:v>263</c:v>
                </c:pt>
                <c:pt idx="3">
                  <c:v>281</c:v>
                </c:pt>
                <c:pt idx="4">
                  <c:v>301</c:v>
                </c:pt>
                <c:pt idx="5">
                  <c:v>322</c:v>
                </c:pt>
                <c:pt idx="6">
                  <c:v>344</c:v>
                </c:pt>
                <c:pt idx="7">
                  <c:v>365</c:v>
                </c:pt>
                <c:pt idx="8">
                  <c:v>385</c:v>
                </c:pt>
                <c:pt idx="9">
                  <c:v>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1944</c:v>
                </c:pt>
                <c:pt idx="1">
                  <c:v>1478</c:v>
                </c:pt>
                <c:pt idx="2">
                  <c:v>1680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577,50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343.7</c:v>
                </c:pt>
                <c:pt idx="1">
                  <c:v>483.66</c:v>
                </c:pt>
                <c:pt idx="2">
                  <c:v>614.86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577,50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(560,50 – 776,50)</c:v>
                </c:pt>
                <c:pt idx="1">
                  <c:v>Precio objetivo de los analistas (585,00 – 1.070,00)</c:v>
                </c:pt>
                <c:pt idx="2">
                  <c:v>Comparables: EV/EBITDA NTM (284,68 – 490,95)</c:v>
                </c:pt>
                <c:pt idx="3">
                  <c:v>Comparables: PER NTM (389,97 – 557,10)</c:v>
                </c:pt>
                <c:pt idx="4">
                  <c:v>DCF (WACC y g ± 0,5) (439,20 – 542,40)</c:v>
                </c:pt>
                <c:pt idx="5">
                  <c:v>Escenarios (bajista – alcista) (343,70 – 614,86)</c:v>
                </c:pt>
                <c:pt idx="6">
                  <c:v>DCF con la prima implícita del mercado (4,2 %)</c:v>
                </c:pt>
                <c:pt idx="7">
                  <c:v>Precio actual (577,50)</c:v>
                </c:pt>
              </c:strCache>
            </c:strRef>
          </c:cat>
          <c:val>
            <c:numRef>
              <c:f>Hoja1!$B$2:$B$9</c:f>
              <c:numCache>
                <c:formatCode>#,##0</c:formatCode>
                <c:ptCount val="8"/>
                <c:pt idx="0">
                  <c:v>560.5</c:v>
                </c:pt>
                <c:pt idx="1">
                  <c:v>585</c:v>
                </c:pt>
                <c:pt idx="2">
                  <c:v>284.68</c:v>
                </c:pt>
                <c:pt idx="3">
                  <c:v>389.97</c:v>
                </c:pt>
                <c:pt idx="4">
                  <c:v>439.2</c:v>
                </c:pt>
                <c:pt idx="5">
                  <c:v>343.7</c:v>
                </c:pt>
                <c:pt idx="6">
                  <c:v>553.53</c:v>
                </c:pt>
                <c:pt idx="7">
                  <c:v>574.61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(560,50 – 776,50)</c:v>
                </c:pt>
                <c:pt idx="1">
                  <c:v>Precio objetivo de los analistas (585,00 – 1.070,00)</c:v>
                </c:pt>
                <c:pt idx="2">
                  <c:v>Comparables: EV/EBITDA NTM (284,68 – 490,95)</c:v>
                </c:pt>
                <c:pt idx="3">
                  <c:v>Comparables: PER NTM (389,97 – 557,10)</c:v>
                </c:pt>
                <c:pt idx="4">
                  <c:v>DCF (WACC y g ± 0,5) (439,20 – 542,40)</c:v>
                </c:pt>
                <c:pt idx="5">
                  <c:v>Escenarios (bajista – alcista) (343,70 – 614,86)</c:v>
                </c:pt>
                <c:pt idx="6">
                  <c:v>DCF con la prima implícita del mercado (4,2 %)</c:v>
                </c:pt>
                <c:pt idx="7">
                  <c:v>Precio actual (577,50)</c:v>
                </c:pt>
              </c:strCache>
            </c:strRef>
          </c:cat>
          <c:val>
            <c:numRef>
              <c:f>Hoja1!$C$2:$C$9</c:f>
              <c:numCache>
                <c:formatCode>#,##0</c:formatCode>
                <c:ptCount val="8"/>
                <c:pt idx="0">
                  <c:v>216</c:v>
                </c:pt>
                <c:pt idx="1">
                  <c:v>485</c:v>
                </c:pt>
                <c:pt idx="2">
                  <c:v>206.26999999999998</c:v>
                </c:pt>
                <c:pt idx="3">
                  <c:v>167.13</c:v>
                </c:pt>
                <c:pt idx="4">
                  <c:v>103.19999999999999</c:v>
                </c:pt>
                <c:pt idx="5">
                  <c:v>271.16</c:v>
                </c:pt>
                <c:pt idx="6">
                  <c:v>114.00999999999999</c:v>
                </c:pt>
                <c:pt idx="7">
                  <c:v>5.779999999999973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