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Rentokil Initial plc</w:t>
      </w:r>
    </w:p>
    <w:p>
      <w:pPr>
        <w:spacing w:after="60"/>
        <w:rPr>
          <w:color w:val="52514E"/>
          <w:sz w:val="22"/>
          <w:szCs w:val="22"/>
        </w:rPr>
      </w:pPr>
      <w:r>
        <w:rPr>
          <w:color w:val="52514E"/>
          <w:sz w:val="22"/>
          <w:szCs w:val="22"/>
        </w:rPr>
        <w:t xml:space="preserve">RTO (LSE); RTO (NYSE, 1 ADS = 5 acciones) · London Stock Exchange (principal); ADR en NYSE · ISIN GB00B082RF11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3,97 USD (299,04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5,26 USD (396,20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+35,6 % (base +29,1 %)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3,76 USD (283,22 GBp) · mercado 4,53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10.064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Rentokil Initial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RTO (LSE); RTO (NYSE, 1 ADS = 5 acciones) / GB00B082RF11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(principal); ADR en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Servicios comerciales y suministros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Crawley (Reino Unido); oficina de Norteamérica en Dallas · 1925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www.rentokil-initial.com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 – 6,73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10.064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13.922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12,1 M acciones/día en Londres (≈ 42,8 M GBP, ≈ 57 M USD/día, 3 meses) más ≈ 39 M USD/día en el ADR de Nueva York [57, 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5,26 USD (396,20 GBp)</w:t>
      </w:r>
      <w:r>
        <w:t xml:space="preserve"> frente a 3,97 (299,04 GBp) · Rentabilidad a 12 meses </w:t>
      </w:r>
      <w:r>
        <w:rPr>
          <w:b/>
          <w:bCs/>
        </w:rPr>
        <w:t xml:space="preserve">+35,6 % (base +29,1 %)</w:t>
      </w:r>
      <w:r>
        <w:t xml:space="preserve"> · Valor intrínseco 3,76 USD (283,22 GBp) · con la prima implícita del mercado: 4,53 (341,22 GBp) (+14,1 %) · Alcista / bajista +22,2 % / -36,0 %</w:t>
      </w:r>
    </w:p>
    <w:p>
      <w:pPr>
        <w:spacing w:after="100"/>
      </w:pPr>
      <w:r>
        <w:rPr>
          <w:b/>
        </w:rPr>
        <w:t xml:space="preserve">La recomendación y por qué.</w:t>
      </w:r>
      <w:r>
        <w:t xml:space="preserve"> Mantener, con convicción baja. Las dos reglas discrepan. Con la prima de riesgo implícita del mercado (4,2 % [61]) el valor objetivo es 4,53 USD (341 GBp), un 14,1 % más, y la rentabilidad total esperada del 17,3 % con una asimetría de 2,42 veces daría Comprar. Con nuestro WACC del 8,74 % el objetivo baja a 3,76 USD (283 GBp, −5,3 %), la rentabilidad total es del −2,1 % y la regla absoluta da Mantener. Manda la relativa, salvo que un Comprar que solo da ella no rinda al menos un 5 % con nuestro coste de capital, y aquí rinde un −2,1 %: una compra que sale solo de la tasa de descuento no se sostiene. Por eso pasamos del Comprar de la versión anterior a Mantener, sin cambiar ninguna cifra. La convicción es baja porque la rentabilidad relativa está a 2,3 puntos del umbral de compra y porque nuestras cifras quedan por debajo del consenso (EBITDA un 4-5 % menor): no tenemos una tesis distinta del mercado sobre el negocio.</w:t>
      </w:r>
    </w:p>
    <w:p>
      <w:pPr>
        <w:spacing w:after="100"/>
      </w:pPr>
      <w:r>
        <w:rPr>
          <w:b/>
        </w:rPr>
        <w:t xml:space="preserve">El negocio.</w:t>
      </w:r>
      <w:r>
        <w:t xml:space="preserve"> Rentokil es, con Rollins, uno de los dos grandes del control de plagas en Norteamérica, un mercado recurrente que creció un 6,6 % anual en 2015-2025 sin un año de caída [15]. El negocio de rutas es muy bueno: sin el fondo de comercio de Terminix rinde alrededor de un 24 % sobre el capital (estimación propia). Pero el accionista tiene el capital pagado por Terminix, y con él el ROIC es del 7,0 % frente a un WACC del 8,7 %. El problema es el volumen: la retención de Norteamérica está en el 80,7 % y el número de clientes baja [4, 12]. ¿Sostiene la calidad el crecimiento que proyectamos (3,8 % anual)? En parte: el precio sí, porque sube por encima de la inflación sin más bajas [12], pero el volumen no está demostrado (orgánico del 2,8 % y el 2,6 % en 2024-2025 [14, 53]) y la proyección lo pide plano desde 2028. No rebajamos el caso base porque ya queda por debajo del 5 % prometido, del consenso y del 6,2 % del mercado [15], y el bajista (25 %) repite 2024.</w:t>
      </w:r>
    </w:p>
    <w:p>
      <w:pPr>
        <w:spacing w:after="100"/>
      </w:pPr>
      <w:r>
        <w:rPr>
          <w:b/>
        </w:rPr>
        <w:t xml:space="preserve">Finanzas.</w:t>
      </w:r>
      <w:r>
        <w:t xml:space="preserve"> El orgánico se quedó en el 2,8 % y el 2,6 % en 2024-2025 y en el 3,6 % en el primer semestre de 2026 [4, 14, 53]. Las partidas «one-off» se repiten cada año (119, 110 y 287 M en 2023-2025) y las restamos del margen. La caja es buena: flujo libre de 515 M en los últimos doce meses (5,1 % sobre la capitalización) y deuda neta de 3.575 M, 2,4 veces el EBITDA ajustado y unas 2,0 sin arrendamientos, ya dentro del objetivo de 2-2,5 veces [4]. Restamos además 294 M netos de la provisión de termitas.</w:t>
      </w:r>
    </w:p>
    <w:p>
      <w:pPr>
        <w:spacing w:after="100"/>
      </w:pPr>
      <w:r>
        <w:rPr>
          <w:b/>
        </w:rPr>
        <w:t xml:space="preserve">Equipo y gobierno.</w:t>
      </w:r>
      <w:r>
        <w:t xml:space="preserve"> Suma, con reservas. La cúpula es nueva (consejero delegado desde marzo, presidenta desde septiembre) y ha comprado acciones [39, 40, 41, 42, 43]; el gobierno cumple 12 de 13 criterios. Resta la credibilidad heredada: desde 2023 se incumplieron el orgánico del 5 %, el margen del 19 %, las sinergias y el margen del 20 % en Norteamérica [4, 14, 49, 50, 51, 52, 53].</w:t>
      </w:r>
    </w:p>
    <w:p>
      <w:pPr>
        <w:spacing w:after="100"/>
      </w:pPr>
      <w:r>
        <w:rPr>
          <w:b/>
        </w:rPr>
        <w:t xml:space="preserve">Valoración.</w:t>
      </w:r>
      <w:r>
        <w:t xml:space="preserve"> El DCF da 3,82 USD y el DCF inverso dice que el precio descuenta un crecimiento del 4,3 % y un margen del 21,0 %, casi nuestro caso base, con una rentabilidad implícita del 8,6 %. No es exigente. Cotiza a 9,5 veces el EBITDA de los próximos doce meses, un 30 % por debajo de su media histórica y a poco más de la mitad que Rollins (16,5 veces). El consenso de analistas (6,15 USD [63]) supone menos partidas «one-off» de las que muestra la historia.</w:t>
      </w:r>
    </w:p>
    <w:p>
      <w:pPr>
        <w:spacing w:after="100"/>
      </w:pPr>
      <w:r>
        <w:rPr>
          <w:b/>
        </w:rPr>
        <w:t xml:space="preserve">Riesgos y catalizadores.</w:t>
      </w:r>
      <w:r>
        <w:t xml:space="preserve"> El riesgo principal es que Norteamérica no recupere volumen: el bajista, que repite 2024, vale 2,54 USD (−36,0 %). Medio punto más de WACC resta un 11 %. Catalizadores: la actualización del tercer trimestre el 22 de octubre [74], la caja de SOLitude (unos 180 M netos) antes de fin de año [13] y la hoja de ruta de Duffy con los resultados de 2026.</w:t>
      </w:r>
    </w:p>
    <w:p>
      <w:pPr>
        <w:spacing w:after="100"/>
      </w:pPr>
      <w:r>
        <w:rPr>
          <w:b/>
        </w:rPr>
        <w:t xml:space="preserve">Qué cambiaría la decisión.</w:t>
      </w:r>
      <w:r>
        <w:t xml:space="preserve"> Por debajo de 3,70 USD (279 GBp) pasaríamos a Comprar, porque también con nuestro coste de capital rendiría al menos un 5 %; por encima de 5,05 USD (380 GBp), a Vender. Dos trimestres de volumen positivo en Norteamérica subirían el caso base y el veredicto de sostenibilidad a «Sí»; un orgánico de control de plagas en Norteamérica por debajo del 2 % en el tercer trimestre, o partidas «one-off» de 2026 por encima de 150 M, nos acercarían al bajista.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5,26 USD (396,20 GBp)</w:t>
      </w:r>
      <w:r>
        <w:t xml:space="preserve"> (rentabilidad +35,6 % (base +29,1 %)) · Valor intrínseco: 3,76 USD (283,22 GBp) (-5,3 % sobre 3,97) · con la prima implícita del mercado: 4,53 (341,22 GBp) (+14,1 %)</w:t>
      </w:r>
    </w:p>
    <w:p>
      <w:pPr>
        <w:spacing w:after="100"/>
      </w:pPr>
      <w:r>
        <w:t xml:space="preserve">Rentokil es el número uno mundial del control de plagas, con un 17 % del mercado y el 25 % de Norteamérica (estimaciones propias), un negocio de suscripción con un 70 % de ingresos por contrato y precios que suben por encima de la inflación [15]. La compra de Terminix en 2022 le dio escala en EE. UU. pero le costó 4.110 M GBP más deuda [3] y una integración que destruyó retención: el ROIC cayó del 12,0 % de 2021 al 7,0 % de 2025 y la acción ha perdido un 33 % en 2026 [57].</w:t>
      </w:r>
    </w:p>
    <w:p>
      <w:pPr>
        <w:spacing w:after="100"/>
      </w:pPr>
      <w:r>
        <w:t xml:space="preserve">A 3,97 USD el precio descuenta poco: el DCF inverso pide un crecimiento del 4,3 % anual y un margen del 21,0 %, por debajo de lo que el sector y Rollins logran, y la acción cotiza a 9,5 veces el EBITDA de los próximos doce meses frente a una media propia de 13,5 veces y las 16,5 de Rollins [70]. La rentabilidad implícita (8,6 %) apenas iguala nuestro WACC del 8,74 %, inflado por un Tesoro al 5,31 % [59].</w:t>
      </w:r>
    </w:p>
    <w:p>
      <w:pPr>
        <w:spacing w:after="100"/>
      </w:pPr>
      <w:r>
        <w:t xml:space="preserve">El mercado acierta en desconfiar de la ejecución, pero el precio ya incorpora un crecimiento por debajo del mercado y partidas «one-off» permanentes. Para invertir hay que creer que el nuevo equipo estabiliza el volumen de Norteamérica y que el exceso de caja (venta de SOLitude, apalancamiento en objetivo) vuelve al accionista. Si el orgánico de Norteamérica cae por debajo del 2 %, no vale lo que cuesta.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USD (396,20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0,18 = 3,19 · 22,2x × 0,23 = 5,00 · 30,0x × 0,26 = 7,83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35,6 % / 29,1 %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 (nuestro base -18,7 %)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USD (283,22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(GBp al tipo de 0,0133 USD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USD (299,04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 / -36,0 %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frente a 8,7 %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USD (341,22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frente a 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3,76 (283,22 GBp)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3,76 y 5,98 (283,22 y 450,44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5,98 (450,44 GBp)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acción baja de 3,70 USD (279 GBp) sin cambios en las cifras, pasaríamos a Comprar; por encima de 5,05 USD (380 GBp), a Vender.</w:t>
      </w:r>
    </w:p>
    <w:p>
      <w:pPr>
        <w:pStyle w:val="ListParagraph"/>
        <w:numPr>
          <w:ilvl w:val="0"/>
          <w:numId w:val="2"/>
        </w:numPr>
        <w:spacing w:after="60"/>
      </w:pPr>
      <w:r>
        <w:t xml:space="preserve">Si el orgánico de control de plagas de Norteamérica baja del 2 % en el tercer trimestre (22 de octubre), recortaríamos el crecimiento del caso base y el nivel de compra.</w:t>
      </w:r>
    </w:p>
    <w:p>
      <w:pPr>
        <w:pStyle w:val="ListParagraph"/>
        <w:numPr>
          <w:ilvl w:val="0"/>
          <w:numId w:val="2"/>
        </w:numPr>
        <w:spacing w:after="60"/>
      </w:pPr>
      <w:r>
        <w:t xml:space="preserve">Si las partidas «one-off» de 2026 superan los 150 M o hay otra dotación extraordinaria de termitas en el segundo semestre, subiríamos el coste recurrente que restamos del margen y bajaría el valor objetivo.</w:t>
      </w:r>
    </w:p>
    <w:p>
      <w:pPr>
        <w:pStyle w:val="ListParagraph"/>
        <w:numPr>
          <w:ilvl w:val="0"/>
          <w:numId w:val="2"/>
        </w:numPr>
        <w:spacing w:after="60"/>
      </w:pPr>
      <w:r>
        <w:t xml:space="preserve">Si el plan de febrero de 2027 cifra la reinversión en Norteamérica por encima de 100 M anuales sin objetivos de crecimiento, bajaríamos el margen del caso base.</w:t>
      </w:r>
    </w:p>
    <w:p>
      <w:pPr>
        <w:pStyle w:val="ListParagraph"/>
        <w:numPr>
          <w:ilvl w:val="0"/>
          <w:numId w:val="2"/>
        </w:numPr>
        <w:spacing w:after="60"/>
      </w:pPr>
      <w:r>
        <w:t xml:space="preserve">Si Norteamérica encadena dos trimestres de volumen positivo, o se anuncia una recompra de al menos el 5 % del capital, revisaríamos el caso base al alza: el Comprar volvería si la rentabilidad con nuestro coste de capital supera el 5 %.</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Norteamérica no volverá a crecer al ritmo del mercado: un crecimiento del 4,3 % anual con un margen del 21,0 % en el DCF inverso y 9,5 veces el EBITDA, la mitad que Rollins. Tras el 30 de julio (−20,6 % en un día) y los recortes de septiembre, el mercado castiga la retirada del objetivo de margen del 20 % y la debilidad de las solicitudes de termitas [4, 57].</w:t>
      </w:r>
    </w:p>
    <w:p>
      <w:pPr>
        <w:keepNext/>
        <w:spacing w:after="100"/>
      </w:pPr>
      <w:r>
        <w:rPr>
          <w:b/>
          <w:bCs/>
        </w:rPr>
        <w:t xml:space="preserve">Lo que creemos nosotros.</w:t>
      </w:r>
    </w:p>
    <w:p>
      <w:pPr>
        <w:spacing w:after="100"/>
      </w:pPr>
      <w:r>
        <w:t xml:space="preserve">Nuestra proyección es más prudente que la del consenso: crecimiento del 3,7 % y un margen del 20,6 % después de restar cada año partidas «one-off» de 1,5-2 puntos. Aun así, el valor con la prima de riesgo del mercado es de 4,53 USD. No vemos una tesis distinta del mercado sobre el negocio; la diferencia es de precio: el precio ya paga poco por la recuperación.</w:t>
      </w:r>
    </w:p>
    <w:p>
      <w:pPr>
        <w:keepNext/>
        <w:spacing w:after="100"/>
      </w:pPr>
      <w:r>
        <w:rPr>
          <w:b/>
          <w:bCs/>
        </w:rPr>
        <w:t xml:space="preserve">Por qué podemos tener razón.</w:t>
      </w:r>
    </w:p>
    <w:p>
      <w:pPr>
        <w:spacing w:after="100"/>
      </w:pPr>
      <w:r>
        <w:t xml:space="preserve">El precio sube el día que el volumen deje de caer: la retención residencial ya mejora (80,7 %), las solicitudes residenciales crecieron un 6 % en el semestre y el comercial tiene un plan propio [4]. Si no ocurre, el bajista (2,54 USD) es el riesgo, y es verosímil.</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9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Precio que descuenta poco</w:t>
      </w:r>
      <w:r>
        <w:t xml:space="preserve">: el DCF inverso pide un 4,3 % de crecimiento, por debajo del 6,2 % previsto para el mercado de plagas [15].</w:t>
      </w:r>
    </w:p>
    <w:p>
      <w:pPr>
        <w:pStyle w:val="ListParagraph"/>
        <w:numPr>
          <w:ilvl w:val="0"/>
          <w:numId w:val="2"/>
        </w:numPr>
        <w:spacing w:after="60"/>
      </w:pPr>
      <w:r>
        <w:rPr>
          <w:b/>
        </w:rPr>
        <w:t xml:space="preserve">Múltiplo deprimido</w:t>
      </w:r>
      <w:r>
        <w:t xml:space="preserve">: 9,5 veces el EBITDA de los próximos doce meses, un 30 % por debajo de su media histórica y frente a 16,5 veces de Rollins [70].</w:t>
      </w:r>
    </w:p>
    <w:p>
      <w:pPr>
        <w:pStyle w:val="ListParagraph"/>
        <w:numPr>
          <w:ilvl w:val="0"/>
          <w:numId w:val="2"/>
        </w:numPr>
        <w:spacing w:after="60"/>
      </w:pPr>
      <w:r>
        <w:rPr>
          <w:b/>
        </w:rPr>
        <w:t xml:space="preserve">Caja y balance ya en orden</w:t>
      </w:r>
      <w:r>
        <w:t xml:space="preserve">: deuda neta de 2,4 veces el EBITDA ajustado, dentro del objetivo por primera vez desde Terminix, y 180 M netos por SOLitude [4, 13].</w:t>
      </w:r>
    </w:p>
    <w:p>
      <w:pPr>
        <w:pStyle w:val="ListParagraph"/>
        <w:numPr>
          <w:ilvl w:val="0"/>
          <w:numId w:val="2"/>
        </w:numPr>
        <w:spacing w:after="60"/>
      </w:pPr>
      <w:r>
        <w:rPr>
          <w:b/>
        </w:rPr>
        <w:t xml:space="preserve">Dirección que compra</w:t>
      </w:r>
      <w:r>
        <w:t xml:space="preserve">: unos 1,55 M USD de compras de consejeros y directivos en doce meses y ninguna venta notificada [39, 40, 41, 42, 43].</w:t>
      </w:r>
    </w:p>
    <w:p>
      <w:pPr>
        <w:pStyle w:val="ListParagraph"/>
        <w:numPr>
          <w:ilvl w:val="0"/>
          <w:numId w:val="2"/>
        </w:numPr>
        <w:spacing w:after="60"/>
      </w:pPr>
      <w:r>
        <w:rPr>
          <w:b/>
        </w:rPr>
        <w:t xml:space="preserve">Precio por encima de la inflación</w:t>
      </w:r>
      <w:r>
        <w:t xml:space="preserve"> con clientes poco sensibles: una subida del 4 % o del 6 % apenas cambia las bajas [12].</w:t>
      </w:r>
    </w:p>
    <w:p>
      <w:pPr>
        <w:pStyle w:val="Heading2"/>
      </w:pPr>
      <w:r>
        <w:t xml:space="preserve">En contra</w:t>
      </w:r>
    </w:p>
    <w:p>
      <w:pPr>
        <w:pStyle w:val="ListParagraph"/>
        <w:numPr>
          <w:ilvl w:val="0"/>
          <w:numId w:val="2"/>
        </w:numPr>
        <w:spacing w:after="60"/>
      </w:pPr>
      <w:r>
        <w:rPr>
          <w:b/>
        </w:rPr>
        <w:t xml:space="preserve">ROIC del 7,0 %, por debajo del WACC del 8,7 %</w:t>
      </w:r>
      <w:r>
        <w:t xml:space="preserve">: el fondo de comercio de Terminix (6.584 M) pesa el 71 % del capital invertido [1].</w:t>
      </w:r>
    </w:p>
    <w:p>
      <w:pPr>
        <w:pStyle w:val="ListParagraph"/>
        <w:numPr>
          <w:ilvl w:val="0"/>
          <w:numId w:val="2"/>
        </w:numPr>
        <w:spacing w:after="60"/>
      </w:pPr>
      <w:r>
        <w:rPr>
          <w:b/>
        </w:rPr>
        <w:t xml:space="preserve">Volumen a la baja</w:t>
      </w:r>
      <w:r>
        <w:t xml:space="preserve">: retención del 80,7 % en Norteamérica y número de clientes en descenso, según el propio director financiero [4, 12].</w:t>
      </w:r>
    </w:p>
    <w:p>
      <w:pPr>
        <w:pStyle w:val="ListParagraph"/>
        <w:numPr>
          <w:ilvl w:val="0"/>
          <w:numId w:val="2"/>
        </w:numPr>
        <w:spacing w:after="60"/>
      </w:pPr>
      <w:r>
        <w:rPr>
          <w:b/>
        </w:rPr>
        <w:t xml:space="preserve">Partidas «one-off» permanentes</w:t>
      </w:r>
      <w:r>
        <w:t xml:space="preserve">: 119, 110 y 287 M en 2023-2025, más 112 M en el primer semestre de 2026 [2, 4].</w:t>
      </w:r>
    </w:p>
    <w:p>
      <w:pPr>
        <w:pStyle w:val="ListParagraph"/>
        <w:numPr>
          <w:ilvl w:val="0"/>
          <w:numId w:val="2"/>
        </w:numPr>
        <w:spacing w:after="60"/>
      </w:pPr>
      <w:r>
        <w:rPr>
          <w:b/>
        </w:rPr>
        <w:t xml:space="preserve">Credibilidad dañada</w:t>
      </w:r>
      <w:r>
        <w:t xml:space="preserve">: cuatro objetivos incumplidos desde 2023 y dos avisos de beneficios [4, 14, 49, 50, 51, 52, 53].</w:t>
      </w:r>
    </w:p>
    <w:p>
      <w:pPr>
        <w:pStyle w:val="ListParagraph"/>
        <w:numPr>
          <w:ilvl w:val="0"/>
          <w:numId w:val="2"/>
        </w:numPr>
        <w:spacing w:after="60"/>
      </w:pPr>
      <w:r>
        <w:rPr>
          <w:b/>
        </w:rPr>
        <w:t xml:space="preserve">Asimetría desfavorable con nuestro WACC</w:t>
      </w:r>
      <w:r>
        <w:t xml:space="preserve">: el bajista pierde un 36,0 % y el alcista gana un 22,2 % (0,62 veces).</w:t>
      </w:r>
    </w:p>
    <w:p>
      <w:pPr>
        <w:pStyle w:val="Heading2"/>
      </w:pPr>
      <w:r>
        <w:t xml:space="preserve">Qué tiene que pasar para que la tesis funcione</w:t>
      </w:r>
    </w:p>
    <w:p>
      <w:pPr>
        <w:spacing w:after="100"/>
      </w:pPr>
      <w:r>
        <w:t xml:space="preserve">La tesis depende de que el volumen de Norteamérica deje de caer. La señal es el orgánico de control de plagas de Norteamérica (2,4 % en el segundo trimestre de 2026 [4]): si baja del 2 % en el tercer o el cuarto trimestre, la recuperación no llega y el valor se acerca al bajista. La segunda señal es la retención de Norteamérica (80,7 %): por debajo del 80 % volvemos a 2024.</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control de plagas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volumen deja de caer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retención son cerca de 40 M de ingresos de Norteamérica que hay que reponer (estimación propia)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«one-off» del año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ya resta entre 1,5 y 2 puntos de margen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termitas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400 M a dic-26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crece pese a pagar 115-125 M al año, los supuestos siguen cortos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veces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la empresa y condición para recomprar [4].</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31,3x / 19,7x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Rentokil celebró en 2025 su centenario como marca de control de plagas británica [15]. El grupo cotiza en Londres desde 1969, a través de la sociedad hoy llamada Rentokil Initial 1927 plc; la cabecera actual se constituyó en 2005 [1]. En 1996 compró BET plc y con ella la marca Initial de higiene y servicios, y pasó a llamarse Rentokil Initial [1]. El cambio decisivo llegó el 12 de octubre de 2022 con la compra de Terminix, la marca más conocida de termitas y plagas de EE. UU., por 4.110 M GBP: unos 1.340 M USD en efectivo y 645,7 millones de acciones nuevas entregadas como ADS [3]. Desde entonces Norteamérica aporta el 62 % de los ingresos [15]. En 2025 vendió Workwear Francia a H.I.G. Capital, empezó a publicar en dólares y redujo su estructura a dos regiones [1]. Andy Ransom, primer ejecutivo durante 12 años, se jubiló y Mike Duffy le sustituyó el 16 de marzo de 2026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la marca Rentokil en el Reino Unido; el grupo celebró su centenario en 2025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la Bolsa de Londres, a través de la sociedad hoy llamada Rentokil Initial 1927 plc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BET plc (British Electric Traction) y de la marca Initial; nace Rentokil Initial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Rentokil Initial plc se constituye como nueva sociedad cabecera del grupo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Andy Ransom asume como primer ejecutivo, cargo que ocupará 12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Terminix Global Holdings (cerrada el 12 de octubre) por 4.110 M GBP, con unos 1.340 M USD en efectivo y 645,7 millones de acciones nuevas; el grupo pasa a ser el mayor operador de Norteamérica [3,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integración de Terminix decepciona: el crecimiento orgánico de Norteamérica se queda en el 1,5 % y en noviembre se presenta en EE. UU. una demanda colectiva de tenedores de ADS por las declaraciones sobre la integración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Workwear Francia a H.I.G. Capital (cerrada el 30 de septiembre), cuentas en dólares, dos regiones (Norteamérica e Internacional) y un plan de ahorro de 100 M USD en Norteamérica para 2027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Mike Duffy sustituye a Andy Ransom el 16 de marzo; el primer semestre cierra con un 3,6 % de crecimiento orgánico del grupo y un 3,7 % en Norteamérica [1,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Rentokil Initial presta servicios de control de plagas (83 % de los ingresos de 2025) e higiene y bienestar (17 %) en 90 países, con unos 63.400 empleados y 2.081 instalaciones [1, 15]. En plagas atiende tres tipos de cliente: comercial (industria alimentaria, restauración, hostelería, distribución, logística, oficinas), residencial y termitas. En Norteamérica opera con Terminix y marcas regionales, y tiene además Business Services (647 M USD en 2025): distribución de productos fitosanitarios (Target Specialty Products), control de mosquitos para administraciones (VDCI), gestión de lagos (SOLitude) y auditorías de higiene alimentaria (Steritech) [15]. Higiene y bienestar (Initial) instala y repone dispensadores, contenedores sanitarios y ambientadores en aseos de empresas y organismos públicos en más de 70 mercados internacionales, y Ambius alquila y cuida plantas de interior [15]. Por regiones, Norteamérica aporta el 62 % de los ingresos (4.294 M USD) e Internacional el 38 % (2.614 M USD) [15].</w:t>
      </w:r>
    </w:p>
    <w:p>
      <w:pPr>
        <w:pStyle w:val="Heading2"/>
      </w:pPr>
      <w:r>
        <w:t xml:space="preserve">Cómo gana dinero</w:t>
      </w:r>
    </w:p>
    <w:p>
      <w:pPr>
        <w:spacing w:after="100"/>
      </w:pPr>
      <w:r>
        <w:t xml:space="preserve">Es un modelo de suscripción con rutas: el 70 % de los ingresos procede de contratos anuales o plurianuales (67 % en plagas y 81 % en higiene) y el 30 % de trabajos puntuales y venta de productos [15]. El cliente comercial firma contratos anuales (de tres años con PestConnect, los dispositivos conectados); en residencial y termitas muchos compran por intervención [15]. El margen depende de la densidad de las rutas, porque cada cliente añadido a una ruta cuesta poco, y de subir precios por encima de la inflación, cosa que la empresa logra con clientes poco sensibles al precio [12, 15]. El problema es el volumen: con una retención del 80,7 % en Norteamérica hay que reponer cada año una quinta parte de la cartera, y el director financiero admite que probablemente pierden número de clientes [4, 12]. El margen operativo ajustado fue del 17,4 % en Norteamérica y del 19,8 % en Internacional en 2025 [1]. En julio de 2026 el nuevo consejero delegado retiró el objetivo de superar el 20 % en Norteamérica en 2027 para reinvertir los ahorros en volumen [4]. El negocio es estacional: más servicios en primavera y verano [16].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centrales y reestructuración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centrales y reestructuración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de clientes está muy atomizada: la empresa la describe como muy desagregada y no publica la concentración en ningún cliente [15]. La retención de cartera (valor de los clientes retenidos sobre la cartera inicial) fue del 82,6 % en 2025, frente al 85,4 % de 2021: cayó con la entrada de Terminix y apenas se ha recuperado [15]. En Norteamérica es del 80,5 % (80,7 % en el primer semestre de 2026) y en Internacional del 85,7 % (86,1 %) [4, 15]. El programa Drive to 85 busca acercar Norteamérica al nivel internacional; la mejora llega en residencial, mientras la retención de grandes cuentas comerciales necesita más trabajo según la propia empresa [4]. El poder de precios está demostrado: las subidas superan la inflación en todas las regiones, y el director financiero dice que una subida del 4 % o del 6 % apenas cambia las bajas [4, 12]. Lo que falla es el volumen de clientes, no el precio [12].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(2025); 3,6 %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Aceleración en el segundo semestre de 2025 y en 2026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(2025); 3,7 %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 y +1,4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de plagas 2,6 % y Business Services 10,6 % en 1S26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de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80,5 % (2025); 80,7 %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Internacional en 85,7 % y 86,1 %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 servicios de plagas de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 (2025); 19,7 %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 y +1,2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Business Services rinde un 10,8 % y diluye el margen regional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 (2025); 15,5 %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más del 20 % en Norteamérica retirado en jul-26 [2, 4,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reclamaciones por termitas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M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M (dic-25); 392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de 115-125 M previstos en 2026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Ramas en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objetivo de 400 tras la integración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unas 800 a fin de 2026, de ellas unas 220 pequeñas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cambio de estrategia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pausada a principios de 2025; Branch 360 sustituye a la migración de sistemas [2, 4,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Retención de empleados de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82,2 % (2025); 82,7 %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 del plan de incentivos [2,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servicios profesionales de control de plagas (comercial, residencial y termitas), que genera el 83 % de los ingresos y el 82 % del beneficio operativo ajustado del grupo [15]. Se mide en dos perímetros: el mundial y el norteamericano, que es el 49 % del mundial y el 62 % de las ventas de Rentokil [15]. Uso como serie la de Rentokil, que cita a Allied Market Research, Specialty Consultants y QuinceMarket Insights [15], y la contrasto con la que presentó Rollins en mayo de 2026, basada en Vantage Market Research: unos 27.000 M USD en 2024 y unos 45.000 M USD en 2035, un 6 % anual [20]. Las dos fuentes cuadran en tamaño y crecimiento. Los valores de 2030 y 2035 de la serie son estimación propia: aplican el 6,2 % anual que da Rentokil a los 29.000 M USD de 2025 (la empresa solo dice que el mercado superará los 50.000 M USD en 2035) [15]. La higiene de aseos queda fuera: la empresa dice que no se puede medir con precisión y solo da un crecimiento del 4 % anual hasta 2030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29.000 M USD en 2025 a escala mundial, de los que 14.200 M USD son Norteamérica [15]; Rollins da ≈ 27.000 M USD en 2024 [20]. En EE. UU., las 100 mayores empresas del ranking PCT Top 100 sumaron 13.300 M USD en 2024, frente a 6.100 M USD en 2014 [20]. Por cliente, el mundial es comercial en un 50 %, residencial en un 33 % y termitas en un 17 %; el norteamericano, residencial en un 43 % y comercial en un 37 % [15]. La cuota conjunta de los cuatro mayores con cifras publicadas (Rentokil, Rollins, Anticimex y Ecolab) ronda el 40 % del mercado mundial (estimación propia con sus ingresos de plagas sobre 29.000 M USD; Anticimex con datos de 2023) [15, 16, 21,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Urbanización y crecimiento de la población urbana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68 % de la población mundial vivirá en ciudades en 2050; la densidad y los residuos multiplican roedores e insectos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climático y temporadas cálidas más largas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plagas y nuevas especies; la mitad de la población mundial está expuesta al dengue, con 100-400 millones de infecciones al año [12,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encima de la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Rollins el precio aporta 3-4 puntos del crecimiento orgánico; Rentokil sube por encima de la inflación en todas sus regiones [4,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Exigencias sanitarias y de auditoría a clientes comerciales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control de plagas es licencia para operar en alimentación y hostelería; lo comercial es el 50 % del mercado mundial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por compras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18 empresas de EE. UU. con más de 100 M USD sumaron 11.400 M USD en 2024, frente a 4.500 M USD de 11 empresas en 2014 (9,7 % anual)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 residencial captada por búsquedas en internet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segundo trimestre de 2026 Rollins bajó su crecimiento orgánico al 5,7 % por menos contactos en las marcas que dependen de buscadores, y Rentokil vio debilidad en los contactos residenciales a finales de junio y julio [11,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local y muy atomizado: unas 33.000 empresas de menos de 50 M USD y solo dos de más de 2.000 M USD en EE. UU. [20]. La dirección de Rentokil lo describe como un entorno competitivo razonable, sin guerras de precios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hogar y la pyme son poco sensibles al precio: una subida del 4 % o del 6 % apenas cambia las bajas [12]. Las grandes cuentas nacionales y las empresas de gestión de instalaciones sí presionan los precios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clave es la mano de obra: los gastos de personal de servicio son el 31 % de las ventas de Rollins y los materiales solo el 6 % [16]. La retención de técnicos en Norteamérica es del 82,2 %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son bajas a escala local, como reconoce Rollins [16], pero la densidad de rutas, las marcas y la licencia de productos protegen a los grandes; la entrada se resuelve casi siempre comprando: Rollins hizo 94 compras en tres años y Rentokil 31 de plagas solo en 2025 [15,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hágalo usted mismo existe, pero el 90 % de los consumidores encuestados por Harris Williams está igual o más dispuesto que hace 2-3 años a contratar a un profesional [20].</w:t>
            </w:r>
          </w:p>
        </w:tc>
      </w:tr>
    </w:tbl>
    <w:p>
      <w:pPr>
        <w:spacing w:after="160" w:before="0"/>
      </w:pPr>
    </w:p>
    <w:p>
      <w:pPr>
        <w:pStyle w:val="Heading2"/>
      </w:pPr>
      <w:r>
        <w:t xml:space="preserve">Ciclo</w:t>
      </w:r>
    </w:p>
    <w:p>
      <w:pPr>
        <w:spacing w:after="100"/>
      </w:pPr>
      <w:r>
        <w:t xml:space="preserve">Es un mercado poco cíclico: creció a un 6,6 % anual entre 2015 y 2025 sin años de caída según la serie de Rentokil [15], y Rollins creció de forma orgánica un 8,2 % en 2023, un 7,9 % en 2024 y un 6,9 % en 2025 [16, 17, 18]. En 2021 la demanda residencial de Rentokil en Norteamérica se benefició del teletrabajo [3]. La desaceleración de 2026 es la señal de madurez: Rollins rebajó su previsión a un crecimiento orgánico de al menos el 6 % tras un segundo trimestre del 5,7 %, y ambos grupos ven menos contactos residenciales [11, 19]. No he encontrado datos del comportamiento del sector en 2008-09 en los documentos leídos.</w:t>
      </w:r>
    </w:p>
    <w:p>
      <w:pPr>
        <w:pStyle w:val="Heading2"/>
      </w:pPr>
      <w:r>
        <w:t xml:space="preserve">Regulación</w:t>
      </w:r>
    </w:p>
    <w:p>
      <w:pPr>
        <w:spacing w:after="100"/>
      </w:pPr>
      <w:r>
        <w:t xml:space="preserve">Los productos con plaguicidas deben estar registrados ante las autoridades de cada país, que pueden limitarlos o no renovarlos, y cualquier retirada de una sustancia obliga a buscar sustitutos [1]. La fumigación con fluoruro de sulfurilo, exigida por algunos países para exportaciones y usada contra termitas, está en el punto de mira por su efecto climático [15]. En EE. UU., los reguladores estatales vigilan las prácticas comerciales en termitas (renovación de precios, inspecciones), y Terminix ha pactado acuerdos en el pasado [1]. La Comisión Federal de Comercio ha pedido información a Rollins sobre sus pactos de no competencia con empleados [16]. Rentokil prepara su información de sostenibilidad para la directiva europea CSRD desde 2024 [15].</w:t>
      </w:r>
    </w:p>
    <w:p>
      <w:pPr>
        <w:pStyle w:val="Heading2"/>
      </w:pPr>
      <w:r>
        <w:t xml:space="preserve">Tendencias y disrupción</w:t>
      </w:r>
    </w:p>
    <w:p>
      <w:pPr>
        <w:spacing w:after="100"/>
      </w:pPr>
      <w:r>
        <w:t xml:space="preserve">La captación de clientes residenciales se está desplazando de la publicidad pagada en buscadores a la presencia orgánica y las respuestas de inteligencia artificial: Rentokil actualizó unas 800 páginas web y lanzó más de 400 páginas locales optimizadas para buscadores y asistentes de IA [15], y Rollins sufrió en 2026 en las marcas que dependen de búsquedas, mientras la venta puerta a puerta y los constructores aguantaron [19]. Rentokil amplía la venta puerta a puerta (de 25 a unos 40 territorios) y las sucursales satélite (más de 150 en 2025, unas 220 a final de 2026) [15]. En comercial avanza el control conectado: PestConnect suma más de 12.000 dispositivos en 245 centros de EE. UU. [4]. Gana quien tenga datos y escala para invertir en ello; los operadores locales pierden terreno en la consolidación [20].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control de plagas, con ≈ 17 % del mercado (estimación propia: 5.056 M USD de Pest Control sin Business Services sobre 29.000 M USD en 2025) [15]. En Norteamérica comparte el primer puesto con Rollins: ≈ 25 % cada uno (Pest Control Services de Rentokil, 3.501 M USD, y ventas de Rollins en EE. UU., 3.491 M USD, sobre un mercado de 14.200 M USD; estimación propia) [15, 16]. El director financiero lo describe como prácticamente a la par en ingresos con Rollins [12]. En higiene es líder en los mercados internacionales donde opera, sin cuota publicada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Rollins (Orkin, HomeTeam, Clark, Northwest, Fox, Saela)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de referencia: 93 % de las ventas en EE. UU. y crecimiento orgánico del 8,2 % en 2023, 7,9 % en 2024, 6,9 % en 2025 y 6,1 % en el primer semestre de 2026, frente al 1,5 %, 2,3 % y 3,7 % de Norteamérica de Rentokil en 2024, 2025 y el primer semestre de 2026 [4, 15, 16, 17, 18, 19]. Margen operativo ajustado del 20,0 % frente al 17,4 % de Rentokil Norteamérica [15, 16]. Residencial es el 45 % de sus ingresos y crece un 5,0 % orgánico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Anticimex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(EQT). Último informe accesible: 2023, con 15.548 M SEK de ventas (convertidas a 10,04 SEK por USD del cierre de 2023), crecimiento orgánico del 5,2 % y margen EBITA del 20,7 % (EBIT del 13,8 %) [22, 24]. Compra mucho: 53 operaciones en 2023 [22]. Compite en Europa, Asia-Pacífico y EE. UU. con plagas digitales (SMART).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Ecolab, segmento Global Pest Elimination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clientes comerciales (restauración, alimentación, hoteles, supermercados), vendido junto con la higiene química de Ecolab. Crecimiento orgánico del 6,1 % en 2025 y margen del segmento de 237 M USD sobre 1.219 M USD a tipos fijos [21]. Es el rival directo de Rentokil en grandes cuentas comerciales.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Cintas (Uniform Rental and Facility Services)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Referencia del modelo de rutas en servicios a empresas: alquiler de uniformes, alfombras y suministros de aseos en EE. UU. Ejercicio cerrado en mayo de 2026: crecimiento orgánico del 8,3 % y margen operativo del 23,1 % [23]. Coincide con Initial en higiene de aseos, donde Rentokil apenas tiene 146 M USD en Norteamérica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red entre clientes; la ventaja de tener más clientes es de densidad de rutas, que se recoge en escala eficiente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contrato funciona como un seguro y cambiar es engorroso [6], pero la retención es solo del 80,5 % en Norteamérica y del 85,7 % en Internacional: una de cada cinco carteras norteamericanas se va cada año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Terminix es la marca de plagas más reconocida en EE. UU.; se valoró en 1.435 M USD al comprarla y se considera de vida indefinida [2]. Rentokil e Initial son marcas globales con 90 países de presencia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la tiene frente a su gran rival: el propio director financiero reconoce que su estructura de costes en Norteamérica es más cara que la de Rollins en porcentaje de ventas [6], y el margen ajustado norteamericano (17,4 %) queda por debajo del de Rollins (20,0 %) [1,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dos empresas superan los 2.000 M USD de ingresos en EE. UU. y son Rentokil y Rollins [11]; la densidad de rutas abarata cada cliente añadido y financia más de 30 compras al año [1].</w:t>
            </w:r>
          </w:p>
        </w:tc>
      </w:tr>
    </w:tbl>
    <w:p>
      <w:pPr>
        <w:spacing w:after="160" w:before="0"/>
      </w:pPr>
    </w:p>
    <w:p>
      <w:pPr>
        <w:pStyle w:val="Heading2"/>
      </w:pPr>
      <w:r>
        <w:t xml:space="preserve">Amenazas</w:t>
      </w:r>
    </w:p>
    <w:p>
      <w:pPr>
        <w:spacing w:after="100"/>
      </w:pPr>
      <w:r>
        <w:t xml:space="preserve">La amenaza principal no es un recién llegado sino Rollins: crece orgánicamente entre tres y cinco puntos más que Rentokil en Norteamérica desde 2024 con márgenes más altos [15, 16, 17, 19]. Si la retención norteamericana no pasa del 80 %, Rentokil seguirá perdiendo número de clientes aunque suba precios [12]. Segunda amenaza, probable a corto plazo: el cambio en cómo buscan los hogares (asistentes de IA en lugar de buscadores) encarece los contactos y ya golpeó a Rollins en 2026 [11, 19]. Tercera, de baja probabilidad: restricciones regulatorias a rodenticidas o fumigantes que obliguen a métodos más caros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2021-2025: ingresos </w:t>
      </w:r>
      <w:r>
        <w:rPr>
          <w:b/>
          <w:bCs/>
        </w:rPr>
        <w:t xml:space="preserve">14,2 %</w:t>
      </w:r>
      <w:r>
        <w:t xml:space="preserve">, EBITDA </w:t>
      </w:r>
      <w:r>
        <w:rPr>
          <w:b/>
          <w:bCs/>
        </w:rPr>
        <w:t xml:space="preserve">11,2 %</w:t>
      </w:r>
      <w:r>
        <w:t xml:space="preserve">, BPA </w:t>
      </w:r>
      <w:r>
        <w:rPr>
          <w:b/>
          <w:bCs/>
        </w:rPr>
        <w:t xml:space="preserve">-12,4 %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2.957 M GBP en 2021 a 6.908 M USD en 2025 casi todo por Terminix (consolidada desde el 12-oct-22); desde 2023 el crecimiento es pequeño y casi solo orgánico: 2,6 % en 2024 y 2,6 % en 2025, con Norteamérica en 1,5 % y 2,3 % frente a 4,4 % y 3,0 % de Internacional [1, 2]. El primer semestre de 2026 acelera al 3,6 % orgánico (Norteamérica 3,7 %) [4].</w:t>
      </w:r>
    </w:p>
    <w:p>
      <w:pPr>
        <w:spacing w:after="100"/>
      </w:pPr>
      <w:r>
        <w:t xml:space="preserve">El margen operativo ajustado de la empresa es estable: 16,7 % en 2023, 15,2 % en 2024 y 15,5 % en 2025; el estatutario cae de 11,4 % a 8,5 % porque los gastos de integración, transformación y la provisión de termitas suben de 119 a 287 M [2]. 2024 se lleva la mayor caída: Norteamérica pierde margen por la reorganización de ramas, que hundió los contactos de clientes [12]. </w:t>
      </w:r>
      <w:r>
        <w:rPr>
          <w:b/>
        </w:rPr>
        <w:t xml:space="preserve">2022 no es comparable</w:t>
      </w:r>
      <w:r>
        <w:t xml:space="preserve"> (dos meses y medio de Terminix) y 2021-2022 incluyen la lavandería industrial de Francia, vendida en 2025 y excluida de 2023-2025 [1, 3].</w:t>
      </w:r>
    </w:p>
    <w:p>
      <w:pPr>
        <w:pStyle w:val="Heading2"/>
      </w:pPr>
      <w:r>
        <w:t xml:space="preserve">Ajustes y partidas no recurrentes</w:t>
      </w:r>
    </w:p>
    <w:p>
      <w:pPr>
        <w:spacing w:after="100"/>
      </w:pPr>
      <w:r>
        <w:t xml:space="preserve">La cuenta es estatutaria de actividades continuadas: 2023-2025 en USD tal como los reexpresa el 20-F 2025, sin la lavandería de Francia (beneficio de actividades interrumpidas de 37, 46 y 180 M, este último con 124 M de plusvalía; el beneficio total atribuido fue 474, 392 y 470 M) [1]. La empresa ajusta dos cosas: la amortización de intangibles adquiridos (218, 254 y 199 M en 2023-2025, incluidos 36 M de deterioro de fondo de comercio en 2024) y las partidas «one-off» (119, 110 y 287 M), que van dentro del EBITDA estatutario y se recogen como no recurrentes [2]. En 2025 son 195 M de aumento de la provisión de termitas, 77 M de transformación de Norteamérica, 20 M de otros y −5 M de adquisiciones; en 2023-2024, la integración de Terminix (99 y 75 M). </w:t>
      </w:r>
      <w:r>
        <w:rPr>
          <w:b/>
        </w:rPr>
        <w:t xml:space="preserve">Se repiten todos los años desde 2022</w:t>
      </w:r>
      <w:r>
        <w:t xml:space="preserve"> (136 M GBP en 2022) y la empresa prevé otros 80-85 M de caja en 2026 [2, 14]. EBITDA ajustado de la empresa: 1.401, 1.365 y 1.430 M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Las cifras semestrales son de actividades continuadas, con EBITDA ajustado y BPA ajustado básico de la empresa; el segundo semestre sale por diferencia con el año [2, 4, 10]. Crecimiento orgánico trimestral: Norteamérica 0,7 %, 1,4 %, 3,4 % y 3,6 % en 2025 y 3,9 % y 3,6 % en 2026; el grupo, 3,4 % y 3,8 % en 2026 [2, 4].</w:t>
      </w:r>
    </w:p>
    <w:p>
      <w:pPr>
        <w:spacing w:after="100"/>
      </w:pPr>
      <w:r>
        <w:t xml:space="preserve">En la conferencia del 30-jul-26, la primera de Mike Duffy como consejero delegado, la empresa </w:t>
      </w:r>
      <w:r>
        <w:rPr>
          <w:b/>
        </w:rPr>
        <w:t xml:space="preserve">retiró el objetivo de margen de más del 20 % en Norteamérica para 2027</w:t>
      </w:r>
      <w:r>
        <w:t xml:space="preserve"> y priorizó el volumen sobre el margen; reinvertirá en Norteamérica los ahorros de costes (90 M anualizados, 45 M logrados en el semestre) [4, 11]. Avisó de debilidad en los contactos residenciales de termitas desde finales del segundo trimestre, ligada a zonas con mercado de vivienda débil, pero mantuvo el beneficio de 2026 en línea con el mercado [4, 11]. Los analistas preguntaron sobre todo por el margen (Bernstein, BofA, JP Morgan), el plazo de la reestructuración (Exane: ¿dos años?) y qué falló en el negocio comercial; el director financiero admitió que la integración se centró en residencial y que la cartera comercial de Terminix era «mixta» [11]. No dio cifras de margen futuro. En Bernstein (9-sep-26) añadió que en 2027 los márgenes del grupo no caerán, que con deuda externa por debajo de 2x el excedente se devolverá al accionista, que no habrá día del inversor inminente y que la cotización en EE. UU. sigue en estudio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Terminix, consolidada desde el 12-oct-22: entra entera en el balance y solo dos meses y medio en la cuenta; los ingresos pasan de 2.957 a 3.714 M GBP.; 2025: Workwear de Francia vendida a H.I.G. Capital el 30-sep-25 (397 M USD en caja): sale de la cuenta como actividad interrumpida desde 2023 (cifras reexpresadas) y del balance de 2025.; 2026: SOLitude Lake Management (Business Services de Norteamérica) en venta a Bain Capital por 230 M USD de valor empresa, unos 180 M de caja neta; cierre previsto a principios del 4T26. Las cifras de 2025 y del LTM aún la incluyen.).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de la empresa (incluye arrendamientos y derivados) bajó de 4.017 M a dic-24 a 3.650 M a dic-25 y 3.575 M a jun-26; el ratio sobre EBITDA ajustado pasó de 2,9x a 2,6x y 2,4x, </w:t>
      </w:r>
      <w:r>
        <w:rPr>
          <w:b/>
        </w:rPr>
        <w:t xml:space="preserve">dentro del objetivo de 2-2,5x por primera vez desde Terminix</w:t>
      </w:r>
      <w:r>
        <w:t xml:space="preserve"> [2, 4]. Sin arrendamientos (543 M) la deuda neta es unos 3.030 M: 2,0x el EBITDA ajustado LTM de 1.489 M (estimación propia; el director financiero lo describe como «sub 2x» de deuda externa) [4, 12]. El coste medio de los bonos sube del 4,16 % (dic-24) al 4,38 % (dic-25) y 4,76 % (jun-26) al refinanciar bonos baratos en EUR con emisiones en USD al 4,6-5,6 % [1, 4]. El circulante es estructuralmente negativo (cobros a 30 días y facturación anticipada) y la caja incluye la tesorería centralizada en bruto, que infla caja y deuda a la vez. Los saldos de clientes y proveedores de 2023 se han convertido desde GBP al tipo implícito en la reexpresión de la empresa (1,2734 USD por GBP) porque el 20-F 2025 no los da en USD [7]; 2021 y 2022 van al tipo de cierre del Banco de Inglaterra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2.190</w:t>
      </w:r>
      <w:r>
        <w:t xml:space="preserve">, conversión </w:t>
      </w:r>
      <w:r>
        <w:rPr>
          <w:b/>
          <w:bCs/>
        </w:rPr>
        <w:t xml:space="preserve">127 %</w:t>
      </w:r>
      <w:r>
        <w:t xml:space="preserve"> del beneficio neto; adquisiciones 2.533, dividendos 1.190, recompras 0.</w:t>
      </w:r>
    </w:p>
    <w:p>
      <w:pPr>
        <w:spacing w:after="100"/>
      </w:pPr>
      <w:r>
        <w:t xml:space="preserve">El estado de flujos incluye la lavandería de Francia hasta su venta (flujo operativo de 114, 125 y 100 M en 2023-2025, con unos 85-93 M de capex al año), así que el flujo libre de actividades continuadas es algo mejor de lo que sugieren los totales [1, 2]. Los intereses pagados (237, 229 y 255 M) van en explotación. El flujo libre de la empresa (después de capex, arrendamientos, intereses e impuestos, pero </w:t>
      </w:r>
      <w:r>
        <w:rPr>
          <w:b/>
        </w:rPr>
        <w:t xml:space="preserve">antes</w:t>
      </w:r>
      <w:r>
        <w:t xml:space="preserve"> del coste de caja de las partidas «one-off») fue 598, 494 y 615 M en 2023-2025, con conversión del 91 %, 81 % y 98 % [2]; las partidas «one-off» consumieron 132, 99 y 100 M de caja aparte, y los pagos de termitas (95 M en 2025) salen dentro del circulante como uso de provisiones [2]. 2024 fue el año flojo por el circulante (−126 M). El capex de inmovilizado e intangibles de continuadas fue 196 M en 2025 (2,8 % de ventas); la empresa no separa mantenimiento y crecimiento y guía 190-200 M para 2026 [2]. Adquisiciones: 1.018 M GBP de caja en 2022 por Terminix (el resto se pagó en acciones) y 121-298 M al año desde entonces.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el control interno de la información financiera (SOX 404) a 31-dic-25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Tres cosas complican la lectura. Primera, el cambio de divisa de presentación a USD en 2025 y la venta de la lavandería de Francia: solo 2023-2025 son homogéneos; 2021-2022 están convertidos por nosotros desde GBP [1, 6]. Segunda, las partidas «one-off» son recurrentes: 136 M GBP en 2022 y 119, 110 y 287 M USD en 2023-2025, más 112 M en el primer semestre de 2026; la integración de Terminix costó 248 M hasta 2024 y se prometió que acabaría en 2026 [2, 4, 8]. Tercera, la provisión de termitas, valorada al cierre de la compra en 335 M GBP, ha necesitado dotaciones extraordinarias porque los supuestos (inflación, tasa de pleitos, coste por reclamación) se quedaron cortos [1, 3]. No hay capitalización de I+D relevante (14 M de desarrollo de producto en 2025) y sí de costes de obtención de contratos (337 M, amortizados en 3-7 años) [1]. Remuneración en acciones moderada: 28 M en 2025, el 9,7 % del beneficio continuado [1]. Fondo de comercio de 6.584 M, el 120 % del patrimonio; deterioro de 36 M en 2024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termitas subestimada en la compra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266 M a 392 M en 18 meses; 201 M dotados en 2025 fuera del resultado ajustado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Todos los años desde 2022; en 2026 se esperan unos 85 M más de transformación [2,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8.917 M de intangibles frente a 5.494 M de patrimonio; las marcas Terminix (1.435 M) no se amortizan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retirados de forma sucesiva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grupo de más del 19 % en 2026 (retirado en 2025), sinergias netas no reportadas desde 2024 y margen de Norteamérica de más del 20 % (retirado en jul-26) [8,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Demandas colectivas en EE. UU.</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la información de 2023-2024 y por el folleto de la emisión de acciones de Terminix; sin provisión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y deuda infladas por la tesorería centralizada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730 M de descubiertos compensados con caja a dic-25; no cambia la deuda neta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4,0 % · </w:t>
      </w:r>
      <w:r>
        <w:rPr>
          <w:b/>
          <w:bCs/>
        </w:rPr>
        <w:t xml:space="preserve">WACC</w:t>
      </w:r>
      <w:r>
        <w:t xml:space="preserve">: 8,7 %.</w:t>
      </w:r>
    </w:p>
    <w:p>
      <w:pPr>
        <w:spacing w:after="100"/>
      </w:pPr>
      <w:r>
        <w:t xml:space="preserve">Rentokil no crea valor sobre el capital que ha pagado. El ROIC fue del 7,0 % en 2025 y del 6,1 % en 2024, frente a un WACC del 8,7 %, y eso con el EBIT antes de partidas «one-off»; con el EBIT publicado ronda el 4,7 % (estimación propia). Antes de Terminix era del 12,0 % (2021). La causa es el capital, no el margen: la rotación cayó de 0,70 a 0,50 veces porque la compra añadió fondo de comercio (6.584 M en 2025, el 71 % del capital invertido) [1]. Sin fondo de comercio el capital invertido sería de unos 2.700 M y el ROIC de alrededor del 24 % (estimación propia: 648 M de NOPAT entre 9.292 M menos 6.584 M); sin los intangibles adquiridos, el capital operativo es casi nulo. El negocio de rutas es excelente; el precio pagado por Terminix, 4.110 M GBP más su deuda [3], no. El ROIC incremental de 2021-2025 es del 4 %. Rollins rinde un 23,5 % sobre su capital [70], porque creció comprando barato y por partes.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2.471 M en balance (con 930 M de descubiertos de la tesorería centralizada en la deuda a corto) y un RCF de 1.000 M sin disponer que vence en oct-2029; holgura de liquidez de 2.500 M según la empresa. Deuda neta de la empresa 3.575 M, con 543 M de arrendamientos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con perspectiva estable (S&amp;P y Fitch) durante 2025; objetivo declarado de mantener BBB [1,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No hay covenants financieros en el RCF ni en ningún otro préstamo [1]. La provisión de </w:t>
      </w:r>
      <w:r>
        <w:rPr>
          <w:b/>
        </w:rPr>
        <w:t xml:space="preserve">reclamaciones por termitas</w:t>
      </w:r>
      <w:r>
        <w:t xml:space="preserve"> de Terminix es el pasivo oculto principal: 266 M a dic-24, 384 M a dic-25 tras dotar 201 M (inflación de largo plazo del modelo del 2 % al 3,2 %, más pleitos y coste por reclamación +48 % en los litigados) y 392 M a jun-26; se pagaron 86 M en 2024, 95 M en 2025 y 46 M en el primer semestre de 2026, y la empresa espera 115-125 M de caja en 2026 [1, 4]. Autoseguro 267 M y medioambiente 11 M [1]. Pensiones: el plan del Reino Unido se compró (buy-out) en 2022 con devolución de 22 M GBP de superávit; a dic-25 quedan 6 M de activo y 27 M de obligaciones [1, 3]. Contraprestaciones contingentes y aplazadas de adquisiciones 86 M, con 31 M de opciones de venta de minoritarios [1]. Dos demandas colectivas en EE. UU. (accionistas del ADR, nov-24; registro de la emisión de Terminix, abr-25) sin provisión [1].</w:t>
      </w:r>
    </w:p>
    <w:p>
      <w:pPr>
        <w:pStyle w:val="Heading1"/>
      </w:pPr>
      <w:r>
        <w:t xml:space="preserve">12. Asignación de capital</w:t>
      </w:r>
    </w:p>
    <w:p>
      <w:pPr>
        <w:pStyle w:val="Confianza"/>
        <w:spacing w:after="100"/>
      </w:pPr>
      <w:r>
        <w:t xml:space="preserve">Confianza: Media</w:t>
      </w:r>
    </w:p>
    <w:p>
      <w:pPr>
        <w:spacing w:after="100"/>
      </w:pPr>
      <w:r>
        <w:t xml:space="preserve">Dividendo progresivo fijado en USD desde 2025, con DRIP para quien lo pida: 12,39 centavos por acción por 2025 (+3,0 %) y 4,48 centavos a cuenta de 2026 (+8,0 %) [2, 4]. Objetivo de deuda neta sobre EBITDA ajustado de 2-2,5x con calificación de grado de inversión [2]. Prioridades declaradas: crecimiento orgánico, compras pequeñas (unos 120 M en 2026, rebajado desde 200 M por precios inflados por el capital riesgo), dividendo progresivo y devolver el excedente [4, 12, 13]. No ha recomprado acciones en el periodo analizado y el director financiero lo pone «en el debate»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Terminix Global Holdings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645,7 M de acciones nuevas (3.007 M GBP), 1.087 M GBP en caja y 749 M GBP de deuda de Terminix amortizada; precio de 4.110 M GBP más deuda, convertido a USD al tipo del 12-oct-22 (estimación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3.176 M GBP y marcas de 1.292 M GBP. Sinergias prometidas de al menos 200 M USD a 2025; en 2024 las sinergias netas fueron 25 M frente a un umbral de 40 M del bonus y la empresa dejó de informarlas. Integración pausada en 2025, provisión de termitas +44 % en 2025 y margen de Norteamérica por debajo del de 2023 [3, 8,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 compras pequeñas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314 M GBP de precio total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densidad en plagas e higiene; sin deterioros específicos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(salida neta del año)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datos de rentabilidad publicados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 compras pequeñas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(salida neta del año)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fondo de comercio de 36 M en 2024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 compras pequeñas (31 de plagas y 5 de higiene)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63 M de ingresos anuales comprados (1,8x ventas)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lavandería industrial de Francia a H.I.G. Capital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valor empresa de 410 M EUR (unos 465 M USD) y 397 M USD de caja neta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124 M; EBITDA de 2024 de 139 M y capex de 93 M (estimación propia del múltiplo sobre el EBITDA de 2024) [1, 2,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SOLitude Lake Management a Bain Capital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unos 180 M de caja neta tras impuestos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autorización antimonopolio; cierre previsto a principios del 4T26 [13].</w:t>
            </w:r>
          </w:p>
        </w:tc>
      </w:tr>
    </w:tbl>
    <w:p>
      <w:pPr>
        <w:spacing w:after="160" w:before="0"/>
      </w:pPr>
    </w:p>
    <w:p>
      <w:pPr>
        <w:spacing w:after="100"/>
      </w:pPr>
      <w:r>
        <w:t xml:space="preserve">La asignación de capital la define Terminix: se pagó en buena parte con acciones (el número medio de acciones pasó de 1.858 M en 2021 a 2.516 M en 2023, +35 %) y el BPA estatutario continuado de 2025 (11,44 centavos) está por debajo del de 2021 convertido a USD [1, 3]. Las sinergias no se pueden verificar y la integración se rehízo. Desde 2025 la dirección vende lo no estratégico (Francia, SOLitude), recorta la compra de pequeñas empresas y ha devuelto el apalancamiento al objetivo; el siguiente paso, la recompra, está por decidir [4, 12, 13].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Mike Duffy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(Chief Executive)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Estadounidense, entró el 16-feb-2026 como consejero delegado designado y asumió el cargo el 16-mar-2026, con base en Norteamérica [29]. Antes fue consejero delegado de OnTrac (paquetería de última milla) y de FleetPride (más de 350 puntos en Norteamérica), ambas de American Securities; es consejero de Republic Services [2, 29]. Ha comprado con su dinero 26.500 ADS (132.500 acciones, unos 0,75 M USD) en marzo y julio de 2026 [39, 43]; en el primer semestre retiró el objetivo de margen de Norteamérica y anunció una revisión de toda la cartera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Edgecliffe-Johnson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el 1-ene-2025, tras serlo de Flutter Entertainment y de InterContinental Hotels Group, donde coincidió con el presidente saliente Richard Solomons [2, 37]. Con él la conversión de flujo libre fue del 98 % en 2025 y del 96 % en el primer semestre de 2026, y la deuda neta sobre EBITDA bajó de 2,9x a 2,4x, dentro del rango objetivo por primera vez [4, 14, 53]. No declaraba acciones propias a 19-mar-2026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Thérèse Esperdy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 (no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el 1-jul-2026 y presidenta desde el 1-sep-2026, en sustitución de Richard Solomons; preside Imperial Brands hasta noviembre de 2026 y es consejera de Moody's y consejera independiente coordinadora designada de Smith &amp; Nephew [31]. Carrera ejecutiva en JP Morgan (presidenta global de instituciones financieras). Compró 21.214 ADS (unos 0,50 M USD) el 31-jul-2026 [43]. Cobra 725.000 GBP al año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Rafael Carrasco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Norteamérica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el 3-ago-2026 desde WM (antigua Waste Management), donde presidió WM Healthcare Solutions, dirigió la región Este y la estrategia, e integró Stericycle (compra de 7.200 M USD) [32]. Sustituye a Alain Moffroid, interino desde la salida de Brad Paulsen en abril de 2025, que seguirá apoyando hasta finales de 2027 [32,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Phill Wood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la división Internacional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compañía desde 2006; dirige Reino Unido, Irlanda y África subsahariana desde 2009 y los últimos 18 meses marketing e innovación. Nombrado el 13-ago-2026 al formalizarse la estructura en dos divisiones, Norteamérica e Internacional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Matt Jochim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Transformación del grupo (Group Chief Transformation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Puesto nuevo, efectivo el 7-sep-2026 y dependiente del consejero delegado; viene de McKinsey (2006-2026), donde lideraba la práctica de operaciones de Reino Unido e Irlanda, y antes trabajó cinco años en The Home Depot [33]. Lidera la optimización de costes que debe financiar la reinversión en Norteamérica [4].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Marzo de 2023: margen operativo ajustado del grupo de c.16,5 %, de Norteamérica de c.19,5 %, 60 M USD de sinergias netas de Terminix y conversión de flujo libre del 80-90 % [49]. En octubre de 2023 rebajó el margen de Norteamérica a 18,5-19,0 % por la debilidad del consumidor estadounidense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grupo 16,6 %, Norteamérica 18,7 % (por debajo de la guía inicial), sinergias de 69 M USD y conversión del 89,4 %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2023-2025 (plazo medio)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a medio plazo de al menos el 5,0 % (subido en marzo de 2023 desde el 4,0-5,0 %)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4,9 % en 2023, 2,8 % en 2024 y 2,6 % en 2025; 3,6 % en el primer semestre de 2026 [4, 14, 51,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Marzo de 2024: orgánico de Norteamérica del 2-4 %, mejora modesta del margen de Norteamérica, conversión del 80-90 % y deuda neta sobre EBITDA por debajo de 3x [49, 51]. El 11-sep-2024 aviso de beneficios: margen de Norteamérica de c.17,2 %, del grupo de c.15,5 % y beneficio antes de impuestos ajustado de c.700 M GBP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Norteamérica del 1,5 %, margen de Norteamérica del 17,1 %, del grupo del 15,4 %, beneficio ajustado de 703 M GBP, conversión del 80,0 % y deuda neta sobre EBITDA de 2,9x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 (margen del grupo)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grupo superior al 19,0 % en 2025, fijado en marzo de 2023 [49]; en marzo de 2024 se aplazó a 2026 [51] y después dejó de citarse.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grupo del 15,5 % en 2025 y del 15,5 % en el primer semestre de 2026 [4,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 (sinergias Terminix)</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netas de costes de al menos 200 M USD en 2025 (marzo de 2023, desde 150 M) [49]; en marzo de 2024, c.225 M netos y c.325 M brutos con la integración retrasada a 2026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lograron 13 M USD en 2022 y 69 M en 2023 [49, 51]; en octubre de 2024 se retrasaron dos o tres meses [56] y en marzo de 2025 la compañía dejó de informar de las sinergias netas y las sustituyó por una reducción de costes de 100 M USD sobre la base de 2024 a partir de 2027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en línea con las expectativas del mercado y conversión de flujo libre del 80 %, con desapalancamiento modesto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del 98 % (con ventas inmobiliarias y efectos puntuales), beneficio operativo ajustado +5,4 % y deuda neta sobre EBITDA de 2,6x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2022-2026 (apalancamiento)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sobre EBITDA por debajo de 3x a finales de 2024 y bajando rápido a 2-2,5x después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2,8x en 2023, 2,9x en 2024, 2,6x en 2025 y 2,4x en junio de 2026, dentro del rango por primera vez [4, 14, 51,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2027 (margen de Norteamérica)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Norteamérica superior al 20 % en 2027 y 100 M USD de reducción de costes, reiterado en marzo de 2026 [14,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Norteamérica del 17,4 % en 2025; el 30-jul-2026 el nuevo consejero delegado retiró el objetivo para reinvertir en volumen [4,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en línea con las expectativas del mercado y conversión de flujo libre superior al 80 % [4,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semestre con orgánico del 3,6 %, margen del 15,5 % y conversión del 96 %; guía anual sin cambios, pero con debilidad de la demanda residencial de Norteamérica desde finales del segundo trimestre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de la dirección anterior quedó dañada: desde la compra de Terminix en 2022 se incumplieron el crecimiento orgánico del 5 %, el margen del grupo superior al 19 %, el objetivo de sinergias (que dejó de medirse) y, ya con el nuevo equipo, el margen de Norteamérica del 20 % en 2027, con avisos de beneficios en octubre de 2023 y septiembre de 2024 [4, 14, 49, 50, 51, 52, 53]. Lo que sí se cumplió fue la caja: conversión del 98 % en 2025 y apalancamiento dentro del rango en 2026 [4, 14]. El equipo es casi nuevo: director financiero desde 2025, consejero delegado desde marzo de 2026, presidenta desde septiembre de 2026 tras la retirada anunciada de Solomons y nuevos responsables de Norteamérica, Internacional y transformación desde agosto [28, 29, 30, 31, 32, 33, 37]. Las compras en el mercado del consejero delegado y de la presidenta alinean intereses, pero el plan detallado no llegará hasta los resultados de febrero de 2027, con una revisión de toda la cartera en marcha [4, 11].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Thérèse Esperdy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(presidenta desde el 1-sep-2026)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Mike Duffy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Edgecliffe-Johnson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Pettigrew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Baldwin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(socio y jefe de análisis de Trian)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Frear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(antes consejero de Terminix)</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Sally 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 (directora financiera de Pearson)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 Mitchell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(ex consejero delegado de Valvoline)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Leanne Sheraton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 (ex directora de marketing de PayPal)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Cathy Turner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(presidenta),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el control interno de la información financiera (SOX 404) a 31-dic-25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1,55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(10,14 % en derechos de voto y 3,30 % en instrumentos financieros)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desde el 6,09 % de noviembre de 2024; 10,02 % en octubre de 2025, 12,33 % en marzo de 2026 y 13,44 % el 2-oct-2026 [1, 44].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Independent Franchise Partners LLP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notificación del 5,00 % en abril de 2025; oscila en torno al umbral (4,98 % el 15-ene-2026) [1,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Janus Henderson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5,23 % al 4,995 % el 30-jul-2026 (4,94 % en voto y 0,06 % en instrumentos) [45].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Trian Fund Management,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con consejero en el consejo (Brian Baldwin)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57,1 M de acciones (2,26 %) en septiembre de 2024; 64,6 M (2,56 %) a 19-mar-2026. Por debajo del 3 %, no presenta notificaciones TR-1 [1, 36]. Sin 13D ni 13G en EDGAR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Swedbank Robur Fonder AB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Notificó un 3,02 % en diciembre de 2025 y bajó al 2,97 % el 19-feb-2026 [1,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GIC Private Limited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 (Singapur)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6,57 % de enero de 2025 a menos del 3 % el 6-may-2026 [1,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Rentokil Initial Employee Share 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Fideicomiso de empleados (no consolidado; renuncia a voto y dividendos)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9,8 M de acciones a 31-dic-2025 frente a 11,4 M en 2024; la sociedad no tiene acciones en autocartera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Mike Duffy (consejero delegado designado, cuenta conjunta)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 Mitchell (consejero, a través de su fideicomiso)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Sally Johnson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Solomons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Mike Duffy (consejero delegado, cuenta conjunta)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Thérèse Esperdy (presidenta designada, a través de su fideicomiso)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Leanne Sheraton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 2025 es la de Andy Ransom: 3,28 M GBP (unos 4,31 M USD al tipo medio de 2025 de 0,7613 GBP por dólar), con un bonus del 126,5 % del salario y un plan de acciones de 2023 que consolida al 33,5 % [2]. En 2024 su bonus se redujo a cero por discreción del comité [2]. En las tres últimas juntas el informe de remuneración obtuvo el 97,96 % a favor en 2024, el 95,81 % en 2025 y el 92,27 % en 2026 (7,73 % en contra), y la política de 2024 el 95,07 % [25, 26, 27]. El bonus de 2026 pesa beneficio (85 % del máximo), ingresos (85 %) y crecimiento orgánico de Norteamérica (25 %), con una puerta de flujo libre y hasta un 30 % personal; la mitad se difiere tres años en acciones [2]. El plan de acciones de 2026 (375 % del salario para el consejero delegado) mide TSR relativo frente al FTSE 100 (50 %), crecimiento orgánico del 2,75-4,25 % (15 %), conversión de flujo libre del 75-90 % (15 %) y objetivos estratégicos (20 %); no mide ROIC [2]. Duffy cobra 1,6 M USD fijos y recibe compensaciones por lo que perdió: 398.610 USD en efectivo y tres planes por 3,98 M USD, 2 M ligados a la cotización con objetivos no publicados [2]. Hay cláusulas de recuperación y malus; Ransom salió como good leaver con 12 meses de preaviso pagados y sin discreción [2]. La ratio indicada es la mediana frente a la plantilla del Reino Unido (99 a 1) [2].</w:t>
      </w:r>
    </w:p>
    <w:p>
      <w:pPr>
        <w:pStyle w:val="Heading2"/>
      </w:pPr>
      <w:r>
        <w:t xml:space="preserve">Operaciones vinculadas, estructura de control y defensas</w:t>
      </w:r>
    </w:p>
    <w:p>
      <w:pPr>
        <w:spacing w:after="100"/>
      </w:pPr>
      <w:r>
        <w:t xml:space="preserve">No hay accionista de control: el mayor es BlackRock con el 13,44 % (parte en instrumentos), seguido de varias gestoras en torno al 5 % [44, 45, 47]. Una sola clase de acciones ordinarias con un voto; los ADS de Nueva York representan cinco acciones y no hay autocartera [1, 2]. Trian tiene el 2,56 % y un consejero en las comisiones de nombramientos y de remuneración desde octubre de 2024, que la compañía califica de independiente aunque es socio de Trian; no se ha publicado acuerdo de cooperación ni de información [1, 36]. No constan operaciones vinculadas relevantes [2, 4]. La junta autoriza cada año a convocar juntas con 14 días de preaviso (93,06 % a favor en 2026) y a excluir el derecho de suscripción preferente (86,36 % en la votación más baja) [25]. Hay dos demandas colectivas en EE. UU. por la integración de Terminix contra la compañía, antiguos directivos y el consejo [1].</w:t>
      </w:r>
    </w:p>
    <w:p>
      <w:pPr>
        <w:pStyle w:val="Heading2"/>
      </w:pPr>
      <w:r>
        <w:t xml:space="preserve">Señales de alerta</w:t>
      </w:r>
    </w:p>
    <w:p>
      <w:pPr>
        <w:pStyle w:val="ListParagraph"/>
        <w:numPr>
          <w:ilvl w:val="0"/>
          <w:numId w:val="2"/>
        </w:numPr>
        <w:spacing w:after="60"/>
      </w:pPr>
      <w:r>
        <w:t xml:space="preserve">Rotación completa de la cúpula en 20 meses: director financiero (enero de 2025), consejero delegado (marzo de 2026), presidente (septiembre de 2026), consejero delegado de Norteamérica (agosto de 2026, tras 18 meses de interinidad) y director de transformación nuevo [29, 31, 32, 33, 37, 38].</w:t>
      </w:r>
    </w:p>
    <w:p>
      <w:pPr>
        <w:pStyle w:val="ListParagraph"/>
        <w:numPr>
          <w:ilvl w:val="0"/>
          <w:numId w:val="2"/>
        </w:numPr>
        <w:spacing w:after="60"/>
      </w:pPr>
      <w:r>
        <w:t xml:space="preserve">El presidente saliente recibió un 21,15 % de votos en contra en la junta de 2025 por la supervisión de Norteamérica y de la integración de Terminix, y un 11,35 % en 2026 antes de anunciar su retirada [2, 25, 26].</w:t>
      </w:r>
    </w:p>
    <w:p>
      <w:pPr>
        <w:pStyle w:val="ListParagraph"/>
        <w:numPr>
          <w:ilvl w:val="0"/>
          <w:numId w:val="2"/>
        </w:numPr>
        <w:spacing w:after="60"/>
      </w:pPr>
      <w:r>
        <w:t xml:space="preserve">Dos demandas colectivas en EE. UU. (noviembre de 2024 y abril de 2025) por presuntas declaraciones falsas sobre la integración de Terminix [1].</w:t>
      </w:r>
    </w:p>
    <w:p>
      <w:pPr>
        <w:pStyle w:val="ListParagraph"/>
        <w:numPr>
          <w:ilvl w:val="0"/>
          <w:numId w:val="2"/>
        </w:numPr>
        <w:spacing w:after="60"/>
      </w:pPr>
      <w:r>
        <w:t xml:space="preserve">Trian, inversor activista, está en el consejo con un consejero que forma parte de las comisiones de nombramientos y de remuneración y que la compañía considera independiente [2, 36].</w:t>
      </w:r>
    </w:p>
    <w:p>
      <w:pPr>
        <w:pStyle w:val="ListParagraph"/>
        <w:numPr>
          <w:ilvl w:val="0"/>
          <w:numId w:val="2"/>
        </w:numPr>
        <w:spacing w:after="60"/>
      </w:pPr>
      <w:r>
        <w:t xml:space="preserve">El nuevo consejero delegado retiró en julio de 2026 el objetivo de margen de Norteamérica del 20 % en 2027 y anunció una revisión de toda la cartera (90 países, el 93 % del beneficio en los 20 mayores) [4].</w:t>
      </w:r>
    </w:p>
    <w:p>
      <w:pPr>
        <w:pStyle w:val="ListParagraph"/>
        <w:numPr>
          <w:ilvl w:val="0"/>
          <w:numId w:val="2"/>
        </w:numPr>
        <w:spacing w:after="60"/>
      </w:pPr>
      <w:r>
        <w:t xml:space="preserve">Las compensaciones al consejero delegado entrante incluyen 2 M USD en acciones ligados a la cotización con objetivos no publicados [2].</w:t>
      </w:r>
    </w:p>
    <w:p>
      <w:pPr>
        <w:pStyle w:val="ListParagraph"/>
        <w:numPr>
          <w:ilvl w:val="0"/>
          <w:numId w:val="2"/>
        </w:numPr>
        <w:spacing w:after="60"/>
      </w:pPr>
      <w:r>
        <w:t xml:space="preserve">El consejero independiente coordinador, John Pettigrew, suma consejos de BAE Systems (desde febrero de 2026) y SSE (desde diciembre de 2026) mientras dirige la búsqueda de presidente [2, 55].</w:t>
      </w:r>
    </w:p>
    <w:p>
      <w:pPr>
        <w:pStyle w:val="ListParagraph"/>
        <w:numPr>
          <w:ilvl w:val="0"/>
          <w:numId w:val="2"/>
        </w:numPr>
        <w:spacing w:after="60"/>
      </w:pPr>
      <w:r>
        <w:t xml:space="preserve">Compras de consejeros y directivos por unos 1,55 M USD en los últimos 12 meses (consejero delegado, presidenta, presidente saliente y tres consejeros) y ninguna venta notificada en los 6-K [39, 40, 41, 42, 43].</w:t>
      </w:r>
    </w:p>
    <w:p>
      <w:pPr>
        <w:pStyle w:val="ListParagraph"/>
        <w:numPr>
          <w:ilvl w:val="0"/>
          <w:numId w:val="2"/>
        </w:numPr>
        <w:spacing w:after="60"/>
      </w:pPr>
      <w:r>
        <w:t xml:space="preserve">Simplificación en marcha: venta de Workwear Francia por 410 M EUR de valor empresa (cerrada en septiembre de 2025) y de SOLitude por 230 M USD (pendiente de la autorización antimonopolio, cierre previsto a principios del cuarto trimestre de 2026) [13, 34, 35].</w:t>
      </w:r>
    </w:p>
    <w:p>
      <w:pPr>
        <w:pStyle w:val="ListParagraph"/>
        <w:numPr>
          <w:ilvl w:val="0"/>
          <w:numId w:val="2"/>
        </w:numPr>
        <w:spacing w:after="60"/>
      </w:pPr>
      <w:r>
        <w:t xml:space="preserve">Cotización principal en EE. UU.: el director financiero dijo el 9-sep-2026 que sigue «bajo revisión» del consejo, sin impedimento estructural y sin decisión tomada [12].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Con los resultados del primer semestre (30 de julio de 2026) la dirección mantuvo la previsión de 2026: beneficio del ejercicio en línea con las expectativas del mercado, pese a la debilidad de las solicitudes de clientes residenciales en Norteamérica a final del segundo trimestre y en julio, y conversión de caja libre por encima del 80 % (96 % en el semestre). Guía técnica: partidas no recurrentes de unos 35-45 M USD más unos 70 M USD de costes de transformación en Norteamérica, gasto financiero ajustado de 210-220 M USD, tipo impositivo ajustado del 25-26 %, inversión sin derechos de uso de 190-200 M USD, pagos por la provisión de termitas de 115-125 M USD y unos 120 M USD en compras. El objetivo de apalancamiento es 2,0-2,5 veces deuda neta sobre EBITDA ajustado, alcanzado en junio (2,4 veces). El 22 de octubre publica la actualización del tercer trimestre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(EBITDA y EBIT ajustados; BPA reportado) [62]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[62]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7-oct-2026 [62]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 – 8,47</w:t>
            </w:r>
          </w:p>
        </w:tc>
      </w:tr>
    </w:tbl>
    <w:p>
      <w:pPr>
        <w:spacing w:after="160" w:before="0"/>
      </w:pPr>
    </w:p>
    <w:p>
      <w:pPr>
        <w:pStyle w:val="Heading2"/>
      </w:pPr>
      <w:r>
        <w:t xml:space="preserve">Revisiones de estimaciones</w:t>
      </w:r>
    </w:p>
    <w:p>
      <w:pPr>
        <w:spacing w:after="100"/>
      </w:pPr>
      <w:r>
        <w:t xml:space="preserve">El consenso de ingresos de 2026 coincide en las dos fuentes (7.231 M USD en MarketScreener y 7,23 mil M en Stock Analysis, con 18 analistas) [62, 64]. El BPA no es comparable entre ellas: MarketScreener da el reportado (0,169 USD en 2026) y Stock Analysis el ajustado (0,28 USD, +8,8 %) [62, 64]. Tras los resultados del 30 de julio las revisiones fueron a la baja en precio objetivo: BNP Paribas bajó a neutral y recortó el objetivo del ADR de 37,90 a 26,70 USD (31 de julio); Jefferies recortó el objetivo manteniendo compra (28 de septiembre); Morgan Stanley bajó a igual ponderación (29 de septiembre). En sentido contrario, AlphaValue subió a acumular (16 de septiembre) y Stifel a compra, aunque con objetivo menor (5 de octubre) [63, 73]. El precio objetivo medio de MarketScreener es 6,15 USD por acción (≈ 463 GBp), un 55 % por encima del cierre; Stock Analysis (S&amp;P Global, cuatro analistas, actualizado el 31 de julio) da 31,83 USD por ADR, 6,37 USD por acción [63, 64]. El EBITDA del consenso es el ajustado de la empresa: 1.430 M USD en 2025 frente a 1.143 M reportados, por 287 M de partidas no recurrentes [2, 62]. Ninguna fuente gratuita publica el reparto de recomendaciones actualizado.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bl>
    <w:p>
      <w:pPr>
        <w:spacing w:after="160" w:before="0"/>
      </w:pPr>
    </w:p>
    <w:p>
      <w:pPr>
        <w:spacing w:after="100"/>
      </w:pPr>
      <w:r>
        <w:t xml:space="preserve">La acción cae un 33 % en 2026 frente a una subida del 6 % del FTSE 100 y del 9 % de los industriales europeos, y acumula cuatro años peores que el índice desde la compra de Terminix en 2022 [57]. La caída se concentra en un día: el 30 de julio, con los resultados semestrales, perdió un 20,6 %, al avisar de debilidad en las solicitudes de clientes residenciales en Norteamérica y de menor crecimiento comercial en el segundo trimestre [4, 57]. Desde el máximo de 507 GBp del 15 de abril cedió un 42 % hasta el mínimo de 293,5 GBp del 1 de octubre. En septiembre se sumaron el desplome de Rollins, el comparable directo, el repunte del Tesoro a 10 años de 4,79 % a 5,29 % y del gilt a 5,37 %, y dos recortes de bancos [59, 60, 63, 73]. La volatilidad de un año (35 %) está inflada por la sesión de julio. La posición corta publicada en la FCA es de Two Sigma, 1,19 % el 19 de junio de 2026 [66].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Rentokil cotiza a 9,5 veces el EBITDA de los últimos doce meses, un 30 % por debajo de la media de 13,5 veces de los cierres de 2021, 2023, 2024 y 2025 y por debajo del mínimo de ese periodo (12,6 veces); el PER de los últimos doce meses (31,3 veces sobre el beneficio publicado) está un 19 % por debajo de su media. El cierre de 2022 se excluye porque Terminix entra en el balance y solo dos meses y medio en la cuenta [3]. El descuento no es solo de ciclo: el mercado pagaba antes por un crecimiento orgánico del 5 % y un ROIC de dos cifras, y hoy ve un 2,6 % de orgánico en 2025, un ROIC del 7 % y unos tipos a diez años del 5,3 % [59]. Precios de cierre convertidos a dólares con el cruce del BCE del último día hábil de cada año [24].</w:t>
      </w:r>
    </w:p>
    <w:p>
      <w:pPr>
        <w:pStyle w:val="Heading1"/>
      </w:pPr>
      <w:r>
        <w:t xml:space="preserve">18. Comparables cotizados</w:t>
      </w:r>
    </w:p>
    <w:p>
      <w:pPr>
        <w:pStyle w:val="Confianza"/>
        <w:spacing w:after="100"/>
      </w:pPr>
      <w:r>
        <w:t xml:space="preserve">Confianza: Media</w:t>
      </w:r>
    </w:p>
    <w:p>
      <w:pPr>
        <w:spacing w:after="100"/>
      </w:pPr>
      <w:r>
        <w:t xml:space="preserve">Rollins es el único cotizado comparable en control de plagas; Ecolab (con su negocio de eliminación de plagas) y Cintas son los servicios recurrentes de alta calidad en EE. UU.; Elis es el comparable europeo de higiene y textil; ISS y ABM, servicios a edificios con márgenes bajos; Bunzl, la distribución de consumibles de higiene. Se excluye UniFirst porque cotiza anclada a la oferta aceptada de Cintas (310 USD por acción), y Anticimex, Aptive o Massey porque no cotizan.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Rentokil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Rollins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Ecolab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Cintas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ABM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Bunzl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8,9x / 17,2x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10,5x / 20,4x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17,4x / 28,3x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1,9x / 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0,4 + 1,85 × crecimiento; R² = 0,59. Para el crecimiento esperado de la empresa (3,3 %), el múltiplo ajustado es 6,5x y el valor por acción, 2,26.</w:t>
      </w:r>
    </w:p>
    <w:p>
      <w:pPr>
        <w:spacing w:after="100"/>
      </w:pPr>
      <w:r>
        <w:t xml:space="preserve">Rentokil cotiza a 9,5 veces el EBITDA de los próximos doce meses (con el ajuste de las partidas «one-off» del consenso), algo por encima de la mediana de la muestra (8,9 veces) y a poco más de la mitad que Rollins (16,5 veces), su único comparable puro [68, 70]. La muestra es frágil: la mediana pasa de 8,9 a 12,7 veces según se quite una sola empresa, porque mezcla tres compañías de calidad con ROIC de dos cifras (Rollins, Ecolab, Cintas, a 16-23 veces) con cuatro de servicios intensivos en mano de obra o en textil (ISS, ABM, Bunzl, Elis, a 5-9 veces). Rentokil está en medio: márgenes de los primeros (20,4 % de EBITDA) y ROIC de los segundos (7 %). El valor por la mediana (3,65 USD por EV/EBITDA y 3,51 por PER) queda cerca del precio; por el múltiplo de Rollins valdría más del doble. El descuento frente a Rollins se explica por crecimiento (2,6 % de orgánico frente al 6,9 % de Rollins en 2025) y por rentabilidad del capital (7 % frente al 23,5 %) [1, 16, 70]. Por esa fragilidad pesa solo un 15 % en el valor objetivo. Elis parece barata porque su amortización de textil es inversión recurrente; los BPA de Rollins, Ecolab y Cintas son ajustados y el de Rentokil, publicado.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Terminix Global Holdings (EE. UU., control de plagas y termitas)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Rentokil Initial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con cifras oficiales: precio de las acciones de 4.110 M GBP según el 20-F, más 749 M GBP de deuda asumida y menos 322 M GBP de caja adquirida, 4.537 M GBP a 1,105 USD por GBP del 12 de octubre de 2022 [3, 24]. Sobre las ventas de 2021 (2.045 M USD) y un EBITDA de 2021 de 351 M USD reconstruido del 10-K de Terminix (beneficio antes de impuestos 180, intereses 45, amortizaciones 126) [72]. La cifra de 6.700 M USD que circuló con el anuncio de diciembre de 2021 no es el precio contabilizado.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UniFirst (EE. UU., uniformes y textil)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Cintas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 USD por acción (155 en efectivo y 0,7720 acciones de Cintas); Cintas publica 8,0 veces el EBITDA de los últimos doce meses incluidas sinergias de 375 M USD; sin sinergias, unos 312 M de EBITDA y 17,6 veces (estimación propia). Ventas del ejercicio a agosto de 2025, 2.432 M USD. Cierre previsto en el segundo semestre de 2026 [67, 71].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France Workwear (textil, lencería y salas blancas de Rentokil en Francia)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H.I.G.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empresa bruto de unos 410 M EUR (c. 465 M USD) con un pago aplazado de hasta 30 M EUR; ventas de 324 M USD y beneficio operativo ajustado de 57 M USD (8,2 veces), con una inversión de 93 M USD al año. No publica EBITDA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SOLitude Lake Management (EE. UU., gestión de lagos y estanques)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Rentokil pendiente de cierre: 230 M USD libre de caja y deuda, unos 180 M USD netos de impuestos; ventas de 112 M USD y beneficio operativo ajustado de 16 M USD (14,4 veces). No publica EBITDA [13].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Saela Pest Control (EE. UU., plagas residenciales)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207,2 M USD por el 100 %; aportó 54,9 M USD de ventas en nueve meses de 2025. Rollins no publica las ventas anuales ni el EBITDA, así que no hay múltiplo [16].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3,82 – 4,97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control de negocios de servicio recurrente en EE. UU. se han pagado a 2-2,5 veces ventas y 14-18 veces EBITDA antes de sinergias (Terminix, UniFirst) [3, 71]; los negocios con mucho capital, como el textil de Francia, cambian de manos a 1,4 veces ventas [34]. Rentokil cotiza a 1,95 veces ventas y 9,5 veces EBITDA, por debajo de lo que pagó por Terminix (14,3 veces). Solo dos operaciones publican EBITDA, así que la referencia es EV/ventas y no pesa en el valor objetivo: suponerle una prima de control sería apostar por una operación que nadie ha anunciado. El accionariado está repartido (BlackRock, 13,4 % sumando instrumentos [44]), sin núcleo de control, y un valor empresa de unos 13.900 M USD la deja al alcance de Rollins, Ecolab o del capital privado, que paga caro en control de plagas según el propio director financiero [12].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 se fija con el consenso (4,7 %, 7.233 M frente a 7.231 M [62]): 3,6 % orgánico en el semestre, efecto divisa favorable y SOLitude hasta su venta [4]. 2027 crece solo un 2,5 % porque sale SOLitude (112 M de ventas, un 1,5 % del grupo) [13]. De 2028 a 2030, 4,0-4,5 %: orgánico del 3,5-4 % más compras pequeñas, por debajo del 5 % que la empresa prometió en 2023 y no cumplió (4,9 %, 2,8 % y 2,6 % en 2023-2025 [14, 51, 53]) y del 6-7 % de Rollins [16, 19]. Después baja al 3 % en 2033. La proyección queda un 1,1 % y un 1,5 % por debajo del consenso de ingresos en 2027 y 2028, sobre todo por la venta de SOLitude.</w:t>
      </w:r>
    </w:p>
    <w:p>
      <w:pPr>
        <w:keepNext/>
        <w:spacing w:after="100"/>
      </w:pPr>
      <w:r>
        <w:rPr>
          <w:b/>
          <w:bCs/>
        </w:rPr>
        <w:t xml:space="preserve">Márgenes.</w:t>
      </w:r>
    </w:p>
    <w:p>
      <w:pPr>
        <w:spacing w:after="100"/>
      </w:pPr>
      <w:r>
        <w:t xml:space="preserve">El margen del cálculo parte del EBITDA publicado más las partidas «one-off» (20,3 % en 2025) y resta después esas partidas, porque se repiten todos los años: 119, 110 y 287 M en 2023-2025 (1,9 %, 1,7 % y 4,2 % de las ventas) y unos 110 M guiados para 2026 más las dotaciones extra de termitas (47 M en el semestre) [2, 4]. Se descuentan 2,0 puntos en 2026, 1,8 en 2027, 1,6 en 2028 y 1,5 desde 2029. Antes de ese coste, el margen sube de 20,7 % a 22,1 % en 2031 con los ahorros (90 M de ritmo anual en Norteamérica [4]) y la reinversión; Rollins tiene un 22,7 % [70]. Resultado: 18,7 % en 2026 y 20,6 % en 2031, entre 4 y 5 % menos EBITDA que el consenso, que supone menos partidas «one-off» de las que la historia muestra.</w:t>
      </w:r>
    </w:p>
    <w:p>
      <w:pPr>
        <w:keepNext/>
        <w:spacing w:after="100"/>
      </w:pPr>
      <w:r>
        <w:rPr>
          <w:b/>
          <w:bCs/>
        </w:rPr>
        <w:t xml:space="preserve">Inversión y circulante.</w:t>
      </w:r>
    </w:p>
    <w:p>
      <w:pPr>
        <w:spacing w:after="100"/>
      </w:pPr>
      <w:r>
        <w:t xml:space="preserve">El capex incluye los pagos de arrendamientos, porque la flota de furgonetas está en derechos de uso (NIIF 16): 461 M en 2025, un 6,7 % de las ventas, y un 7,0-7,2 % en 2023-2024 [1]. Para 2026 la guía es de 190-200 M sin arrendamientos más unos 190 M de arrendamientos (5,6 %) [4]; después sube al 6,3 % con la reinversión en Norteamérica. La amortización (7,6 % en 2025) incluye la de intangibles adquiridos (199 M en 2025 [2]), que se agota: baja al 6,3 % y en el último año iguala al capex. El circulante se mantiene en el 10,5 % de las ventas de 2024-2025; Rollins trabaja con circulante negativo, pero la empresa admite que cambiar contratos llevará años [12].</w:t>
      </w:r>
    </w:p>
    <w:p>
      <w:pPr>
        <w:keepNext/>
        <w:spacing w:after="100"/>
      </w:pPr>
      <w:r>
        <w:rPr>
          <w:b/>
          <w:bCs/>
        </w:rPr>
        <w:t xml:space="preserve">Coste del capital.</w:t>
      </w:r>
    </w:p>
    <w:p>
      <w:pPr>
        <w:spacing w:after="100"/>
      </w:pPr>
      <w:r>
        <w:t xml:space="preserve">Todo en dólares, la divisa de los flujos. Tasa libre: Tesoro de EE. UU. a 10 años, 5,31 % el 5 de octubre [59]. Beta 0,91: la mensual a cinco años frente al STOXX 600, ajustada. Frente al FTSE 100 da 0,86 y frente al FTSE All-Share 0,88 (crudas 0,79, 0,82 y 0,86) [57]. Se elige el STOXX 600 porque el FTSE 100 está dominado por petroleras, mineras y bancos y Rentokil factura un 62 % en Norteamérica: un índice europeo amplio refleja mejor la cartera de su inversor. La diferencia con 0,88 mueve el WACC 0,1 puntos. Prima de mercado 5,5 %, sin prima adicional (BBB estable [2]). Coste de la deuda 5,8 %, el del bono en dólares de 2035 [4]; peso de la deuda 26,2 % a valor de mercado. Resultado: 10,32 % de coste del capital y 8,74 % de WACC.</w:t>
      </w:r>
    </w:p>
    <w:p>
      <w:pPr>
        <w:keepNext/>
        <w:spacing w:after="100"/>
      </w:pPr>
      <w:r>
        <w:rPr>
          <w:b/>
          <w:bCs/>
        </w:rPr>
        <w:t xml:space="preserve">Valor terminal.</w:t>
      </w:r>
    </w:p>
    <w:p>
      <w:pPr>
        <w:spacing w:after="100"/>
      </w:pPr>
      <w:r>
        <w:t xml:space="preserve">Crecimiento a perpetuidad del 2,75 %: crecimiento real cercano al 0,5-1 % más la inflación esperada en dólares, por debajo de la tasa libre menos medio punto (4,8 %) y del 6,2 % que se espera para el mercado de plagas [15]. Es prudente porque el ROIC está por debajo del WACC: crecer más no añadiría valor. El valor terminal equivale a 8,6 veces el EBITDA de 2033, por debajo del 9,5 actual y lejos de las 14-18 veces de las transacciones; con el múltiplo de salida de 10,5 veces el crecimiento implícito sería del 3,8 %. El terminal pesa el 67 %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3,8 %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M (-2 % del NOPAT)</w:t>
            </w:r>
          </w:p>
        </w:tc>
      </w:tr>
    </w:tbl>
    <w:p>
      <w:pPr>
        <w:spacing w:after="160" w:before="0"/>
      </w:pPr>
    </w:p>
    <w:p>
      <w:pPr>
        <w:spacing w:after="100"/>
      </w:pPr>
      <w:r>
        <w:t xml:space="preserve">La proyección apenas necesita inversión neta de la amortización (reinversión acumulada de -143 M, con un capex bruto medio del 6,1 % de las ventas). En un negocio de activos ligeros, el crecimiento medio del 3,8 %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3,6 % en el primer semestre [4]: casi todo precio, por encima de la inflación en todas las regiones [4, 12], con el número de clientes a la baja en Norteamérica (retención del 80,7 %) [4, 12]. Otros: divisa favorable, compras pequeñas (≈120 M de gasto) y SOLitude hasta su venta [4, 13]. Reparto volumen/precio: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SOLitude (112 M de ventas, −1,5 puntos) [13], compensado en parte por compras pequeñas (+0,7). Precio algo por encima de la inflación, como Rollins (3-4 puntos) [20]; el volumen sigue ligeramente negativo mientras la retención no pase del 80 %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plano: supone que Branch 360 y la reinversión de los ahorros en Norteamérica (90 M anualizados) frenan la pérdida de clientes [4, 11]. Precio +3,5 % [4, 20]; compras pequeñas +0,5. El DCF no resta el gasto en compras: sin el crecimiento comprado (−0,5 a −0,7 puntos en 2027e-2030e) daría 3,72 USD en vez de 3,82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 volumen positivo, con el mercado creciendo al 6,2 % [15]; precio y compras como en 2028e. Es la parte que la empresa no ha demostrado desde 2023 [14, 51, 53].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 un orgánico del 4 %, por debajo del 5 % prometido en 2023 [51] y del 6-7 % de Rollins [16, 19].</w:t>
            </w:r>
          </w:p>
        </w:tc>
      </w:tr>
    </w:tbl>
    <w:p>
      <w:pPr>
        <w:spacing w:after="160" w:before="0"/>
      </w:pPr>
    </w:p>
    <w:p>
      <w:pPr>
        <w:spacing w:after="100"/>
      </w:pPr>
      <w:r>
        <w:t xml:space="preserve">En parte. El precio sí: el foso es estrecho pero real (escala de rutas, marca Terminix, 70 % de ingresos por contrato) y la empresa sube por encima de la inflación sin perder más clientes por ello [12, 15]; el mercado ha crecido un 6,6 % anual sin un año de caída [15]. El volumen no: la retención de Norteamérica es del 80,7 % y el número de clientes baja [4, 12], y el orgánico fue del 2,8 % y el 2,6 % en 2024-2025 [14, 53]. La proyección (3,8 % anual) pide volumen plano desde 2028e. No hay prueba de cuota con el motor (la cuota publicada es solo de plagas); hecha a mano, la de plagas bajaría del 17,4 % a ≈ 15 % en 2033e. El ROIC (7,0 %) no cubre el WACC.</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 (base: 20,6 %)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 (WACC: 8,7 %)</w:t>
            </w:r>
          </w:p>
        </w:tc>
      </w:tr>
    </w:tbl>
    <w:p>
      <w:pPr>
        <w:spacing w:after="160" w:before="0"/>
      </w:pPr>
    </w:p>
    <w:p>
      <w:pPr>
        <w:spacing w:after="100"/>
      </w:pPr>
      <w:r>
        <w:t xml:space="preserve">El DCF da 3,82 USD por acción (288 GBp), un 3,8 % por debajo del precio de 3,97 USD (299 GBp). El valor terminal pesa el 67 %. </w:t>
      </w:r>
      <w:r>
        <w:rPr>
          <w:b/>
        </w:rPr>
        <w:t xml:space="preserve">El DCF inverso dice que el precio descuenta casi exactamente nuestro caso base</w:t>
      </w:r>
      <w:r>
        <w:t xml:space="preserve">: un crecimiento del 4,3 % anual en 2027-2033 (frente a nuestro 3,7 %) con un margen del 21,0 % (frente al 20,6 %), o, dicho de otro modo, una rentabilidad implícita del 8,6 % frente a un WACC del 8,7 %. No es exigente: el 4,3 % queda por debajo del 4,9 % de 2023 y muy por debajo del 6-7 % de Rollins [16]. Lo que hace que el valor no supere al precio es el coste de capital (Tesoro al 5,31 %) y las partidas «one-off» que restamos cada año. Con la prima de riesgo que hoy pide el mercado (4,2 %) el WACC baja al 7,87 % y el DCF sube a 4,73 USD. La sensibilidad es alta: medio punto de WACC mueve el valor entre 3,41 y 4,31 USD, y un punto de margen, entre 3,44 y 4,20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2024: Norteamérica vuelve a un orgánico del 1-2 %, la retención no pasa del 80 %, la reinversión en Norteamérica no se paga con ahorros y las dotaciones de termitas siguen. El crecimiento medio baja al 2,2 %, el margen final al 19,1 %, el WACC sube un cuarto de punto y el terminal se queda en el 2,25 %.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se queda en el 3,5-4 %, los ahorros pagan la reinversión y el margen antes de partidas «one-off» sube un punto y medio en cinco años, sin llegar al de Rollins.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plan de Duffy funciona: la separación de residencial y comercial, las 220 sucursales nuevas y PestConnect devuelven a Norteamérica al crecimiento del mercado (5 % o más) y el margen se acerca al de Rollins. Crecimiento medio del 5,0 %, margen final del 21,9 % y terminal del 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3,9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3,76 USD (-5,3 %).</w:t>
      </w:r>
    </w:p>
    <w:p>
      <w:pPr>
        <w:spacing w:after="100"/>
      </w:pPr>
      <w:r>
        <w:t xml:space="preserve">Con el WACC propio, la asimetría es desfavorable: el alcista gana un 22,2 % (4,85 USD) y el bajista pierde un 36,0 % (2,54 USD), una asimetría de 0,62 veces. El bajista no es cosmético: es lo que pasó en 2024, con un orgánico de Norteamérica del 1,5 % y un aviso de beneficios [52, 53]. Con la prima implícita del mercado la lectura cambia: alcista 6,00 USD y bajista 3,13 USD, asimetría de 2,42 veces. La diferencia la pone el coste del capital, no el negocio, y eso es lo que hace frágil cualquier recomendación de compra: depende de que el inversor acepte la rentabilidad que hoy pide el mercado y no la que exige un Tesoro al 5,3 %.</w:t>
      </w:r>
    </w:p>
    <w:p>
      <w:pPr>
        <w:pStyle w:val="Heading1"/>
      </w:pPr>
      <w:r>
        <w:t xml:space="preserve">22. Suma de partes</w:t>
      </w:r>
    </w:p>
    <w:p>
      <w:pPr>
        <w:pStyle w:val="Confianza"/>
        <w:spacing w:after="100"/>
      </w:pPr>
      <w:r>
        <w:t xml:space="preserve">Confianza: Media</w:t>
      </w:r>
    </w:p>
    <w:p>
      <w:pPr>
        <w:spacing w:after="100"/>
      </w:pPr>
      <w:r>
        <w:t xml:space="preserve">No aplica. Las tres líneas (plagas en Norteamérica, plagas internacional e higiene) comparten clientes, rutas y centros, y la empresa no publica el EBITDA de cada una, solo el beneficio operativo ajustado por región [2]. Aplicar el múltiplo de Rollins a Norteamérica supondría que su crecimiento y su retención son los de Rollins, que es justo lo que no ocurre. La diferencia de calidad entre negocios se recoge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3,9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3,76 USD (-5,3 % sobre 3,97).</w:t>
      </w:r>
    </w:p>
    <w:p>
      <w:pPr>
        <w:spacing w:after="100"/>
      </w:pPr>
      <w:r>
        <w:t xml:space="preserve">El DCF pesa un 50 % porque es el único método que recoge lo específico de Rentokil: las partidas «one-off» recurrentes, la venta de SOLitude y un ROIC por debajo del WACC. Los escenarios pesan un 35 % para meter el riesgo de ejecución, que es asimétrico. Los comparables pesan un 15 % porque la mediana es frágil (de 8,9 a 12,7 veces según la muestra) y no hay comparables puros salvo Rollins. Las transacciones no pesan: no hay operación a la vista. La dispersión es amplia pero centrada: la mayoría de métodos da entre 3,5 y 4,5 USD, el precio está en 3,97 USD y el valor objetivo en 3,76 USD; solo el precio objetivo medio de los analistas (6,15 USD [63]) y el múltiplo de Rollins quedan muy por encima. En el puente, además de la deuda neta de 3.575 M, se restan 294 M de la provisión de termitas neta de impuestos (392 M brutos), 86 M de pagos aplazados de compras y 113 M del dividendo pagado en septiembre, y se suman los 180 M netos que dejará la venta de SOLitude [4, 13].</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(20.2x) × 1.1 (tope: la mediana de 5 años, 42.4x,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+100,4 %</w:t>
            </w:r>
          </w:p>
        </w:tc>
      </w:tr>
    </w:tbl>
    <w:p>
      <w:pPr>
        <w:spacing w:after="160" w:before="0"/>
      </w:pPr>
    </w:p>
    <w:p>
      <w:pPr>
        <w:spacing w:after="100"/>
      </w:pPr>
      <w:r>
        <w:rPr>
          <w:b/>
          <w:bCs/>
        </w:rPr>
        <w:t xml:space="preserve">Objetivo a 12 meses (ponderado):</w:t>
      </w:r>
      <w:r>
        <w:t xml:space="preserve"> 5,26 USD (396,20 GBp) · rentabilidad +35,6 % (base +29,1 %) · señal Mantener.</w:t>
      </w:r>
    </w:p>
    <w:p>
      <w:pPr>
        <w:spacing w:after="100"/>
      </w:pPr>
      <w:r>
        <w:t xml:space="preserve">Para comparar, con la regla v2 (historia al cierre, mismo precio): 17,2x / 20,2x / 26,3x, 23,1 % Mantener; con el tope anterior del base (×1,3, 14-oct mediodía): 59,8 % Mantener. Decide la regla vigente (v3 con tope ×1,1; METODO-VIGENTE.md).</w:t>
      </w:r>
    </w:p>
    <w:p>
      <w:pPr>
        <w:keepNext/>
        <w:spacing w:after="100"/>
      </w:pPr>
      <w:r>
        <w:rPr>
          <w:b/>
          <w:bCs/>
        </w:rPr>
        <w:t xml:space="preserve">Frente al consenso (solo contraste).</w:t>
      </w:r>
    </w:p>
    <w:p>
      <w:pPr>
        <w:spacing w:after="100"/>
      </w:pPr>
      <w:r>
        <w:t xml:space="preserve">Nuestro BPA base de 2028e (0,23) se separa un -14,4 % del consenso (0,26) y nuestro precio base (4,55) un -26,0 % del objetivo medio de los analistas (6,15).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3,76 (-5,3 %) frente al objetivo a 12 meses ponderado 4,76 (+23,1 % con dividendo; base +17,8 %).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del tercer trimestre [74]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tras la debilidad de solicitudes residenciales de julio: orgánico de Norteamérica y de control de plagas, retención y comercial.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del 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SOLitude a Bain Capital por 230 M USD [13]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180 M netos de caja: deuda neta / EBITDA cerca de 2,2x y margen para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 la dirección de residencial y comercial en EE. UU.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Responsables únicos de cada canal; la señal es la retención comercial, que hoy lastra el crecimiento.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hoja de ruta del nuevo consejero delegado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nuevos, coste de la reinversión en Norteamérica y resultado de la revisión de la cartera (90 países, 93 % del beneficio en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devolver caja (recompras) [12]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apalancamiento ya en 2-2,5x, el director financiero dice que la recompra está en debate; un 5 % de recompra al precio actual costaría unos 500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traslado de la cotización principal a EE. UU. [12]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decisión: el consejo lo mantiene en revisión. Podría abrir la acción a inversores que hoy comparan con Rollins.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Vencimientos de deuda de 2027 (972 M)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Refinanciación con el Tesoro al 5,3 %: el coste medio (4,76 %) subirá.</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 no recupera volumen: retención estancada en el 80 % y solicitudes residenciales a la baja (termitas y mercado de vivienda)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sigue por encima de la inflación y la retención residencial mejora; 220 sucursales pequeñas nuevas.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control de plagas de Norteamérica por debajo del 2 %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«one-off» que no acaban: transformación, integración y dotaciones de termitas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punto de margen permanente (3,44 USD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es de unos 110 M; la integración de Terminix ya terminó.</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Partidas «one-off» de 2026 por encima de 150 M o nueva dotación de termitas en el 2S26.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termitas: más reclamaciones y daños punitivos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por cada 150 M de provisión adicional después de impuestos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de cerrar las reclamaciones grandes; pagos previstos de 115-125 M en 2026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al cierre de 2026 por encima de 400 M pese a los pagos.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 Tesoro a 10 años al 5,3 % y refinanciación de 972 M en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 con medio punto más de WACC (3,41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BBB estable, sin covenants, RCF de 1.000 M sin disponer hasta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por encima del 5,75 % o rebaja de rating.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reinversión en Norteamérica se come el margen sin traer crecimiento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(un punto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se financia con ahorros y que el margen del grupo no baja en 2027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 Norteamérica por debajo del 17 %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Desventaja frente a Rollins y el capital privado: búsquedas en internet y modelos de lenguaje que no recomiendan las marcas grandes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−6,5 % con un punto menos de crecimiento (3,57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regionales con solicitudes al alza de dos cifras; nuevo director de marketing digital [4,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Solicitudes residenciales de Norteamérica con caída interanual en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Demandas colectivas en EE. UU. por las declaraciones sobre la integración de Terminix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 la empresa no provisiona ni cuantifica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se defiende; no hay provisión porque no la considera probable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de la moción de desestimación o acuerdo con los demandantes.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completa de la cúpula y ejecución de un plan que aún no se ha presentado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Entre el base y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 con experiencia en operaciones de rutas (OnTrac, FleetPride) y compras de acciones del consejero delegado y la presidenta [39, 40, 41, 42, 43].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otro alto directivo en 2027 o retraso de la hoja de ruta.</w:t>
            </w:r>
          </w:p>
        </w:tc>
      </w:tr>
    </w:tbl>
    <w:p>
      <w:pPr>
        <w:spacing w:after="160" w:before="0"/>
      </w:pPr>
    </w:p>
    <w:p>
      <w:pPr>
        <w:pStyle w:val="Heading2"/>
      </w:pPr>
      <w:r>
        <w:t xml:space="preserve">Pre-mortem</w:t>
      </w:r>
    </w:p>
    <w:p>
      <w:pPr>
        <w:spacing w:after="100"/>
      </w:pPr>
      <w:r>
        <w:t xml:space="preserve">Octubre de 2029: la acción ha perdido un 40 % y cotiza por debajo de 180 GBp. Lo que pasó fue sencillo y por eso nadie lo vio venir. El tercer trimestre de 2026 confirmó la caída de solicitudes de termitas y el orgánico de Norteamérica bajó del 2 %. Duffy presentó en febrero de 2027 un plan de reinversión de varios cientos de millones en formación y ventas; los ahorros llegaron, pero se los comió la reinversión, y el margen de Norteamérica se quedó en el 17 %. La retención no pasó del 81 %: cada año había que captar un 20 % de clientes nuevos con solicitudes cada vez más caras, y Rollins y las marcas regionales del capital privado se llevaban las mejores. Las partidas «one-off» siguieron por encima de 150 M al año con nuevas dotaciones de termitas. Con el Tesoro por encima del 5 %, el mercado dejó de pagar por la recuperación y el múltiplo bajó a 8 veces el EBITDA. El indicador que lo habría anticipado era el orgánico de control de plagas de Norteamérica: por debajo del 2,5 % durante dos trimestres seguidos, la tesis de recuperación estaba rota.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bajo, gestión fuerte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Percentil 92 del sector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Tres asuntos mueven las cifras. </w:t>
      </w:r>
      <w:r>
        <w:rPr>
          <w:b/>
        </w:rPr>
        <w:t xml:space="preserve">Reclamaciones de termitas</w:t>
      </w:r>
      <w:r>
        <w:t xml:space="preserve">: Terminix arrastra un número significativo de reclamaciones por daños cubiertos por garantías; en 2025 hubo que dotar 201 M USD más por inflación y costes de liquidación, y la provisión cerró en 384 M USD (358 M USD de contratos anteriores a la compra) [1]. </w:t>
      </w:r>
      <w:r>
        <w:rPr>
          <w:b/>
        </w:rPr>
        <w:t xml:space="preserve">Emisiones</w:t>
      </w:r>
      <w:r>
        <w:t xml:space="preserve">: el alcance 1, casi todo combustible de la flota, fue de 275.000 t de CO2e en 2025, y la fumigación con fluoruro de sulfurilo suma 1,24 millones de toneladas equivalentes, más de cuatro veces todo el alcance 1 y fuera del objetivo de intensidad; solo el 9,5 % de la flota mundial es de bajas emisiones y el objetivo es cero emisiones netas en 2040 [15]. </w:t>
      </w:r>
      <w:r>
        <w:rPr>
          <w:b/>
        </w:rPr>
        <w:t xml:space="preserve">Seguridad y plantilla</w:t>
      </w:r>
      <w:r>
        <w:t xml:space="preserve">: tasa de accidentes con baja de 0,28, sin fallecidos en 2025 (uno en 2024), y retención de empleados del 87,4 %, clave para retener clientes [15].</w:t>
      </w:r>
    </w:p>
    <w:p>
      <w:pPr>
        <w:pStyle w:val="Heading2"/>
      </w:pPr>
      <w:r>
        <w:t xml:space="preserve">Controversias</w:t>
      </w:r>
    </w:p>
    <w:p>
      <w:pPr>
        <w:spacing w:after="100"/>
      </w:pPr>
      <w:r>
        <w:t xml:space="preserve">En noviembre de 2024 tenedores de ADS presentaron en EE. UU. una demanda colectiva contra la empresa, Andy Ransom y otros dos directivos por presuntas declaraciones falsas sobre la integración de Terminix; en abril de 2025 llegó otra en California por el folleto de las acciones emitidas en la compra; la empresa se defiende en ambas [1]. Terminix sigue expuesta a reclamaciones judiciales por daños de termitas, algunas con daños punitivos, y a reclamaciones de reguladores estatales por prácticas comerciales [1]. En 2024 murió un empleado en un accidente laboral [15].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en 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contrato tienen hoy en Norteamérica frente a hace un año, separando residencial, comercial y termitas?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director financiero admite volúmenes negativos [12]; sin el número de clientes no se sabe si el 3,7 % de orgánico es solo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«one-off»</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 de haber costes de transformación y dotaciones extraordinarias de termitas, y qué importe hay que considerar recurrente?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Restamos entre 1,5 y 2 puntos de margen cada año; si bajaran a la mitad, el valor subiría alrededor de un 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cuesta la inversión en formación y ventas en Norteamérica en 2027 y qué retorno esperan medir?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razón para retirar el objetivo del 20 % y no tiene cifra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Termitas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cola de reclamaciones abiertas de la provisión de 392 M y cuántas incluyen daños punitivos?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provisión ha necesitado dotaciones cada año desde la compra [2]; restamos 294 M netos en 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acciones o compras pequeñas con la caja de SOLitude y la deuda ya en 2,4x?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ROIC del 7 % y la acción a 9,5 veces el EBITDA, recomprar rinde más que comprar a los múltiplos del capital privado.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mercados y negocios saldrán en la revisión de los 90 países y qué peso tienen en ventas y beneficio?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7 % del beneficio sale de 70 países [12]; la venta puede liberar caja o costar ingresos.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la retención comercial se debe a salir a propósito de contratos malos de Terminix y cuándo termina?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lo cita como causa de la menor retención [11]; si es voluntario, el crecimiento comercial debería volver en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Cotización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condiciones pondría el consejo para trasladar la cotización principal a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base de accionistas y el negocio están en EE. UU. y Rollins cotiza a casi el doble del múltiplo.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74 (57 primarias); citas distintas en el texto: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10,5 % frente a 10,5 % real: genera una variación de circulante de 34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8,9x a 12,7x según qué comparable se quite (3,62 a 5,86 por acción): la muestra es frágil; explícalo y no le des mucho peso. Explicación: La muestra mezcla tres compañías de calidad (Rollins, Ecolab, Cintas, a 16-23 veces) con cuatro de servicios intensivos en mano de obra o textil (5-9 veces); por eso la mediana salta. Está explicado en el comentario de comparables y el método pesa solo un 15 %.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-18,7 %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 fuentes (57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65, 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C7 del 20-F 2025; 2) nota 10 del semestral 2026; 3) cálculo con los vencimientos de bonos (posible, no hecho: unos 4,4 años ponderando los bonos)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y crecimiento del 1S24 y 2S24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semestral de 2025 (6-K); 2) transcripción del primer semestre de 2026; 3) prensa con consenso previo (no consultada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de 2021-2022 con la estructura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2) informe anual 2025; 3) 20-F 2022 (estructura antigua de cinco regiones, sin reexpresar)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2023-2025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según el último total voting rights (sep-oct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6-K de EDGAR (el último TVR presentado es de jul-2025); 2) semestral 2026: 2.526 M de acciones medias y 6,5 M en el Employee Share Trust; 3) web de RNS (no consultada)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usar 2.526 M en circulación (2.526,0 M emitidas a dic-25 menos 6,5 M del EST a jun-26, más emisiones del año) y 2.535 M diluidas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EV/EBITDA pagado por Terminix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B1 del 20-F 2022; 2) informe anual 2022; 3) Terminix 10-K 2021 (no descargado)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Anticimex: ingresos y margen de 2024-2025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Anticimex (página de presencia mundial y listados de PDF): no publica informes financieros enlazables; 2) búsqueda de su informe anual 2025 y del de EQT: solo apareció el de 2023 y prensa sueca de pago (Affärsvärlden); 3) cifra de 2024 (16.900 M SEK) solo en un resumen de buscador, no utilizable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Elis (higiene y textil, Europa): ingresos y margen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Elis con listado de PDF: no devolvió enlaces; 2) otras rutas de la web (finance, investors, regulated-information): sin enlaces; 3) búsqueda web: agotado el límite de búsquedas de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Arrow, Massey, Aptive y resto del PCT Top 100 2026 (ingresos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del ranking PCT Top 100 2026: solo formularios de inscripción y notas de prensa de empresas pequeñas; 2) presentación de Rollins de mayo de 2026: da solo agregados del ranking de 2024; 3) web de PCT: agotado el límite de búsquedas antes de abrirla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de EE. UU. según NPMA o Freedonia y serie anual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Rentokil: da 14.200 M USD de Norteamérica en 2025 citando a Specialty Consultants, sin serie; 2) 10-K de Rollins: no da tamaño de mercado; 3) presentación de Rollins de 2026: solo el agregado del PCT Top 100 (13.300 M USD en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Comportamiento del sector en 2008-09 y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Rentokil: solo la serie 2015-2025; 2) 20-F de 2022: comenta 2021 frente a 2020 en Norteamérica, sin datos de 2008-09; 3) 10-K de Rollins de 2023-2025: solo tres ejercicios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Calificación CDP y FTSE4Good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página de calificaciones: aparecen 'Member' y 'Overall C rating (as at March 2025)' bajo logotipos que el texto no identifica; 2) 20-F 2025: no las menciona; 3) búsqueda web: agotado el límite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de la EPA y el Departamento de Justicia por bromuro de metilo en Islas Vírgenes (Terminix)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y 2022: no la mencionan; 2) informe anual 2025: sin referencias; 3) nota de prensa del Departamento de Justicia: agotado el límite de búsquedas antes de localizarla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Rentokil Norteamérica en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solo 2024 y 2025; 2) 20-F 2024: incorpora el informe anual por referencia sin el texto; 3) informe anual 2025, conciliación de crecimiento orgánico: da bases de ingresos, no el porcentaje de 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Peticiones de Trian (cotización principal en EE. UU., cambios en la dirección) y posible acuerdo de cooperación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6-K del nombramiento de Brian Baldwin, informe anual 2025 y 20-F: solo constan la participación y el puesto en el consejo, sin acuerdo publicado; 2) EDGAR: Trian no ha presentado 13D ni 13G y, por debajo del 3 %, tampoco TR-1; 3) búsqueda en prensa: no disponible por el límite de búsquedas web de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Wellington, Harris Associates y Fidelity como 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TR-1 replicados en 6-K de octubre de 2024 a octubre de 2026: ninguna notificación de estas gestoras; 2) 20-F 2025, Item 7A: no figuran; 3) Schedule 13G en EDGAR desde 2024: solo BlackRock, GIC y Janus Henderson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acciones de directivos por la consolidación de planes (PSP de 2023 en marzo de 2026) y salida de Andy Ransom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6-K «Director/PDMR Shareholding» de los últimos 12 meses: solo compras; 2) 20-F 2025: participaciones a 19-mar-2026 sin movimientos de venta; 3) RNS de la Bolsa de Londres: no consultable sin búsqueda web en esta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de comisiones tras la salida de Linda Yueh (junta de 2026) y de Richard Solomons (31-ago-2026)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composición a 31-dic-2025; 2) 6-K de nombramientos de 2026: solo la presidencia de Nombramientos para Esperdy; 3) resultados semestrales 2026: no la detallan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Reparto de recomendaciones (comprar, mantener, 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ficha de consenso: muestra 1 analista y media mantener, dato roto; 2) Stock Analysis (S&amp;P Global): reparto de septiembre con un solo analista y precio objetivo de julio; 3) web de inversores de Rentokil: no publica consenso compilado (página de consenso no existe)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Anticimex (EQT/GIC), Aptive, Massey, Arrow y Rollins-Fox Pest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Rollins: da precio de Saela pero no ventas anuales ni EBITDA; Fox Pest fuera de ese periodo; 2) Anticimex, Aptive, Massey y Arrow son privadas sin cuentas públicas de la operación; 3) búsqueda web limitada por cupo compartido: no se encontró múltiplo publicado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Diferencial de crédito BBB para el coste marginal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FRED BAMLC0A4CBBB con descargar.mjs: tiempo agotado; 2) tipos efectivos de los bonos de Rentokil en el semestral (4,76 % medio, 5,78 % el de 2035); 3) estimación 1-1,2 puntos sobre el Tesoro, sin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(cuentas consolidadas auditadas, en USD con 2023 y 2024 reexpresados)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https://www.sec.gov/Archives/edgar/data/930157/000110465926034062/rto-20251231x20f.htm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(revisión financiera y medidas no NIIF)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https://www.rentokil-initial.com/~/media/Files/R/Rentokil/documents/annual-reports/rentokil-ar25.pdf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2022 (cuentas consolidadas auditadas en GBP, 2020-2022)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https://www.sec.gov/Archives/edgar/data/930157/000110465923041155/rto-20221231x20f.htm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Interim Results statement (seis meses a 30-jun-26)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https://www.rentokil-initial.com/~/media/Files/R/Rentokil/documents/2026-interim-result-statement.pdf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North America Pest Control Services and Business Services 2024-26 (histórico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https://www.rentokil-initial.com/~/media/Files/R/Rentokil/documents/north-america-historical-financials.pdf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GBP/USD: media anual (XUAAUSS) y diario (XUDLUSS)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Interactive Statistical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https://www.bankofengland.co.uk/boeapps/database/_iadb-fromshowcolumns.asp?csv.x=yes&amp;Datefrom=01/Jan/2020&amp;Dateto=31/Dec/2023&amp;SeriesCodes=XUAAUSS,XUDLUSS&amp;CSVF=TN&amp;UsingCodes=Y&amp;VPD=Y&amp;VFD=N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de Rentokil Initial plc (CIK 0000930157), serie ifrs-full de los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https://data.sec.gov/api/xbrl/companyfacts/CIK0000930157.json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(estrategia de Norteamérica, sinergias y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https://www.rentokil-initial.com/~/media/Files/R/Rentokil/documents/annual-reports/250317_RIAR24_FINAL.pdf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(adquisición de Terminix y objetivo de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https://www.rentokil-initial.com/~/media/Files/R/Rentokil/documents/annual-reports/rentokil-initial-annual-report-2022.pdf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2025 (Form 6-K, con el primer semestre de 2024 reexpresado en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https://www.sec.gov/Archives/edgar/data/930157/000165495425008672/a2919t.htm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https://www.rentokil-initial.com/~/media/Files/R/Rentokil/documents/2026-h1-interim-results-transcript.pdf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Rentokil en la Bernstein Strategic Decisions Conference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https://www.rentokil-initial.com/~/media/Files/R/Rentokil/documents/rentokil-initial-at-bernstein-strategic-decisions-conference-9-sept-2026-transcript.pdf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 of SOLitude Lake Management, LLC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https://www.sec.gov/Archives/edgar/data/930157/000165495426008498/a6698v.htm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2025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https://www.sec.gov/Archives/edgar/data/930157/000165495426001901/a4115v.htm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(anexo 15.1 del Form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https://www.sec.gov/Archives/edgar/data/930157/000110465926034062/rto-20251231xex15d1.htm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https://www.sec.gov/Archives/edgar/data/84839/000008483926000008/rol-20251231.htm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https://www.sec.gov/Archives/edgar/data/84839/000008483925000024/rol-20241231.htm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https://www.sec.gov/Archives/edgar/data/84839/000008483924000025/rol-20231231.htm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https://www.sec.gov/Archives/edgar/data/84839/000008483926000040/rol-20260630.htm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Investor &amp; Analyst Conference 2026, presentación (con datos de Vantage Market Research, IBISWorld, Veseris, PCT Top 100 y Harris Williams)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https://d1io3yog0oux5.cloudfront.net/_fe47ecebf5c568f5b342d6a85a9e8851/rollins/db/952/11232/presentation/Rollins+Investor+Analyst+Conference_Agenda-combined%C2%A0%281%29.pdf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Ecolab Inc. Form 10-K del ejercicio 2025 (segmento Global Pest Elimination)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Ecolab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https://www.sec.gov/Archives/edgar/data/31462/000110465926018357/ecl-20251231x10k.htm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Anticimex Report 2023 (informe anual, copia alojada en craft.co)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Anticimex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https://uploads1.craft.co/uploads/unified_record/source/document/2110991/baa51edb3a5ecd12.pdf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Form 10-K del ejercicio cerrado el 31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https://www.sec.gov/Archives/edgar/data/723254/000072325426000028/ctas-20260531.htm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(EUR/USD y EUR/SEK a 29-12-2023)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Annual General Meeting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https://www.sec.gov/Archives/edgar/data/930157/000165495426004520/a4882d.htm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Annual General Meeting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https://www.sec.gov/Archives/edgar/data/930157/000165495425005192/a7518h.htm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Annual General Meeting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https://www.sec.gov/Archives/edgar/data/930157/000165495424005736/a6552n.htm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Directorate Change: Chief Executive to retire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https://www.sec.gov/Archives/edgar/data/930157/000165495425005172/a5795h.htm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appoints Mike Duffy as Chief Executive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https://www.sec.gov/Archives/edgar/data/930157/000165495426000289/a5992o.htm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Chair Succession Planning Update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https://www.sec.gov/Archives/edgar/data/930157/000165495426001910/a3961v.htm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appoints Thérèse Esperdy as Chair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https://www.sec.gov/Archives/edgar/data/930157/000165495426003522/a4799a.htm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Chief Executive Officer, North America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https://www.sec.gov/Archives/edgar/data/930157/000165495426005208/a1741f.htm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Organisational Structure Update and Leadership Appointments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https://www.sec.gov/Archives/edgar/data/930157/000165495426007539/a5557q.htm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 of France Workwear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https://www.sec.gov/Archives/edgar/data/930157/000165495425006159/a3136k.htm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Completion of France Workwear business sale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https://www.sec.gov/Archives/edgar/data/930157/000165495425011228/a4201b.htm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Non-Executive Director (Brian Baldwin, Trian)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https://www.sec.gov/Archives/edgar/data/930157/000165495424012256/a5147f.htm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Directorate Change: appointment of Paul Edgecliffe-Johnson as CFO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https://www.sec.gov/Archives/edgar/data/930157/000165495424014853/a4191n.htm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(unaudited) and North America change of management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https://www.sec.gov/Archives/edgar/data/930157/000165495425000843/a8662u.htm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ADS de Mike Duffy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https://www.sec.gov/Archives/edgar/data/930157/000165495426002098/a1030w.htm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ADS del fideicomiso de Sam Mitchell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https://www.sec.gov/Archives/edgar/data/930157/000165495426002100/a1028w.htm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Sally Johnson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https://www.sec.gov/Archives/edgar/data/930157/000165495426002322/a0198x.htm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Richard Solomons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https://www.sec.gov/Archives/edgar/data/930157/000165495426002797/a3268y.htm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compras de Duffy, Esperdy y Sheraton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https://www.sec.gov/Archives/edgar/data/930157/000165495426007144/a0398p.htm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BlackRock, Inc., TR-1 del 2-oct-2026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https://www.sec.gov/Archives/edgar/data/930157/000165495426008811/a8138x.htm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Janus Henderson Group, TR-1 del 30-jul-2026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https://www.sec.gov/Archives/edgar/data/930157/000165495426007220/a2077p.htm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GIC Private Limited, TR-1 del 6-may-2026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https://www.sec.gov/Archives/edgar/data/930157/000165495426004577/a6252d.htm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Independent Franchise Partners, TR-1 del 15-ene-2026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https://www.sec.gov/Archives/edgar/data/930157/000165495426000460/a3991p.htm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Swedbank Robur Fonder, TR-1 del 19-feb-2026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https://www.sec.gov/Archives/edgar/data/930157/000165495426001445/a0288u.htm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Preliminary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https://www.sec.gov/Archives/edgar/data/930157/000165495423002965/a1566t.htm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Trading Update 2023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https://www.sec.gov/Archives/edgar/data/930157/000165495423013133/a5934q.htm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Preliminary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https://www.sec.gov/Archives/edgar/data/930157/000165495424002747/a9048f.htm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(aviso de beneficios)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https://www.sec.gov/Archives/edgar/data/930157/000165495424011709/a6623d.htm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Final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https://www.sec.gov/Archives/edgar/data/930157/000165495425002335/a5862z.htm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presentaciones de Rentokil Initial en EDGAR (6-K, 13G y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https://data.sec.gov/submissions/CIK0000930157.json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Notification of change in Director's details: John Pettigrew en SSE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https://www.sec.gov/Archives/edgar/data/930157/000165495426006671/a6451m.htm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Trading Update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https://www.sec.gov/Archives/edgar/data/930157/000165495424013041/a5066i.htm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RTO.L, ^FTSE, ^FTAS, ^STOXX, ISF.L y EXH4.DE (cierre y cierre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https://finance.yahoo.com/quote/RTO.L/history/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del ADR RTO (NYSE) y del S&amp;P 500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https://finance.yahoo.com/quote/RTO/history/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https://fred.stlouisfed.org/graph/fredgraph.csv?id=DGS10&amp;cosd=2026-09-01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nominal a la par del gilt a 10 años (IUDMNPY)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https://www.bankofengland.co.uk/boeapps/database/_iadb-fromshowcolumns.asp?csv.x=yes&amp;Datefrom=01/Sep/2026&amp;Dateto=07/Oct/2026&amp;SeriesCodes=IUDMNPY&amp;CSVF=TN&amp;UsingCodes=Y&amp;VPD=Y&amp;VFD=N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https://www.marketscreener.com/quote/stock/RENTOKIL-INITIAL-PLC-4005234/finances/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consenso, precio objetivo y cambios de recomendación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https://www.marketscreener.com/quote/stock/RENTOKIL-INITIAL-PLC-4005234/consensus/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(RTO)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https://stockanalysis.com/stocks/rto/forecast/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(RTO)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https://stockanalysis.com/stocks/rto/statistics/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positions: daily update (fichero del 10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Conduct Authority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https://www.fca.org.uk/publication/data/short-positions-daily-update.xlsx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UniFirst Corporation: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https://www.marketscreener.com/quote/stock/UNIFIRST-CORPORATION-14749/finances/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Ecolab, Cintas y ABM Industries: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https://www.marketscreener.com/quote/stock/ROLLINS-INC-14278/finances/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Elis, ISS y Bunzl: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https://www.marketscreener.com/quote/stock/ELIS-20566590/finances/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Ecolab, Cintas, ABM, Elis, ISS y Bunzl: Statistics &amp; Valuation (capitalización, valor de empresa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to Acquire UniFirst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https://www.sec.gov/Archives/edgar/data/723254/000095010326003567/dp243132_ex9901.htm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Terminix Global Holdings: datos XBRL del 10-K de 2021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https://data.sec.gov/api/xbrl/companyfacts/CIK0001428875.json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cotización y últimas noticias (cambios de recomendación de agosto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https://www.marketscreener.com/quote/stock/RENTOKIL-INITIAL-PLC-4005234/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(Q3 Trading Update, 22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https://www.rentokil-initial.com/investors/financial-calendar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88,7 %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la acción ordinaria de Londres (RTO, en peniques), que es el mercado principal; el ADS de Nueva York equivale a cinco acciones. Las cuentas se presentan en dólares desde el ejercicio 2025 y todo el informe va en millones de USD; el precio en peniques se pasa a dólares con el tipo GBP/USD del cierre del 6 de octubre de 2026 (la sesión del 7 no había cerrado en Londres a la hora del corte). 2023-2025 son las cifras en dólares reexpresadas por la empresa, sin Workwear de Francia (actividad interrumpida); 2021-2022 se han convertido desde libras con los tipos del Banco de Inglaterra (medio del año para la cuenta y los flujos, de cierre para el balance) y aún incluyen Workwear de Francia. 2022 solo lleva dos meses y medio de Terminix. Las cifras de 2025 y de los últimos doce meses incluyen SOLitude, en venta. No hay datos de segmentos de 2021-2022 con la estructura actual.</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Rentokil Initial plc (RTO (LSE); RTO (NYSE, 1 ADS = 5 acciones))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3,97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(3,90 – 6,73)</c:v>
                </c:pt>
                <c:pt idx="1">
                  <c:v>Precio objetivo de los analistas (4,90 – 8,47)</c:v>
                </c:pt>
                <c:pt idx="2">
                  <c:v>Comparables: EV/EBITDA NTM (3,33 – 8,47)</c:v>
                </c:pt>
                <c:pt idx="3">
                  <c:v>Comparables: PER NTM (2,58 – 5,70)</c:v>
                </c:pt>
                <c:pt idx="4">
                  <c:v>Transacciones precedentes (EV/ventas) (3,82 – 4,97)</c:v>
                </c:pt>
                <c:pt idx="5">
                  <c:v>DCF (WACC y g ± 0,5) (3,17 – 4,73)</c:v>
                </c:pt>
                <c:pt idx="6">
                  <c:v>Escenarios (bajista – alcista) (2,54 – 4,85)</c:v>
                </c:pt>
                <c:pt idx="7">
                  <c:v>DCF con la prima implícita del mercado (4,2 %)</c:v>
                </c:pt>
                <c:pt idx="8">
                  <c:v>Precio actual (3,97)</c:v>
                </c:pt>
              </c:strCache>
            </c:strRef>
          </c:cat>
          <c:val>
            <c:numRef>
              <c:f>Hoja1!$B$2:$B$10</c:f>
              <c:numCache>
                <c:formatCode>#,##0.00</c:formatCode>
                <c:ptCount val="9"/>
                <c:pt idx="0">
                  <c:v>3.9</c:v>
                </c:pt>
                <c:pt idx="1">
                  <c:v>4.9</c:v>
                </c:pt>
                <c:pt idx="2">
                  <c:v>3.33</c:v>
                </c:pt>
                <c:pt idx="3">
                  <c:v>2.58</c:v>
                </c:pt>
                <c:pt idx="4">
                  <c:v>3.82</c:v>
                </c:pt>
                <c:pt idx="5">
                  <c:v>3.17</c:v>
                </c:pt>
                <c:pt idx="6">
                  <c:v>2.54</c:v>
                </c:pt>
                <c:pt idx="7">
                  <c:v>4.17</c:v>
                </c:pt>
                <c:pt idx="8">
                  <c:v>3.95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(3,90 – 6,73)</c:v>
                </c:pt>
                <c:pt idx="1">
                  <c:v>Precio objetivo de los analistas (4,90 – 8,47)</c:v>
                </c:pt>
                <c:pt idx="2">
                  <c:v>Comparables: EV/EBITDA NTM (3,33 – 8,47)</c:v>
                </c:pt>
                <c:pt idx="3">
                  <c:v>Comparables: PER NTM (2,58 – 5,70)</c:v>
                </c:pt>
                <c:pt idx="4">
                  <c:v>Transacciones precedentes (EV/ventas) (3,82 – 4,97)</c:v>
                </c:pt>
                <c:pt idx="5">
                  <c:v>DCF (WACC y g ± 0,5) (3,17 – 4,73)</c:v>
                </c:pt>
                <c:pt idx="6">
                  <c:v>Escenarios (bajista – alcista) (2,54 – 4,85)</c:v>
                </c:pt>
                <c:pt idx="7">
                  <c:v>DCF con la prima implícita del mercado (4,2 %)</c:v>
                </c:pt>
                <c:pt idx="8">
                  <c:v>Precio actual (3,97)</c:v>
                </c:pt>
              </c:strCache>
            </c:strRef>
          </c:cat>
          <c:val>
            <c:numRef>
              <c:f>Hoja1!$C$2:$C$10</c:f>
              <c:numCache>
                <c:formatCode>#,##0.00</c:formatCode>
                <c:ptCount val="9"/>
                <c:pt idx="0">
                  <c:v>2.8300000000000005</c:v>
                </c:pt>
                <c:pt idx="1">
                  <c:v>3.5700000000000003</c:v>
                </c:pt>
                <c:pt idx="2">
                  <c:v>5.140000000000001</c:v>
                </c:pt>
                <c:pt idx="3">
                  <c:v>3.12</c:v>
                </c:pt>
                <c:pt idx="4">
                  <c:v>1.15</c:v>
                </c:pt>
                <c:pt idx="5">
                  <c:v>1.5600000000000005</c:v>
                </c:pt>
                <c:pt idx="6">
                  <c:v>2.3099999999999996</c:v>
                </c:pt>
                <c:pt idx="7">
                  <c:v>1.2400000000000002</c:v>
                </c:pt>
                <c:pt idx="8">
                  <c:v>0.040000000000000036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Norteamérica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4112</c:v>
                </c:pt>
                <c:pt idx="1">
                  <c:v>4164</c:v>
                </c:pt>
                <c:pt idx="2">
                  <c:v>4294</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2273</c:v>
                </c:pt>
                <c:pt idx="1">
                  <c:v>2453</c:v>
                </c:pt>
                <c:pt idx="2">
                  <c:v>2614</c:v>
                </c:pt>
              </c:numCache>
            </c:numRef>
          </c:val>
        </c:ser>
        <c:ser>
          <c:idx val="2"/>
          <c:order val="2"/>
          <c:tx>
            <c:strRef>
              <c:f>Hoja1!$D$1</c:f>
              <c:strCache>
                <c:ptCount val="1"/>
                <c:pt idx="0">
                  <c:v>Gastos centrales y reestructuración</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Norteamérica</c:v>
                </c:pt>
                <c:pt idx="1">
                  <c:v>Internacional</c:v>
                </c:pt>
                <c:pt idx="2">
                  <c:v>Gastos centrales y reestructuración</c:v>
                </c:pt>
              </c:strCache>
            </c:strRef>
          </c:cat>
          <c:val>
            <c:numRef>
              <c:f>Hoja1!$B$2:$B$4</c:f>
              <c:numCache>
                <c:formatCode>General</c:formatCode>
                <c:ptCount val="3"/>
                <c:pt idx="0">
                  <c:v>62.2</c:v>
                </c:pt>
                <c:pt idx="1">
                  <c:v>37.8</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Estados Unidos</c:v>
                </c:pt>
                <c:pt idx="1">
                  <c:v>Reino Unido</c:v>
                </c:pt>
                <c:pt idx="2">
                  <c:v>Australia</c:v>
                </c:pt>
                <c:pt idx="3">
                  <c:v>Francia</c:v>
                </c:pt>
                <c:pt idx="4">
                  <c:v>España</c:v>
                </c:pt>
                <c:pt idx="5">
                  <c:v>India</c:v>
                </c:pt>
                <c:pt idx="6">
                  <c:v>Otros</c:v>
                </c:pt>
              </c:strCache>
            </c:strRef>
          </c:cat>
          <c:val>
            <c:numRef>
              <c:f>Hoja1!$B$2:$B$8</c:f>
              <c:numCache>
                <c:formatCode>0"%"</c:formatCode>
                <c:ptCount val="7"/>
                <c:pt idx="0">
                  <c:v>60.57</c:v>
                </c:pt>
                <c:pt idx="1">
                  <c:v>7.19</c:v>
                </c:pt>
                <c:pt idx="2">
                  <c:v>3.65</c:v>
                </c:pt>
                <c:pt idx="3">
                  <c:v>2.69</c:v>
                </c:pt>
                <c:pt idx="4">
                  <c:v>1.59</c:v>
                </c:pt>
                <c:pt idx="5">
                  <c:v>1.35</c:v>
                </c:pt>
                <c:pt idx="6">
                  <c:v>22.96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2015</c:v>
                </c:pt>
                <c:pt idx="1">
                  <c:v>2025</c:v>
                </c:pt>
                <c:pt idx="2">
                  <c:v>2030e</c:v>
                </c:pt>
                <c:pt idx="3">
                  <c:v>2035e</c:v>
                </c:pt>
              </c:strCache>
            </c:strRef>
          </c:cat>
          <c:val>
            <c:numRef>
              <c:f>Hoja1!$B$2:$B$5</c:f>
              <c:numCache>
                <c:formatCode>#,##0</c:formatCode>
                <c:ptCount val="4"/>
                <c:pt idx="0">
                  <c:v>15400</c:v>
                </c:pt>
                <c:pt idx="1">
                  <c:v>29000</c:v>
                </c:pt>
                <c:pt idx="2">
                  <c:v>39200</c:v>
                </c:pt>
                <c:pt idx="3">
                  <c:v>52900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Rentokil</c:v>
                </c:pt>
                <c:pt idx="1">
                  <c:v>Rollins (Orkin, HomeTeam, Clark, Northwest, Fox, Saela)</c:v>
                </c:pt>
                <c:pt idx="2">
                  <c:v>Anticimex</c:v>
                </c:pt>
                <c:pt idx="3">
                  <c:v>Ecolab, segmento Global Pest Elimination</c:v>
                </c:pt>
                <c:pt idx="4">
                  <c:v>Cintas (Uniform Rental and Facility Services)</c:v>
                </c:pt>
              </c:strCache>
            </c:strRef>
          </c:cat>
          <c:val>
            <c:numRef>
              <c:f>Hoja1!$B$2:$B$6</c:f>
              <c:numCache>
                <c:formatCode>0.0"%"</c:formatCode>
                <c:ptCount val="5"/>
                <c:pt idx="0">
                  <c:v>12.6</c:v>
                </c:pt>
                <c:pt idx="1">
                  <c:v>19.3</c:v>
                </c:pt>
                <c:pt idx="2">
                  <c:v>13.8</c:v>
                </c:pt>
                <c:pt idx="3">
                  <c:v>19.4</c:v>
                </c:pt>
                <c:pt idx="4">
                  <c:v>23.1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4068</c:v>
                </c:pt>
                <c:pt idx="1">
                  <c:v>4591</c:v>
                </c:pt>
                <c:pt idx="2">
                  <c:v>6385</c:v>
                </c:pt>
                <c:pt idx="3">
                  <c:v>6617</c:v>
                </c:pt>
                <c:pt idx="4">
                  <c:v>6908</c:v>
                </c:pt>
                <c:pt idx="5">
                  <c:v>7233</c:v>
                </c:pt>
                <c:pt idx="6">
                  <c:v>7413</c:v>
                </c:pt>
                <c:pt idx="7">
                  <c:v>7710</c:v>
                </c:pt>
                <c:pt idx="8">
                  <c:v>8057</c:v>
                </c:pt>
                <c:pt idx="9">
                  <c:v>8420</c:v>
                </c:pt>
                <c:pt idx="10">
                  <c:v>8756</c:v>
                </c:pt>
                <c:pt idx="11">
                  <c:v>9063</c:v>
                </c:pt>
                <c:pt idx="12">
                  <c:v>9335</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915</c:v>
                </c:pt>
                <c:pt idx="1">
                  <c:v>1047</c:v>
                </c:pt>
                <c:pt idx="2">
                  <c:v>1362</c:v>
                </c:pt>
                <c:pt idx="3">
                  <c:v>1319</c:v>
                </c:pt>
                <c:pt idx="4">
                  <c:v>1399</c:v>
                </c:pt>
                <c:pt idx="5">
                  <c:v>1353</c:v>
                </c:pt>
                <c:pt idx="6">
                  <c:v>1416</c:v>
                </c:pt>
                <c:pt idx="7">
                  <c:v>1519</c:v>
                </c:pt>
                <c:pt idx="8">
                  <c:v>1619</c:v>
                </c:pt>
                <c:pt idx="9">
                  <c:v>1718</c:v>
                </c:pt>
                <c:pt idx="10">
                  <c:v>1804</c:v>
                </c:pt>
                <c:pt idx="11">
                  <c:v>1867</c:v>
                </c:pt>
                <c:pt idx="12">
                  <c:v>1923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80.2</c:v>
                </c:pt>
                <c:pt idx="1">
                  <c:v>81</c:v>
                </c:pt>
                <c:pt idx="2">
                  <c:v>83</c:v>
                </c:pt>
                <c:pt idx="3">
                  <c:v>83.5</c:v>
                </c:pt>
                <c:pt idx="4">
                  <c:v>83.1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22.5</c:v>
                </c:pt>
                <c:pt idx="1">
                  <c:v>22.8</c:v>
                </c:pt>
                <c:pt idx="2">
                  <c:v>21.3</c:v>
                </c:pt>
                <c:pt idx="3">
                  <c:v>19.9</c:v>
                </c:pt>
                <c:pt idx="4">
                  <c:v>20.3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12.4</c:v>
                </c:pt>
                <c:pt idx="1">
                  <c:v>12.2</c:v>
                </c:pt>
                <c:pt idx="2">
                  <c:v>13.2</c:v>
                </c:pt>
                <c:pt idx="3">
                  <c:v>11.4</c:v>
                </c:pt>
                <c:pt idx="4">
                  <c:v>12.6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8.9</c:v>
                </c:pt>
                <c:pt idx="1">
                  <c:v>6.3</c:v>
                </c:pt>
                <c:pt idx="2">
                  <c:v>6.8</c:v>
                </c:pt>
                <c:pt idx="3">
                  <c:v>5.2</c:v>
                </c:pt>
                <c:pt idx="4">
                  <c:v>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3</c:v>
                </c:pt>
                <c:pt idx="3">
                  <c:v>5.8</c:v>
                </c:pt>
                <c:pt idx="4">
                  <c:v>6.7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2">
                  <c:v>1.6</c:v>
                </c:pt>
                <c:pt idx="3">
                  <c:v>3.5</c:v>
                </c:pt>
                <c:pt idx="4">
                  <c:v>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51</c:v>
                </c:pt>
                <c:pt idx="1">
                  <c:v>60</c:v>
                </c:pt>
                <c:pt idx="2">
                  <c:v>45</c:v>
                </c:pt>
                <c:pt idx="3">
                  <c:v>44</c:v>
                </c:pt>
                <c:pt idx="4">
                  <c:v>42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101</c:v>
                </c:pt>
                <c:pt idx="2">
                  <c:v>89</c:v>
                </c:pt>
                <c:pt idx="3">
                  <c:v>96</c:v>
                </c:pt>
                <c:pt idx="4">
                  <c:v>96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101</c:v>
                </c:pt>
                <c:pt idx="1">
                  <c:v>177</c:v>
                </c:pt>
                <c:pt idx="2">
                  <c:v>153</c:v>
                </c:pt>
                <c:pt idx="3">
                  <c:v>132</c:v>
                </c:pt>
                <c:pt idx="4">
                  <c:v>120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434</c:v>
                </c:pt>
                <c:pt idx="1">
                  <c:v>378</c:v>
                </c:pt>
                <c:pt idx="2">
                  <c:v>459</c:v>
                </c:pt>
                <c:pt idx="3">
                  <c:v>408</c:v>
                </c:pt>
                <c:pt idx="4">
                  <c:v>511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362</c:v>
                </c:pt>
                <c:pt idx="1">
                  <c:v>287</c:v>
                </c:pt>
                <c:pt idx="2">
                  <c:v>437</c:v>
                </c:pt>
                <c:pt idx="3">
                  <c:v>346</c:v>
                </c:pt>
                <c:pt idx="4">
                  <c:v>290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12</c:v>
                </c:pt>
                <c:pt idx="1">
                  <c:v>7.2</c:v>
                </c:pt>
                <c:pt idx="2">
                  <c:v>7.2</c:v>
                </c:pt>
                <c:pt idx="3">
                  <c:v>6.1</c:v>
                </c:pt>
                <c:pt idx="4">
                  <c:v>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8.7</c:v>
                </c:pt>
                <c:pt idx="1">
                  <c:v>8.7</c:v>
                </c:pt>
                <c:pt idx="2">
                  <c:v>8.7</c:v>
                </c:pt>
                <c:pt idx="3">
                  <c:v>8.7</c:v>
                </c:pt>
                <c:pt idx="4">
                  <c:v>8.7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21.2</c:v>
                </c:pt>
                <c:pt idx="1">
                  <c:v>8.6</c:v>
                </c:pt>
                <c:pt idx="2">
                  <c:v>8.6</c:v>
                </c:pt>
                <c:pt idx="3">
                  <c:v>6.6</c:v>
                </c:pt>
                <c:pt idx="4">
                  <c:v>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1.86</c:v>
                </c:pt>
                <c:pt idx="1">
                  <c:v>3.71</c:v>
                </c:pt>
                <c:pt idx="2">
                  <c:v>2.96</c:v>
                </c:pt>
                <c:pt idx="3">
                  <c:v>3.02</c:v>
                </c:pt>
                <c:pt idx="4">
                  <c:v>2.72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2030</c:v>
                </c:pt>
                <c:pt idx="4">
                  <c:v>2031</c:v>
                </c:pt>
                <c:pt idx="5">
                  <c:v>2032</c:v>
                </c:pt>
                <c:pt idx="6">
                  <c:v>2035</c:v>
                </c:pt>
              </c:strCache>
            </c:strRef>
          </c:cat>
          <c:val>
            <c:numRef>
              <c:f>Hoja1!$B$2:$B$8</c:f>
              <c:numCache>
                <c:formatCode>#,##0</c:formatCode>
                <c:ptCount val="7"/>
                <c:pt idx="0">
                  <c:v>955</c:v>
                </c:pt>
                <c:pt idx="1">
                  <c:v>972</c:v>
                </c:pt>
                <c:pt idx="2">
                  <c:v>686</c:v>
                </c:pt>
                <c:pt idx="3">
                  <c:v>1436</c:v>
                </c:pt>
                <c:pt idx="4">
                  <c:v>500</c:v>
                </c:pt>
                <c:pt idx="5">
                  <c:v>531</c:v>
                </c:pt>
                <c:pt idx="6">
                  <c:v>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637</c:v>
                </c:pt>
                <c:pt idx="1">
                  <c:v>1258</c:v>
                </c:pt>
                <c:pt idx="2">
                  <c:v>298</c:v>
                </c:pt>
                <c:pt idx="3">
                  <c:v>219</c:v>
                </c:pt>
                <c:pt idx="4">
                  <c:v>121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191</c:v>
                </c:pt>
                <c:pt idx="1">
                  <c:v>151</c:v>
                </c:pt>
                <c:pt idx="2">
                  <c:v>252</c:v>
                </c:pt>
                <c:pt idx="3">
                  <c:v>292</c:v>
                </c:pt>
                <c:pt idx="4">
                  <c:v>304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7</c:v>
                </c:pt>
                <c:pt idx="1">
                  <c:v>2</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BlackRock, Inc.</c:v>
                </c:pt>
                <c:pt idx="1">
                  <c:v>Independent Franchise Partners LLP</c:v>
                </c:pt>
                <c:pt idx="2">
                  <c:v>Janus Henderson Group</c:v>
                </c:pt>
                <c:pt idx="3">
                  <c:v>Trian Fund Management, L.P.</c:v>
                </c:pt>
                <c:pt idx="4">
                  <c:v>Swedbank Robur Fonder AB</c:v>
                </c:pt>
                <c:pt idx="5">
                  <c:v>GIC Private Limited</c:v>
                </c:pt>
                <c:pt idx="6">
                  <c:v>Rentokil Initial Employee Share Trust</c:v>
                </c:pt>
              </c:strCache>
            </c:strRef>
          </c:cat>
          <c:val>
            <c:numRef>
              <c:f>Hoja1!$B$2:$B$8</c:f>
              <c:numCache>
                <c:formatCode>0.0"%"</c:formatCode>
                <c:ptCount val="7"/>
                <c:pt idx="0">
                  <c:v>13.44</c:v>
                </c:pt>
                <c:pt idx="1">
                  <c:v>4.98</c:v>
                </c:pt>
                <c:pt idx="2">
                  <c:v>5</c:v>
                </c:pt>
                <c:pt idx="3">
                  <c:v>2.56</c:v>
                </c:pt>
                <c:pt idx="4">
                  <c:v>2.97</c:v>
                </c:pt>
                <c:pt idx="6">
                  <c:v>0.39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39.5</c:v>
                </c:pt>
                <c:pt idx="1">
                  <c:v>43.1</c:v>
                </c:pt>
                <c:pt idx="2">
                  <c:v>6</c:v>
                </c:pt>
                <c:pt idx="3">
                  <c:v>34.3</c:v>
                </c:pt>
                <c:pt idx="4">
                  <c:v>12.5</c:v>
                </c:pt>
                <c:pt idx="5">
                  <c:v>14.6</c:v>
                </c:pt>
                <c:pt idx="6">
                  <c:v>-13</c:v>
                </c:pt>
                <c:pt idx="7">
                  <c:v>-13.2</c:v>
                </c:pt>
                <c:pt idx="8">
                  <c:v>-9.1</c:v>
                </c:pt>
                <c:pt idx="9">
                  <c:v>11.7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14.4</c:v>
                </c:pt>
                <c:pt idx="1">
                  <c:v>7.6</c:v>
                </c:pt>
                <c:pt idx="2">
                  <c:v>-12.5</c:v>
                </c:pt>
                <c:pt idx="3">
                  <c:v>12.1</c:v>
                </c:pt>
                <c:pt idx="4">
                  <c:v>-14.3</c:v>
                </c:pt>
                <c:pt idx="5">
                  <c:v>14.3</c:v>
                </c:pt>
                <c:pt idx="6">
                  <c:v>0.9</c:v>
                </c:pt>
                <c:pt idx="7">
                  <c:v>3.8</c:v>
                </c:pt>
                <c:pt idx="8">
                  <c:v>5.7</c:v>
                </c:pt>
                <c:pt idx="9">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17.9</c:v>
                </c:pt>
                <c:pt idx="1">
                  <c:v>15.5</c:v>
                </c:pt>
                <c:pt idx="2">
                  <c:v>13.4</c:v>
                </c:pt>
                <c:pt idx="3">
                  <c:v>12.6</c:v>
                </c:pt>
                <c:pt idx="4">
                  <c:v>13.6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13.5</c:v>
                </c:pt>
                <c:pt idx="1">
                  <c:v>13.5</c:v>
                </c:pt>
                <c:pt idx="2">
                  <c:v>13.5</c:v>
                </c:pt>
                <c:pt idx="3">
                  <c:v>13.5</c:v>
                </c:pt>
                <c:pt idx="4">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Rentokil</c:v>
                </c:pt>
                <c:pt idx="1">
                  <c:v>Rollins</c:v>
                </c:pt>
                <c:pt idx="2">
                  <c:v>Ecolab</c:v>
                </c:pt>
                <c:pt idx="3">
                  <c:v>Cintas</c:v>
                </c:pt>
                <c:pt idx="4">
                  <c:v>Elis</c:v>
                </c:pt>
                <c:pt idx="5">
                  <c:v>ISS</c:v>
                </c:pt>
                <c:pt idx="6">
                  <c:v>ABM Industries</c:v>
                </c:pt>
                <c:pt idx="7">
                  <c:v>Bunzl</c:v>
                </c:pt>
              </c:strCache>
            </c:strRef>
          </c:cat>
          <c:val>
            <c:numRef>
              <c:f>Hoja1!$B$2:$B$9</c:f>
              <c:numCache>
                <c:formatCode>0.0"x"</c:formatCode>
                <c:ptCount val="8"/>
                <c:pt idx="0">
                  <c:v>9.5</c:v>
                </c:pt>
                <c:pt idx="1">
                  <c:v>16.5</c:v>
                </c:pt>
                <c:pt idx="2">
                  <c:v>17.9</c:v>
                </c:pt>
                <c:pt idx="3">
                  <c:v>22.8</c:v>
                </c:pt>
                <c:pt idx="4">
                  <c:v>4.8</c:v>
                </c:pt>
                <c:pt idx="5">
                  <c:v>8.8</c:v>
                </c:pt>
                <c:pt idx="6">
                  <c:v>7.9</c:v>
                </c:pt>
                <c:pt idx="7">
                  <c:v>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Rentokil</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3.3</c:v>
                </c:pt>
              </c:numCache>
            </c:numRef>
          </c:xVal>
          <c:yVal>
            <c:numRef>
              <c:f>Hoja1!$C$2</c:f>
              <c:numCache>
                <c:formatCode>0.0"x"</c:formatCode>
                <c:ptCount val="1"/>
                <c:pt idx="0">
                  <c:v>9.5</c:v>
                </c:pt>
              </c:numCache>
            </c:numRef>
          </c:yVal>
          <c:smooth val="0"/>
        </c:ser>
        <c:ser>
          <c:idx val="1"/>
          <c:order val="1"/>
          <c:tx>
            <c:strRef>
              <c:f>Hoja1!$A$3</c:f>
              <c:strCache>
                <c:ptCount val="1"/>
                <c:pt idx="0">
                  <c:v>Rollins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8.6</c:v>
                </c:pt>
              </c:numCache>
            </c:numRef>
          </c:xVal>
          <c:yVal>
            <c:numRef>
              <c:f>Hoja1!$C$3</c:f>
              <c:numCache>
                <c:formatCode>0.0"x"</c:formatCode>
                <c:ptCount val="1"/>
                <c:pt idx="0">
                  <c:v>16.5</c:v>
                </c:pt>
              </c:numCache>
            </c:numRef>
          </c:yVal>
          <c:smooth val="0"/>
        </c:ser>
        <c:ser>
          <c:idx val="2"/>
          <c:order val="2"/>
          <c:tx>
            <c:strRef>
              <c:f>Hoja1!$A$4</c:f>
              <c:strCache>
                <c:ptCount val="1"/>
                <c:pt idx="0">
                  <c:v>Ecolab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c:v>
                </c:pt>
              </c:numCache>
            </c:numRef>
          </c:xVal>
          <c:yVal>
            <c:numRef>
              <c:f>Hoja1!$C$4</c:f>
              <c:numCache>
                <c:formatCode>0.0"x"</c:formatCode>
                <c:ptCount val="1"/>
                <c:pt idx="0">
                  <c:v>17.9</c:v>
                </c:pt>
              </c:numCache>
            </c:numRef>
          </c:yVal>
          <c:smooth val="0"/>
        </c:ser>
        <c:ser>
          <c:idx val="3"/>
          <c:order val="3"/>
          <c:tx>
            <c:strRef>
              <c:f>Hoja1!$A$5</c:f>
              <c:strCache>
                <c:ptCount val="1"/>
                <c:pt idx="0">
                  <c:v>Cintas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8.5</c:v>
                </c:pt>
              </c:numCache>
            </c:numRef>
          </c:xVal>
          <c:yVal>
            <c:numRef>
              <c:f>Hoja1!$C$5</c:f>
              <c:numCache>
                <c:formatCode>0.0"x"</c:formatCode>
                <c:ptCount val="1"/>
                <c:pt idx="0">
                  <c:v>22.8</c:v>
                </c:pt>
              </c:numCache>
            </c:numRef>
          </c:yVal>
          <c:smooth val="0"/>
        </c:ser>
        <c:ser>
          <c:idx val="4"/>
          <c:order val="4"/>
          <c:tx>
            <c:strRef>
              <c:f>Hoja1!$A$6</c:f>
              <c:strCache>
                <c:ptCount val="1"/>
                <c:pt idx="0">
                  <c:v>Elis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4.8</c:v>
                </c:pt>
              </c:numCache>
            </c:numRef>
          </c:xVal>
          <c:yVal>
            <c:numRef>
              <c:f>Hoja1!$C$6</c:f>
              <c:numCache>
                <c:formatCode>0.0"x"</c:formatCode>
                <c:ptCount val="1"/>
                <c:pt idx="0">
                  <c:v>4.8</c:v>
                </c:pt>
              </c:numCache>
            </c:numRef>
          </c:yVal>
          <c:smooth val="0"/>
        </c:ser>
        <c:ser>
          <c:idx val="5"/>
          <c:order val="5"/>
          <c:tx>
            <c:strRef>
              <c:f>Hoja1!$A$7</c:f>
              <c:strCache>
                <c:ptCount val="1"/>
                <c:pt idx="0">
                  <c:v>ISS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7.1</c:v>
                </c:pt>
              </c:numCache>
            </c:numRef>
          </c:xVal>
          <c:yVal>
            <c:numRef>
              <c:f>Hoja1!$C$7</c:f>
              <c:numCache>
                <c:formatCode>0.0"x"</c:formatCode>
                <c:ptCount val="1"/>
                <c:pt idx="0">
                  <c:v>8.8</c:v>
                </c:pt>
              </c:numCache>
            </c:numRef>
          </c:yVal>
          <c:smooth val="0"/>
        </c:ser>
        <c:ser>
          <c:idx val="6"/>
          <c:order val="6"/>
          <c:tx>
            <c:strRef>
              <c:f>Hoja1!$A$8</c:f>
              <c:strCache>
                <c:ptCount val="1"/>
                <c:pt idx="0">
                  <c:v>ABM Industries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4.5</c:v>
                </c:pt>
              </c:numCache>
            </c:numRef>
          </c:xVal>
          <c:yVal>
            <c:numRef>
              <c:f>Hoja1!$C$8</c:f>
              <c:numCache>
                <c:formatCode>0.0"x"</c:formatCode>
                <c:ptCount val="1"/>
                <c:pt idx="0">
                  <c:v>7.9</c:v>
                </c:pt>
              </c:numCache>
            </c:numRef>
          </c:yVal>
          <c:smooth val="0"/>
        </c:ser>
        <c:ser>
          <c:idx val="7"/>
          <c:order val="7"/>
          <c:tx>
            <c:strRef>
              <c:f>Hoja1!$A$9</c:f>
              <c:strCache>
                <c:ptCount val="1"/>
                <c:pt idx="0">
                  <c:v>Bunzl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2.4</c:v>
                </c:pt>
              </c:numCache>
            </c:numRef>
          </c:xVal>
          <c:yVal>
            <c:numRef>
              <c:f>Hoja1!$C$9</c:f>
              <c:numCache>
                <c:formatCode>0.0"x"</c:formatCode>
                <c:ptCount val="1"/>
                <c:pt idx="0">
                  <c:v>8.9</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Terminix Global Holdings (EE. UU., control de plagas y termitas)</c:v>
                </c:pt>
                <c:pt idx="1">
                  <c:v>UniFirst (EE. UU., uniformes y textil)</c:v>
                </c:pt>
                <c:pt idx="2">
                  <c:v>France Workwear (textil, lencería y salas blancas de Rentokil en Francia)</c:v>
                </c:pt>
                <c:pt idx="3">
                  <c:v>SOLitude Lake Management (EE. UU., gestión de lagos y estanques)</c:v>
                </c:pt>
                <c:pt idx="4">
                  <c:v>Saela Pest Control (EE. UU., plagas residenciales)</c:v>
                </c:pt>
              </c:strCache>
            </c:strRef>
          </c:cat>
          <c:val>
            <c:numRef>
              <c:f>Hoja1!$B$2:$B$6</c:f>
              <c:numCache>
                <c:formatCode>0.0"x"</c:formatCode>
                <c:ptCount val="5"/>
                <c:pt idx="0">
                  <c:v>14.3</c:v>
                </c:pt>
                <c:pt idx="1">
                  <c:v>17.6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705</c:v>
                </c:pt>
                <c:pt idx="1">
                  <c:v>735</c:v>
                </c:pt>
                <c:pt idx="2">
                  <c:v>768</c:v>
                </c:pt>
                <c:pt idx="3">
                  <c:v>810</c:v>
                </c:pt>
                <c:pt idx="4">
                  <c:v>853</c:v>
                </c:pt>
                <c:pt idx="5">
                  <c:v>902</c:v>
                </c:pt>
                <c:pt idx="6">
                  <c:v>936</c:v>
                </c:pt>
                <c:pt idx="7">
                  <c:v>966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4517</c:v>
                </c:pt>
                <c:pt idx="1">
                  <c:v>9028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3,97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2.54</c:v>
                </c:pt>
                <c:pt idx="1">
                  <c:v>3.82</c:v>
                </c:pt>
                <c:pt idx="2">
                  <c:v>4.85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3,97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(3,90 – 6,73)</c:v>
                </c:pt>
                <c:pt idx="1">
                  <c:v>Precio objetivo de los analistas (4,90 – 8,47)</c:v>
                </c:pt>
                <c:pt idx="2">
                  <c:v>Comparables: EV/EBITDA NTM (3,33 – 8,47)</c:v>
                </c:pt>
                <c:pt idx="3">
                  <c:v>Comparables: PER NTM (2,58 – 5,70)</c:v>
                </c:pt>
                <c:pt idx="4">
                  <c:v>Transacciones precedentes (EV/ventas) (3,82 – 4,97)</c:v>
                </c:pt>
                <c:pt idx="5">
                  <c:v>DCF (WACC y g ± 0,5) (3,17 – 4,73)</c:v>
                </c:pt>
                <c:pt idx="6">
                  <c:v>Escenarios (bajista – alcista) (2,54 – 4,85)</c:v>
                </c:pt>
                <c:pt idx="7">
                  <c:v>DCF con la prima implícita del mercado (4,2 %)</c:v>
                </c:pt>
                <c:pt idx="8">
                  <c:v>Precio actual (3,97)</c:v>
                </c:pt>
              </c:strCache>
            </c:strRef>
          </c:cat>
          <c:val>
            <c:numRef>
              <c:f>Hoja1!$B$2:$B$10</c:f>
              <c:numCache>
                <c:formatCode>#,##0.00</c:formatCode>
                <c:ptCount val="9"/>
                <c:pt idx="0">
                  <c:v>3.9</c:v>
                </c:pt>
                <c:pt idx="1">
                  <c:v>4.9</c:v>
                </c:pt>
                <c:pt idx="2">
                  <c:v>3.33</c:v>
                </c:pt>
                <c:pt idx="3">
                  <c:v>2.58</c:v>
                </c:pt>
                <c:pt idx="4">
                  <c:v>3.82</c:v>
                </c:pt>
                <c:pt idx="5">
                  <c:v>3.17</c:v>
                </c:pt>
                <c:pt idx="6">
                  <c:v>2.54</c:v>
                </c:pt>
                <c:pt idx="7">
                  <c:v>4.17</c:v>
                </c:pt>
                <c:pt idx="8">
                  <c:v>3.95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(3,90 – 6,73)</c:v>
                </c:pt>
                <c:pt idx="1">
                  <c:v>Precio objetivo de los analistas (4,90 – 8,47)</c:v>
                </c:pt>
                <c:pt idx="2">
                  <c:v>Comparables: EV/EBITDA NTM (3,33 – 8,47)</c:v>
                </c:pt>
                <c:pt idx="3">
                  <c:v>Comparables: PER NTM (2,58 – 5,70)</c:v>
                </c:pt>
                <c:pt idx="4">
                  <c:v>Transacciones precedentes (EV/ventas) (3,82 – 4,97)</c:v>
                </c:pt>
                <c:pt idx="5">
                  <c:v>DCF (WACC y g ± 0,5) (3,17 – 4,73)</c:v>
                </c:pt>
                <c:pt idx="6">
                  <c:v>Escenarios (bajista – alcista) (2,54 – 4,85)</c:v>
                </c:pt>
                <c:pt idx="7">
                  <c:v>DCF con la prima implícita del mercado (4,2 %)</c:v>
                </c:pt>
                <c:pt idx="8">
                  <c:v>Precio actual (3,97)</c:v>
                </c:pt>
              </c:strCache>
            </c:strRef>
          </c:cat>
          <c:val>
            <c:numRef>
              <c:f>Hoja1!$C$2:$C$10</c:f>
              <c:numCache>
                <c:formatCode>#,##0.00</c:formatCode>
                <c:ptCount val="9"/>
                <c:pt idx="0">
                  <c:v>2.8300000000000005</c:v>
                </c:pt>
                <c:pt idx="1">
                  <c:v>3.5700000000000003</c:v>
                </c:pt>
                <c:pt idx="2">
                  <c:v>5.140000000000001</c:v>
                </c:pt>
                <c:pt idx="3">
                  <c:v>3.12</c:v>
                </c:pt>
                <c:pt idx="4">
                  <c:v>1.15</c:v>
                </c:pt>
                <c:pt idx="5">
                  <c:v>1.5600000000000005</c:v>
                </c:pt>
                <c:pt idx="6">
                  <c:v>2.3099999999999996</c:v>
                </c:pt>
                <c:pt idx="7">
                  <c:v>1.2400000000000002</c:v>
                </c:pt>
                <c:pt idx="8">
                  <c:v>0.040000000000000036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