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Repsol, S.A.</w:t>
      </w:r>
    </w:p>
    <w:p>
      <w:pPr>
        <w:spacing w:after="60"/>
        <w:rPr>
          <w:color w:val="52514E"/>
          <w:sz w:val="22"/>
          <w:szCs w:val="22"/>
        </w:rPr>
      </w:pPr>
      <w:r>
        <w:rPr>
          <w:color w:val="52514E"/>
          <w:sz w:val="22"/>
          <w:szCs w:val="22"/>
        </w:rPr>
        <w:t xml:space="preserve">REP · Bolsa de Madrid (Mercado Continuo) · ISIN ES0173516115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29,62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23,46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-17,5 % (base -15,9 %)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26,25 EUR · mercado 30,33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Repsol,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REP / ES0173516115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www.repsol.com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31,64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32.274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39.121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23,46 EUR</w:t>
      </w:r>
      <w:r>
        <w:t xml:space="preserve"> frente a 29,62 · Rentabilidad a 12 meses </w:t>
      </w:r>
      <w:r>
        <w:rPr>
          <w:b/>
          <w:bCs/>
        </w:rPr>
        <w:t xml:space="preserve">-17,5 % (base -15,9 %)</w:t>
      </w:r>
      <w:r>
        <w:t xml:space="preserve"> · Valor intrínseco 26,25 EUR · con la prima implícita del mercado: 30,33 (+2,4 %) · Alcista / bajista +25,7 % / -49,9 %</w:t>
      </w:r>
    </w:p>
    <w:p>
      <w:pPr>
        <w:spacing w:after="100"/>
      </w:pPr>
      <w:r>
        <w:rPr>
          <w:b/>
        </w:rPr>
        <w:t xml:space="preserve">La recomendación y por qué.</w:t>
      </w:r>
      <w:r>
        <w:t xml:space="preserve"> Vender, con convicción media. Nuestro objetivo a 12 meses es de 23,46 EUR frente a 29,62 EUR de precio: una rentabilidad ponderada del −17,5 % y del −15,9 % en el caso base, con el dividendo. El valor intrínseco, 26,25 EUR, también queda por debajo del precio (−11,4 %), y el objetivo medio de los analistas (28,51 EUR) ya ha sido superado [28]. La razón: la acción ha subido un 85,5 % en 2026 con el Brent por encima de 100 USD y el precio descuenta que ese beneficio dura más de lo que el ciclo suele permitir. La convicción es media y no alta porque la cifra depende de un supuesto que nadie controla, el Brent de 2027-28: con un Brent de 85 USD sostenido (nuestro alcista) la acción valdría 32,47 EUR; bajaríamos a Mantener si el Brent se mantiene por encima de 90 USD hasta los resultados del 4T26.</w:t>
      </w:r>
    </w:p>
    <w:p>
      <w:pPr>
        <w:spacing w:after="100"/>
      </w:pPr>
      <w:r>
        <w:rPr>
          <w:b/>
        </w:rPr>
        <w:t xml:space="preserve">El negocio.</w:t>
      </w:r>
      <w:r>
        <w:t xml:space="preserve"> Repsol es una petrolera integrada sin poder de precios: el beneficio lo marcan el crudo y el margen de refino. El ajustado del 1S26 (2.711 M) iguala todo 2025 (2.568 M) [2, 5]. Nuestra estimación del ROIC de 2025 es del 8,6 %, cerca del WACC (8,98 %): crea valor en los años altos y lo destruye en los bajos, y los 1.333 M de deterioros del 1S26 en química y renovables lo confirman [5]. La calidad de la empresa sostiene el crecimiento que proyectamos (veredicto «Sí»), porque no proyectamos crecimiento: las ventas bajan en 2027-28 desde el pico y luego crecen al 2 %.</w:t>
      </w:r>
    </w:p>
    <w:p>
      <w:pPr>
        <w:spacing w:after="100"/>
      </w:pPr>
      <w:r>
        <w:rPr>
          <w:b/>
        </w:rPr>
        <w:t xml:space="preserve">Sector y ciclo.</w:t>
      </w:r>
      <w:r>
        <w:t xml:space="preserve"> Estamos en la parte alta de un choque de oferta: guerra de Irán, Ormuz cerrado de hecho y Brent de 103,8 USD en el 2T26 [7, 23]. En 2022 pasó lo mismo con Ucrania y el EBITDA CCS bajó de 13.710 M a 8.060 M en dos años [9].</w:t>
      </w:r>
    </w:p>
    <w:p>
      <w:pPr>
        <w:spacing w:after="100"/>
      </w:pPr>
      <w:r>
        <w:rPr>
          <w:b/>
        </w:rPr>
        <w:t xml:space="preserve">Finanzas.</w:t>
      </w:r>
      <w:r>
        <w:t xml:space="preserve"> Balance sano: deuda neta de 3.667 M con arrendamientos a junio (11,3 % de apalancamiento), tras la caja del semestre y la venta del 49,99 % de 705 MW a Masdar [5, 8]. La retribución, del 30-40 % del flujo operativo, da un 3,3 % de dividendo y 850 M de recompras en 2026 [3]. El beneficio neto se mueve cientos de millones por el efecto inventario (823 M a favor en el semestre) [14].</w:t>
      </w:r>
    </w:p>
    <w:p>
      <w:pPr>
        <w:spacing w:after="100"/>
      </w:pPr>
      <w:r>
        <w:rPr>
          <w:b/>
        </w:rPr>
        <w:t xml:space="preserve">Equipo y gobierno.</w:t>
      </w:r>
      <w:r>
        <w:t xml:space="preserve"> Sin accionista de control y con presidente no ejecutivo; la dirección cumplió la retribución prometida en 2025 con el Brent a la baja [36, 38]. La cúpula lleva desde 2004 y 2014 sin sucesión anunciada.</w:t>
      </w:r>
    </w:p>
    <w:p>
      <w:pPr>
        <w:spacing w:after="100"/>
      </w:pPr>
      <w:r>
        <w:rPr>
          <w:b/>
        </w:rPr>
        <w:t xml:space="preserve">Valoración.</w:t>
      </w:r>
      <w:r>
        <w:t xml:space="preserve"> El DCF da 25,92 EUR y el precio descuenta un crecimiento del 1,7 % anual en 2027-35 frente al 0,1 % de nuestro base, o un margen del 13,8 % frente al 13,0 %. Frente a su coste de capital está cara; con la prima que hoy pide el mercado (DCF de 31,36 EUR) está en precio. Los comparables (PER de 9,3 veces frente a 9,8 de mediana) no avisan porque llevan el mismo Brent. A 12 meses usamos EV/EBITDA 2028e (4,0 veces en el base, por encima de su mediana de 3,1) porque el PER de los años limpios sale de beneficios de pico.</w:t>
      </w:r>
    </w:p>
    <w:p>
      <w:pPr>
        <w:spacing w:after="100"/>
      </w:pPr>
      <w:r>
        <w:rPr>
          <w:b/>
        </w:rPr>
        <w:t xml:space="preserve">Riesgos y catalizadores.</w:t>
      </w:r>
      <w:r>
        <w:t xml:space="preserve"> El mayor riesgo para la tesis vendedora es que el Brent siga alto: el alcista da +12,9 % a 12 meses. El riesgo para el accionista es el contrario: un acuerdo con Irán lleva al bajista (13,48 EUR). Catalizadores: resultados del 3T26 el 29-oct y la tercera recompra en octubre [3, 28]. Los foros y la prensa están divididos y señalan la dependencia del Brent [24, 58].</w:t>
      </w:r>
    </w:p>
    <w:p>
      <w:pPr>
        <w:spacing w:after="100"/>
      </w:pPr>
      <w:r>
        <w:rPr>
          <w:b/>
        </w:rPr>
        <w:t xml:space="preserve">Qué cambiaría la decisión.</w:t>
      </w:r>
      <w:r>
        <w:t xml:space="preserve"> Compraríamos por debajo de 21,25 EUR y mantendríamos entre 21,25 y 27,15 EUR. Revisaríamos al alza si el Brent de futuros a 2028 supera 85 USD o si la tercera recompra pasa de 1.000 M.</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Media · Horizonte: 12 meses · Objetivo a 12 meses: </w:t>
      </w:r>
      <w:r>
        <w:rPr>
          <w:b/>
          <w:bCs/>
        </w:rPr>
        <w:t xml:space="preserve">23,46 EUR</w:t>
      </w:r>
      <w:r>
        <w:t xml:space="preserve"> (rentabilidad -17,5 % (base -15,9 %)) · Valor intrínseco: 26,25 EUR (-11,4 % sobre 29,62) · con la prima implícita del mercado: 30,33 (+2,4 %)</w:t>
      </w:r>
    </w:p>
    <w:p>
      <w:pPr>
        <w:spacing w:after="100"/>
      </w:pPr>
      <w:r>
        <w:t xml:space="preserve">Repsol es una integrada española con 558.000 barriles diarios de producción, cinco refinerías de alta conversión en España y una red minorista ibérica [7]. Su beneficio sigue al crudo y al refino: 2.568 M de ajustado en 2025 con el Brent a 69 USD y 2.711 M solo en el 1S26 con el Brent a 92 USD [2, 5]. Devuelve el 30-40 % del flujo operativo y amortiza acciones [3, 20].</w:t>
      </w:r>
    </w:p>
    <w:p>
      <w:pPr>
        <w:spacing w:after="100"/>
      </w:pPr>
      <w:r>
        <w:t xml:space="preserve">El precio (29,62 EUR, +85,5 % en el año) descuenta un crecimiento del 1,7 % anual en 2027-35 frente al 0,1 % de nuestro caso base: el mercado no espera que el EBITDA vuelva a los 7.700-8.000 M de 2024-25. A 4,9 veces el EBITDA de los próximos 12 meses y 9,3 veces el beneficio, cotiza como sus pares, sin el descuento de los últimos años.</w:t>
      </w:r>
    </w:p>
    <w:p>
      <w:pPr>
        <w:spacing w:after="100"/>
      </w:pPr>
      <w:r>
        <w:t xml:space="preserve">Para invertir hay que creer que el Brent se queda por encima de 85 USD hasta 2028 o que el mercado pagará un múltiplo de mitad de ciclo sobre beneficios de pico. La historia de 2022-24 dice lo contrario: el beneficio de pico duró dos años y la acción bajó un 21 % entre 2022 y 2024 pese a ganar más que nunca.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 × 2,04 = 13,48 · 4,0x × 2,69 = 23,94 · 4,5x × 3,27 = 32,47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 (nuestro base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 / -49,9 %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9,0 %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financiable al ROIC actual: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-8,1 % (&gt; −20 %); con la prima del mercado, 5,7 % (&gt; −15 %); el precio pide 1,6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21,25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21,25 y 27,15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27,15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27,15 EUR: pasaríamos a Mantener; por debajo de 21,25 EUR, a Comprar.</w:t>
      </w:r>
    </w:p>
    <w:p>
      <w:pPr>
        <w:pStyle w:val="ListParagraph"/>
        <w:numPr>
          <w:ilvl w:val="0"/>
          <w:numId w:val="2"/>
        </w:numPr>
        <w:spacing w:after="60"/>
      </w:pPr>
      <w:r>
        <w:t xml:space="preserve">Brent de futuros a 2028 por encima de 85 USD durante un trimestre: revisaríamos el caso base al alza.</w:t>
      </w:r>
    </w:p>
    <w:p>
      <w:pPr>
        <w:pStyle w:val="ListParagraph"/>
        <w:numPr>
          <w:ilvl w:val="0"/>
          <w:numId w:val="2"/>
        </w:numPr>
        <w:spacing w:after="60"/>
      </w:pPr>
      <w:r>
        <w:t xml:space="preserve">Tercera recompra de 2026 por encima de 1.000 M: subiría la retribución y el BPA de 2028.</w:t>
      </w:r>
    </w:p>
    <w:p>
      <w:pPr>
        <w:pStyle w:val="ListParagraph"/>
        <w:numPr>
          <w:ilvl w:val="0"/>
          <w:numId w:val="2"/>
        </w:numPr>
        <w:spacing w:after="60"/>
      </w:pPr>
      <w:r>
        <w:t xml:space="preserve">Indicador de margen de refino por debajo de 8 USD/barril en el 3T26: subiría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Brent se queda alto bastante tiempo y que Repsol ha dejado de merecer descuento: el precio supera el objetivo medio de los analistas (28,51 EUR) y descuenta un margen del 13,8 % en 2027-35.</w:t>
      </w:r>
    </w:p>
    <w:p>
      <w:pPr>
        <w:keepNext/>
        <w:spacing w:after="100"/>
      </w:pPr>
      <w:r>
        <w:rPr>
          <w:b/>
          <w:bCs/>
        </w:rPr>
        <w:t xml:space="preserve">Lo que creemos nosotros.</w:t>
      </w:r>
    </w:p>
    <w:p>
      <w:pPr>
        <w:spacing w:after="100"/>
      </w:pPr>
      <w:r>
        <w:t xml:space="preserve">El beneficio de 2026 es de pico: en 2028 el EBITDA vuelve a unos 8.200 M y a 4,0 veces vale 23,94 EUR por acción. El dividendo (3,3 %) no compensa la bajada del beneficio.</w:t>
      </w:r>
    </w:p>
    <w:p>
      <w:pPr>
        <w:keepNext/>
        <w:spacing w:after="100"/>
      </w:pPr>
      <w:r>
        <w:rPr>
          <w:b/>
          <w:bCs/>
        </w:rPr>
        <w:t xml:space="preserve">Por qué podemos tener razón.</w:t>
      </w:r>
    </w:p>
    <w:p>
      <w:pPr>
        <w:spacing w:after="100"/>
      </w:pPr>
      <w:r>
        <w:t xml:space="preserve">Porque ya pasó en 2022-24, con un choque de oferta parecido, y porque el cierre de Ormuz es un riesgo político que el mercado del crudo ha resuelto antes (la caída por debajo de 100 USD tras el anuncio de conversaciones) [23, 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Balance sano</w:t>
      </w:r>
      <w:r>
        <w:t xml:space="preserve">: deuda neta de 3.667 M con arrendamientos y 11,3 % de apalancamiento [5].</w:t>
      </w:r>
    </w:p>
    <w:p>
      <w:pPr>
        <w:pStyle w:val="ListParagraph"/>
        <w:numPr>
          <w:ilvl w:val="0"/>
          <w:numId w:val="2"/>
        </w:numPr>
        <w:spacing w:after="60"/>
      </w:pPr>
      <w:r>
        <w:rPr>
          <w:b/>
        </w:rPr>
        <w:t xml:space="preserve">Retribución creciente</w:t>
      </w:r>
      <w:r>
        <w:t xml:space="preserve">: dividendo de 1,051 EUR (+7,8 %) y 850 M de recompras en 2026, con una tercera en octubre [3, 19].</w:t>
      </w:r>
    </w:p>
    <w:p>
      <w:pPr>
        <w:pStyle w:val="ListParagraph"/>
        <w:numPr>
          <w:ilvl w:val="0"/>
          <w:numId w:val="2"/>
        </w:numPr>
        <w:spacing w:after="60"/>
      </w:pPr>
      <w:r>
        <w:rPr>
          <w:b/>
        </w:rPr>
        <w:t xml:space="preserve">Refino de alta conversión</w:t>
      </w:r>
      <w:r>
        <w:t xml:space="preserve">: 14 USD/barril de margen en el 2T26 [7].</w:t>
      </w:r>
    </w:p>
    <w:p>
      <w:pPr>
        <w:pStyle w:val="ListParagraph"/>
        <w:numPr>
          <w:ilvl w:val="0"/>
          <w:numId w:val="2"/>
        </w:numPr>
        <w:spacing w:after="60"/>
      </w:pPr>
      <w:r>
        <w:rPr>
          <w:b/>
        </w:rPr>
        <w:t xml:space="preserve">Crecimiento de producción</w:t>
      </w:r>
      <w:r>
        <w:t xml:space="preserve">: Pikka y EE. UU. llevan a 580.000-600.000 barriles diarios en 2028 [6].</w:t>
      </w:r>
    </w:p>
    <w:p>
      <w:pPr>
        <w:pStyle w:val="Heading2"/>
      </w:pPr>
      <w:r>
        <w:t xml:space="preserve">En contra</w:t>
      </w:r>
    </w:p>
    <w:p>
      <w:pPr>
        <w:pStyle w:val="ListParagraph"/>
        <w:numPr>
          <w:ilvl w:val="0"/>
          <w:numId w:val="2"/>
        </w:numPr>
        <w:spacing w:after="60"/>
      </w:pPr>
      <w:r>
        <w:rPr>
          <w:b/>
        </w:rPr>
        <w:t xml:space="preserve">Beneficio de pico</w:t>
      </w:r>
      <w:r>
        <w:t xml:space="preserve">: el 1S26 iguala todo 2025 por el Brent de 92 USD [5].</w:t>
      </w:r>
    </w:p>
    <w:p>
      <w:pPr>
        <w:pStyle w:val="ListParagraph"/>
        <w:numPr>
          <w:ilvl w:val="0"/>
          <w:numId w:val="2"/>
        </w:numPr>
        <w:spacing w:after="60"/>
      </w:pPr>
      <w:r>
        <w:rPr>
          <w:b/>
        </w:rPr>
        <w:t xml:space="preserve">Precio por encima del consenso</w:t>
      </w:r>
      <w:r>
        <w:t xml:space="preserve">: 29,62 EUR frente a 28,51 EUR de objetivo medio [28].</w:t>
      </w:r>
    </w:p>
    <w:p>
      <w:pPr>
        <w:pStyle w:val="ListParagraph"/>
        <w:numPr>
          <w:ilvl w:val="0"/>
          <w:numId w:val="2"/>
        </w:numPr>
        <w:spacing w:after="60"/>
      </w:pPr>
      <w:r>
        <w:rPr>
          <w:b/>
        </w:rPr>
        <w:t xml:space="preserve">Asimetría desfavorable</w:t>
      </w:r>
      <w:r>
        <w:t xml:space="preserve">: +25,7 % en el alcista frente a −49,9 % en el bajista.</w:t>
      </w:r>
    </w:p>
    <w:p>
      <w:pPr>
        <w:pStyle w:val="ListParagraph"/>
        <w:numPr>
          <w:ilvl w:val="0"/>
          <w:numId w:val="2"/>
        </w:numPr>
        <w:spacing w:after="60"/>
      </w:pPr>
      <w:r>
        <w:rPr>
          <w:b/>
        </w:rPr>
        <w:t xml:space="preserve">ROIC cerca del WACC</w:t>
      </w:r>
      <w:r>
        <w:t xml:space="preserve"> fuera de los años altos (8,6 % estimado en 2025) y 1.333 M de deterioros en el 1S26 [5].</w:t>
      </w:r>
    </w:p>
    <w:p>
      <w:pPr>
        <w:pStyle w:val="ListParagraph"/>
        <w:numPr>
          <w:ilvl w:val="0"/>
          <w:numId w:val="2"/>
        </w:numPr>
        <w:spacing w:after="60"/>
      </w:pPr>
      <w:r>
        <w:rPr>
          <w:b/>
        </w:rPr>
        <w:t xml:space="preserve">Riesgo fiscal en España</w:t>
      </w:r>
      <w:r>
        <w:t xml:space="preserve"> cuando los márgenes son altos [29].</w:t>
      </w:r>
    </w:p>
    <w:p>
      <w:pPr>
        <w:pStyle w:val="Heading2"/>
      </w:pPr>
      <w:r>
        <w:t xml:space="preserve">Qué tiene que pasar para que la tesis funcione</w:t>
      </w:r>
    </w:p>
    <w:p>
      <w:pPr>
        <w:spacing w:after="100"/>
      </w:pPr>
      <w:r>
        <w:t xml:space="preserve">La tesis depende de que el Brent y el margen de refino bajen en 2027. La señal de que no se cumple: Brent por encima de 90 USD y margen de refino por encima de 12 USD/barril en los resultados del 4T26, o una guía de 2027 con precios altos.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100 USD en septiembre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USD o &gt; 90 USD sostenido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de margen de refino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USD/barril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USD/barril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fue el 67 % del ajustado del 2T26.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558.000 barriles diarios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560.000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recompra.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 / 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9,3x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Repsol nació en 1987 como grupo petrolero público español y se privatizó por completo en 1997. En 1999 compró la argentina YPF, que el Gobierno argentino expropió en 2012 (Repsol cobró una compensación en bonos en 2014). En 2015 compró la canadiense Talisman, que la llevó a Norteamérica y al Reino Unido. Desde 2018 añade renovables y negocio de cliente, y en 2021-22 vendió el 25 % de sus renovables y de su Upstream a socios financieros. El plan 2026-2028 concentra la inversión en España, Portugal y Estados Unidos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Expropiación del 51 % de YPF por Argentina.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Talisman Energy.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con la guerra de Ucrania: EBITDA CCS de 13.710 M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10.000 M de inversión hasta 2028, producción de 580.000-600.000 barriles diarios en 2028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con Irán y cierre de Ormuz: el Brent supera los 110 USD y el 1S26 da 2.711 M de ajustado [23,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49,99 % de 705 MW renovables a Masdar [25].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Repsol es una energética integrada española con cuatro negocios desde el nuevo modelo de información de 2025: Upstream (exploración y producción de crudo y gas, 548.000 barriles equivalentes al día en 2025, con Estados Unidos, Reino Unido, Brasil, Libia, Perú y Trinidad como focos), Industrial (cinco refinerías en España y una en Perú, química y trading), Cliente (estaciones de servicio, GLP, electricidad y gas a clientes minoristas) y Generación baja en carbono (renovables en España, Estados Unidos y Chile) [1, 2, 4]. Más de la mitad de la inversión 2026-2028 (10.000 M) se queda en España y Portugal [6].</w:t>
      </w:r>
    </w:p>
    <w:p>
      <w:pPr>
        <w:pStyle w:val="Heading2"/>
      </w:pPr>
      <w:r>
        <w:t xml:space="preserve">Cómo gana dinero</w:t>
      </w:r>
    </w:p>
    <w:p>
      <w:pPr>
        <w:spacing w:after="100"/>
      </w:pPr>
      <w:r>
        <w:t xml:space="preserve">El beneficio depende de dos precios que la empresa no controla: el del crudo y el gas (Upstream) y el margen de refino (Industrial). En el primer semestre de 2026, con el Brent en 92,3 USD de media por la guerra de Irán y el cierre de Ormuz, el resultado neto ajustado se duplicó hasta 2.711 M y el Industrial aportó 1.680 M [3, 5]; en 2025, con el Brent a 69,1 USD, el ajustado fue de 2.568 M (−15 %) [2]. El indicador de margen de refino llegó a 14 USD/barril en el 2T26 [7]. Cliente y renovables dan una base más estable. El apalancamiento operativo es alto: el ajustado del 2T26 triplicó el del 2T25 (1.840 frente a 598 M) [3].</w:t>
      </w:r>
    </w:p>
    <w:p>
      <w:pPr>
        <w:pStyle w:val="Heading2"/>
      </w:pPr>
      <w:r>
        <w:t xml:space="preserve">Clientes, recurrencia y poder de precios</w:t>
      </w:r>
    </w:p>
    <w:p>
      <w:pPr>
        <w:spacing w:after="100"/>
      </w:pPr>
      <w:r>
        <w:t xml:space="preserve">Negocio de materias primas sin concentración de clientes relevante: el crudo y los productos se venden a precio de mercado internacional, y el negocio Cliente atiende a millones de consumidores en España y Portugal. El poder de precios es nulo en Upstream y parcial en Industrial (el margen lo fija el mercado de destilados del Atlántico). La ventaja de Repsol está en la complejidad de sus refinerías, que en 2026 capturan márgenes de 14 USD/barril [7], y en la red de estaciones de servicio de la península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(miles de barriles equivalentes/día)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Pikka (Alaska) produce desde mayo de 2026; guía 2026: 560-570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medio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Dated Brent de 103,8 USD en el 2T26 [2,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de margen de refino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Diferenciales de diésel, queroseno y gasolina altos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neto ajustado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 todo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1.680 M en el semestre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 (dic-25, modelo nuevo)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desconsolidación de la cartera vendida a Masdar [5,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Petroleras integradas europeas: producción de crudo y gas, refino y comercialización de combustibles, con negocios de electricidad y renovables en crecimiento. El precio lo fija el mercado mundial del crudo (Brent) y el margen de refino del Atlántico, así que el mercado relevante es global y la cuota de Repsol no es significativa; por eso no se da tamaño en 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USD de media en 2025; 92,3 USD en el 1S26 y 103,8 USD en el 2T26 por la guerra de Irán [4, 7,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de destilados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Repsol en 14 USD/barril en el 2T26 [7]; AlphaValue subía a 7 USD su previsión de 2026 en diciembre de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y regulación europea del CO2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1.333 M en química y renovables en Chile en el 1S26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producción en Estados Unidos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Pikka en producción desde mayo de 2026; 40 % de la producción de 2028 en EE. UU. [7,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fijado por el mercado; la rivalidad está en costes y en la red minorista.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en el negocio minorista; materias primas con mercado líquido.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Gobiernos anfitriones (Libia, Venezuela, Argelia) imponen condiciones fiscales y de producción.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y yacimientos exigen miles de millones y permisos.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del transporte en Europa a largo plazo.</w:t>
            </w:r>
          </w:p>
        </w:tc>
      </w:tr>
    </w:tbl>
    <w:p>
      <w:pPr>
        <w:spacing w:after="160" w:before="0"/>
      </w:pPr>
    </w:p>
    <w:p>
      <w:pPr>
        <w:pStyle w:val="Heading2"/>
      </w:pPr>
      <w:r>
        <w:t xml:space="preserve">Ciclo</w:t>
      </w:r>
    </w:p>
    <w:p>
      <w:pPr>
        <w:spacing w:after="100"/>
      </w:pPr>
      <w:r>
        <w:t xml:space="preserve">Pico de precios por un choque de oferta: el Brent pasó de 69 USD (2025) a más de 110 USD en marzo-abril de 2026 con el cierre de Ormuz, cayó por debajo de 100 USD tras el anuncio de conversaciones con Irán y volvió a superar 100 USD en septiembre [4, 23, 28]. En 2022 el ciclo fue parecido: EBITDA récord y vuelta a la media en dos años (9.864 M en 2023, 8.060 M en 2024) [9]. En 2020 Repsol tuvo pérdidas.</w:t>
      </w:r>
    </w:p>
    <w:p>
      <w:pPr>
        <w:pStyle w:val="Heading2"/>
      </w:pPr>
      <w:r>
        <w:t xml:space="preserve">Regulación</w:t>
      </w:r>
    </w:p>
    <w:p>
      <w:pPr>
        <w:spacing w:after="100"/>
      </w:pPr>
      <w:r>
        <w:t xml:space="preserve">Repsol pide al Gobierno español no recargar la fiscalidad de las energéticas; el impuesto temporal de 2023-24 restó beneficio en España [29]. El presidente reivindicó en la junta de mayo de 2026 el papel estratégico del refino europeo frente a la normativa de CO2 de la UE [30].</w:t>
      </w:r>
    </w:p>
    <w:p>
      <w:pPr>
        <w:pStyle w:val="Heading2"/>
      </w:pPr>
      <w:r>
        <w:t xml:space="preserve">Tendencias y disrupción</w:t>
      </w:r>
    </w:p>
    <w:p>
      <w:pPr>
        <w:spacing w:after="100"/>
      </w:pPr>
      <w:r>
        <w:t xml:space="preserve">La demanda de combustibles en Europa cae a largo plazo y la de electricidad sube. Repsol rota renovables (ocho operaciones, 3.850 MW) para financiar su crecimiento y concentra la inversión en Upstream de EE. UU. y en combustibles renovables [21, 25].</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refinadora de España con cinco refinerías; productor mediano de crudo y gas (≈560.000 barriles diarios) frente a majors de más de 2 millones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Major integrada; PER 2026e de 8,2 veces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mediterránea; PER 2026e de 8,5 veces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Galp Energia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la península (refino de Sines y estaciones)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 de Castellón y red en España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Moeve (antes Cepsa)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refinadora española, no cotiza.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petrolera.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y fidelización en estaciones; bajos.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minorista en España y licencias de exploración.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de alta conversión: 14 USD/barril de margen en el 2T26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refinerías y logística ibérica difíciles de replicar.</w:t>
            </w:r>
          </w:p>
        </w:tc>
      </w:tr>
    </w:tbl>
    <w:p>
      <w:pPr>
        <w:spacing w:after="160" w:before="0"/>
      </w:pPr>
    </w:p>
    <w:p>
      <w:pPr>
        <w:pStyle w:val="Heading2"/>
      </w:pPr>
      <w:r>
        <w:t xml:space="preserve">Amenazas</w:t>
      </w:r>
    </w:p>
    <w:p>
      <w:pPr>
        <w:spacing w:after="100"/>
      </w:pPr>
      <w:r>
        <w:t xml:space="preserve">La electrificación del transporte y el endurecimiento del régimen europeo de CO2 erosionan el valor del refino a largo plazo; el riesgo regulatorio en España (impuestos extraordinarios) aparece cuando los márgenes son altos, como ahora [29,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r>
    </w:tbl>
    <w:p>
      <w:pPr>
        <w:spacing w:after="160" w:before="0"/>
      </w:pPr>
    </w:p>
    <w:p>
      <w:pPr>
        <w:spacing w:after="100"/>
      </w:pPr>
      <w:r>
        <w:t xml:space="preserve">Crecimiento anual compuesto 2021-2025: ingresos </w:t>
      </w:r>
      <w:r>
        <w:rPr>
          <w:b/>
          <w:bCs/>
        </w:rPr>
        <w:t xml:space="preserve">3,7 %</w:t>
      </w:r>
      <w:r>
        <w:t xml:space="preserve">, EBITDA </w:t>
      </w:r>
      <w:r>
        <w:rPr>
          <w:b/>
          <w:bCs/>
        </w:rPr>
        <w:t xml:space="preserve">2,1 %</w:t>
      </w:r>
      <w:r>
        <w:t xml:space="preserve">, BPA </w:t>
      </w:r>
      <w:r>
        <w:rPr>
          <w:b/>
          <w:bCs/>
        </w:rPr>
        <w:t xml:space="preserve">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Ingresos y EBITDA siguen al Brent y al margen de refino: 49.480 M en 2021, pico de 74.828 M en 2022 (guerra de Ucrania, EBITDA CCS récord de 13.710 M), y vuelta a 57.000-58.500 M en 2023-25 con el EBITDA bajando de 9.864 a 7.678 M [9, 10, 11]. El beneficio neto atribuido pasó de 4.251 M en 2022 a 1.756 M en 2024 y 1.899 M en 2025 (+8,1 %) [2, 12]. El ajustado, que quita el efecto de los inventarios y los extraordinarios, cayó de 6.774 M (2022) a 5.011 M (2023), 3.327 M (2024) y 2.568 M (2025, ya en el nuevo modelo de información) [2, 12]. En 2026 el ciclo ha dado la vuelta: 873 M de ajustado en el 1T y 1.840 M en el 2T, con el Brent por encima de 100 USD y márgenes de refino de 14 USD/barril [3, 7, 13]. Las amortizaciones se derivan como EBITDA − EBIT del mismo proveedor (estimación propia).</w:t>
      </w:r>
    </w:p>
    <w:p>
      <w:pPr>
        <w:pStyle w:val="Heading2"/>
      </w:pPr>
      <w:r>
        <w:t xml:space="preserve">Ajustes y partidas no recurrentes</w:t>
      </w:r>
    </w:p>
    <w:p>
      <w:pPr>
        <w:spacing w:after="100"/>
      </w:pPr>
      <w:r>
        <w:t xml:space="preserve">Repsol publica tres beneficios: el neto atribuido (NIIF-UE), el neto ajustado (a coste corriente de suministro, sin efecto patrimonial de los inventarios ni extraordinarios) y, desde 2025, un nuevo modelo de información por segmentos que reexpresa 2024. Las diferencias son grandes: en el 1S26 el neto fue de 2.201 M, con 823 M de revalorización de existencias y 1.333 M de deterioros y provisiones (química y renovables en Chile), frente a 2.711 M de ajustado [5, 14]. La cuenta de este informe usa el EBITDA y el EBIT CCS de MarketScreener, que coinciden con el EBITDA CCS de la conciliación de Repsol de 2021-22 [10]; el EBITDA ajustado del nuevo modelo de 2025 es menor (5.312 M) porque cambia el perímetro de las participadas [11].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54"/>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pStyle w:val="Heading2"/>
      </w:pPr>
      <w:r>
        <w:t xml:space="preserve">Lo que dijo la dirección en las últimas presentaciones</w:t>
      </w:r>
    </w:p>
    <w:p>
      <w:pPr>
        <w:spacing w:after="100"/>
      </w:pPr>
      <w:r>
        <w:t xml:space="preserve">En el 2T26 (23-jul) el ajustado fue de 1.840 M frente a 1.640 M esperados por el consenso, y el EBITDA ajustado de 3.522 M (6.135 M en el semestre; 1T26 por diferencia, 2.613 M) [3, 5]. La dirección atribuyó el salto al Industrial (1.240 M de ajustado frente a 103 M), con refino a 14 USD/barril y la química de nuevo en positivo, y a una producción de 558.000 barriles diarios, la mayor en dos años, con Pikka en marcha desde mayo [7]. Subió la segunda recompra de 2026 a 500 M (tras 350 M ya hechos) y anticipó una tercera en octubre dentro del objetivo de devolver el 30-40 % del flujo de caja operativo [3, 5]. En el 1T26 (30-abr) el mensaje fue la volatilidad tras el inicio de la guerra con Irán: 593 M de efecto inventario a favor y 1.200 M de caja destinados a subir existencias de crudo [13]. Los analistas preguntaron sobre todo por la duración de los márgenes de refino; la dirección dijo esperar márgenes fuertes hasta 2027 sin dar cifra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neta con arrendamientos subió de 2.096 M (2023) a 5.008 M (2024) y 5.877 M (2025, modelo anterior; 4.487 M en el nuevo) por la inversión en Estados Unidos y renovables y las recompras [2, 9]; el apalancamiento cerró 2025 en el 14 % [2]. En 2026 la caja del ciclo y la venta a Masdar la han bajado a 3.667 M, un 11,3 % de apalancamiento, pese a 1.200 M de inversión en existencias en el 1T [5, 13]. La deuda financiera de 2024-25 se deriva como deuda neta + caja (estimación propia) e incluye arrendamientos.</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Acumulado 2021-2025: FCF </w:t>
      </w:r>
      <w:r>
        <w:rPr>
          <w:b/>
          <w:bCs/>
        </w:rPr>
        <w:t xml:space="preserve">11.085</w:t>
      </w:r>
      <w:r>
        <w:t xml:space="preserve">, conversión </w:t>
      </w:r>
      <w:r>
        <w:rPr>
          <w:b/>
          <w:bCs/>
        </w:rPr>
        <w:t xml:space="preserve">82 %</w:t>
      </w:r>
      <w:r>
        <w:t xml:space="preserve"> del beneficio neto; adquisiciones 0, dividendos 0, recompras 0.</w:t>
      </w:r>
    </w:p>
    <w:p>
      <w:pPr>
        <w:spacing w:after="100"/>
      </w:pPr>
      <w:r>
        <w:t xml:space="preserve">Flujo operativo = capex + FCF de la serie de MarketScreener (estimación propia por diferencia): la conversión fue alta en 2022 (8.746 M) y baja en 2024 (4.202 M, FCF de −523 M) por el capex de 4.725 M en Estados Unidos y renovables [9]. El dato de 2025 (6.944 M) no cuadra con el flujo de caja de las operaciones que da Repsol (≈5.400 M, deducido del objetivo de 6.500 M en 2028, un 20 % más) [6], probablemente por definiciones distintas de circulante y de inventarios; Chartmill da 5.370 M [17]. Repsol no separa capex de mantenimiento y de crecimiento; su plan pone el 50-55 % del flujo operativo en inversión de crecimiento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 calidad contable no se ha podido revisar con las cuentas auditadas (entorno sin descarga). Tres hechos pesan: (1) el beneficio neto incluye grandes efectos de inventario (+593 M en el 1T26, +823 M en el semestre) que no son caja recurrente [5, 13]; (2) los deterioros son frecuentes y altos (1.333 M en el 1S26 en química y renovables en Chile) [5], lo que dice que parte de la inversión baja en carbono no rinde su coste; (3) el cambio de modelo de información en 2025 hace difícil comparar el EBITDA y la deuda con la serie anterior (deuda neta de 5.877 M en el modelo viejo frente a 4.487 M en el nuevo) [2]. Altman, Piotroski y Beneish no se calculan por falta de balance completo.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inventario y deterioros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neto y el ajustado se separan cada año en cientos de millones [5,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modelo de información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Reexpresa 2024 y cambia EBITDA y deuda neta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ROIC incremental</w:t>
      </w:r>
      <w:r>
        <w:t xml:space="preserve"> (variación del NOPAT sobre variación del capital invertido en el periodo): 4,6 % · </w:t>
      </w:r>
      <w:r>
        <w:rPr>
          <w:b/>
          <w:bCs/>
        </w:rPr>
        <w:t xml:space="preserve">WACC</w:t>
      </w:r>
      <w:r>
        <w:t xml:space="preserve">: 9,0 %.</w:t>
      </w:r>
    </w:p>
    <w:p>
      <w:pPr>
        <w:spacing w:after="100"/>
      </w:pPr>
      <w:r>
        <w:t xml:space="preserve">Sin balance completo el motor no calcula un ROIC fiable (64,8 % en 2025, con un capital invertido incompleto). Estimación propia: NOPAT de 2025 de 3.011 M (EBIT CCS de 4.704 M al 36 %) entre un capital empleado de unos 35.000 M (patrimonio con minoritarios de 29.100 M a 2024 y deuda neta de 5.877 M) da un 8,6 %, unos 0,4 puntos por debajo del WACC (8,98 %) [9, 16]. En 2022-23, con precios altos, superó con holgura el coste de capital. El ROIC incremental histórico del motor (4,6 %) apunta en la misma dirección: el capital nuevo en renovables y química no ha rendido, como muestran los 1.333 M de deterioros del 1S26 [5]. Repsol crea valor en los años altos del ciclo y lo destruye en los bajos.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10.271 M a cierre de 2025, con líneas comprometidas no dispuestas [2]; caja de 3.261 M a 31-dic-25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Covenants, pasivos fuera de la deuda y contingencias</w:t>
      </w:r>
    </w:p>
    <w:p>
      <w:pPr>
        <w:spacing w:after="100"/>
      </w:pPr>
      <w:r>
        <w:t xml:space="preserve">La deuda neta de Repsol incluye los arrendamientos: a marzo de 2026 era de 4.800 M, de los que 2.001 M sin arrendamientos, así que los arrendamientos suman unos 2.800 M [13]. En junio bajó a 3.667 M por la caja y por la desconsolidación de la deuda de la cartera renovable vendida al 49,99 % a Masdar (−700 M de deuda neta prevista; cierre a finales de 2026) [5, 8]. Hay minoritarios relevantes (inversores en Upstream y en renovables): 3.180 M en 2023, último dato hallado [16]. Provisiones por desmantelamiento, litigios fiscales y la reclamación por el apagón del 28-abr-26 no se han podido cuantificar [14].</w:t>
      </w:r>
    </w:p>
    <w:p>
      <w:pPr>
        <w:pStyle w:val="Heading1"/>
      </w:pPr>
      <w:r>
        <w:t xml:space="preserve">12. Asignación de capital</w:t>
      </w:r>
    </w:p>
    <w:p>
      <w:pPr>
        <w:pStyle w:val="Confianza"/>
        <w:spacing w:after="100"/>
      </w:pPr>
      <w:r>
        <w:t xml:space="preserve">Confianza: Media</w:t>
      </w:r>
    </w:p>
    <w:p>
      <w:pPr>
        <w:spacing w:after="100"/>
      </w:pPr>
      <w:r>
        <w:t xml:space="preserve">Repsol reparte entre el 30 y el 40 % del flujo de caja de las operaciones (25-35 % en el plan anterior) [3, 18]. Dividendo en efectivo de 1,051 EUR por acción en 2026 (+7,8 %), con subidas anuales del 6-9 % hasta 2028 y 0,53 EUR a pagar en enero de 2027 [19]. Recompras: 350 M terminados en julio de 2026 (15,77 M de acciones, 1,43 % del capital, amortizadas) y un segundo programa de hasta 500 M; anuncia un tercero en octubre [5, 20]. El plan 2026-2028 promete 3.600 M de dividendos y 10.000 M de inversión, más de la mitad en España y Portugal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49,99 % de 705 MW renovables en España a Masdar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en caja + desconsolidación de deuda (≈700 M menos de deuda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valorada en 849 M; cierre previsto a finales de 2026 [8].</w:t>
            </w:r>
          </w:p>
        </w:tc>
      </w:tr>
    </w:tbl>
    <w:p>
      <w:pPr>
        <w:spacing w:after="160" w:before="0"/>
      </w:pPr>
    </w:p>
    <w:p>
      <w:pPr>
        <w:spacing w:after="100"/>
      </w:pPr>
      <w:r>
        <w:t xml:space="preserve">La dirección ha sido disciplinada con la caja del ciclo: devolvió unos 1.800 M en 2025, en la parte alta de su compromiso, pese a la caída del Brent [2, 4], y en 2026 lleva 850 M de recompras y un dividendo un 7,8 % mayor [5, 19]. Las recompras se amortizan (15,77 M de acciones en julio) [20]. El punto débil es la inversión baja en carbono: 1.333 M de deterioros en el 1S26 en química y renovables en Chile [5] y rotaciones de renovables a socios para financiar el crecimiento [8]. El plan 2026-2028 pone 10.000 M de inversión, el 50-55 % del flujo operativo, sobre todo en España, Portugal y Upstream en Estados Unidos [6]. Con un ROIC estimado del 8,6 % en 2025, por debajo del WACC de 8,98 %, el capital que no se devuelve rinde poco fuera de los años de precios altos.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Josu Jon Imaz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2014; ha dirigido el giro a Estados Unidos y a renovables, el plan 2024-2027 y el Capital Markets Day 2026-2028 con 10.000 M de inversión [6,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Brufau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2004, ejecutivo hasta la separación de cargos; defiende en la junta de 2026 el papel estratégico del refino europeo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al accionista en la parte alta del 25-35 % del flujo operativo; flujo operativo ≈6.000 M; inversión neta ≈3.500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de ≈1.800 M, en la parte alta del rango; ajustado de 2.568 M con el Brent a 69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de 560.000-570.000 barriles diarios; retribución del 30-40 % del flujo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558.000 en el 2T26; 850 M de recompras y dividendo +7,8 % hasta julio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el mismo consejero delegado desde 2014 y el mismo presidente desde 2004 [6, 30]. La dirección cumplió la retribución prometida en 2025 aunque el Brent cayó un 14,5 % [37]. La sucesión de ambos no está anunciada; es una pregunta abierta por la antigüedad de los dos cargos.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Brufau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Josu Jon Imaz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Brufau</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Sin accionista de control: la junta de 2026 reunió el 46,0 % del capital (508,5 M de acciones) y aprobó todos los acuerdos del consejo [38]. La junta autorizó amortizar hasta el 10 % del capital en acciones propias [39]. No consta blindaje estatutario vigente.</w:t>
      </w:r>
    </w:p>
    <w:p>
      <w:pPr>
        <w:pStyle w:val="Heading2"/>
      </w:pPr>
      <w:r>
        <w:t xml:space="preserve">Señales de alerta</w:t>
      </w:r>
    </w:p>
    <w:p>
      <w:pPr>
        <w:pStyle w:val="ListParagraph"/>
        <w:numPr>
          <w:ilvl w:val="0"/>
          <w:numId w:val="2"/>
        </w:numPr>
        <w:spacing w:after="60"/>
      </w:pPr>
      <w:r>
        <w:t xml:space="preserve">Antigüedad de la cúpula (presidente desde 2004, consejero delegado desde 2014) sin sucesión anunciada.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Plan 2026-2028 (10-mar-26): flujo de caja de las operaciones de 6.500 M en 2028 (+20 % sobre 2025), 10.000 M de inversión, producción de 580.000-600.000 barriles diarios en 2028 y 3.600 M de dividendos en efectivo [6, 40]. Para 2026: producción de 560.000-570.000 barriles diarios, retribución del 30-40 % del flujo operativo, dividendo de 1,051 EUR (+7,8 %) con subidas del 6-9 % anual hasta 2028 y tercera recompra a anunciar en octubre [41, 42]. Confirmado el 23-jul-26 con los resultados del 2T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(neto 3.973 M ÷ 1.089,6 M acciones) [9]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(neto 3.348 M) [9]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(neto 3.245 M) [9]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38,00</w:t>
            </w:r>
          </w:p>
        </w:tc>
      </w:tr>
    </w:tbl>
    <w:p>
      <w:pPr>
        <w:spacing w:after="160" w:before="0"/>
      </w:pPr>
    </w:p>
    <w:p>
      <w:pPr>
        <w:pStyle w:val="Heading2"/>
      </w:pPr>
      <w:r>
        <w:t xml:space="preserve">Revisiones de estimaciones</w:t>
      </w:r>
    </w:p>
    <w:p>
      <w:pPr>
        <w:spacing w:after="100"/>
      </w:pPr>
      <w:r>
        <w:t xml:space="preserve">Los objetivos han subido con el crudo: 27,58 EUR de media en agosto, 27,76 y 28,51 EUR a principios de octubre; RBC lo llevó a 35 y luego a 38 EUR, Jefferies a 35, Barclays a 32, Berenberg a 31 y Goldman, Citi y Santander a 30 EUR [43, 44, 45, 46]. A finales de julio había 3 «compra fuerte», 11 «compra», 11 «mantener» y 2 «venta» [43]. El objetivo medio (28,51) queda ya por debajo del precio (29,62). Una sola fuente da estimaciones completas (MarketScreener) y su foto puede ser anterior al 2T26; el BPA se calcula con las acciones de hoy (estimación propia).</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1" name="Gráfico 11"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60" w:before="0"/>
      </w:pPr>
    </w:p>
    <w:p>
      <w:pPr>
        <w:spacing w:after="100"/>
      </w:pPr>
      <w:r>
        <w:t xml:space="preserve">Repsol es el mejor valor del IBEX en 2026: de 15,97 EUR al cierre de 2025 a 29,62 EUR el 13-oct (+85,5 % sin dividendos), con máximo de 31,64 EUR el 24-sep [28, 47, 48]. La subida sigue al Brent: abrió julio en 23,56 EUR tras la caída del crudo por el anuncio de conversaciones con Irán y ganó un 23 % desde agosto, sobre todo en septiembre con el Brent de nuevo por encima de 100 USD [28, 49]. Entre 2022 y 2024 la acción bajó un 21 % pese a beneficios récord, porque el mercado no capitalizaba el pico; los cierres de 2024 y la rentabilidad de 2024 son estimación propia (cierre en USD de Macrotrends al tipo del BCE).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Repsol cotiza a 5,1 veces su EBITDA de los últimos 12 meses (base 2025) y 17,6 veces su beneficio neto atribuido, frente a medias de 2,3 y 7,3 veces al cierre de 2021, 2023, 2024 y 2025 (2022 excluido por el pico de Ucrania). La prima frente a su historia (117 % en EV/EBITDA) se explica porque el mercado ya mira el beneficio de 2026, dos veces el de 2025: sobre el consenso de los próximos 12 meses el EV/EBITDA es de 4,9 veces y el PER de 9,3. Lo estructural es que la acción ha salido de un descuento de varios años; lo cíclico, que lo hace con el Brent por encima de 100 USD [28].</w:t>
      </w:r>
    </w:p>
    <w:p>
      <w:pPr>
        <w:pStyle w:val="Heading1"/>
      </w:pPr>
      <w:r>
        <w:t xml:space="preserve">18. Comparables cotizados</w:t>
      </w:r>
    </w:p>
    <w:p>
      <w:pPr>
        <w:pStyle w:val="Confianza"/>
        <w:spacing w:after="100"/>
      </w:pPr>
      <w:r>
        <w:t xml:space="preserve">Confianza: Baja</w:t>
      </w:r>
    </w:p>
    <w:p>
      <w:pPr>
        <w:spacing w:after="100"/>
      </w:pPr>
      <w:r>
        <w:t xml:space="preserve">Petroleras integradas europeas con refino y producción propia, las que el mercado usa para Repsol: TotalEnergies, Eni, BP, Shell, Equinor, OMV y Galp. Equinor y Shell pesan más en gas y GNL; Galp es el competidor peninsular. No se incluyen las estadounidenses (Exxon, Chevron), que cotizan con una prima estructural del 30-40 %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Galp Energia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 4,0x / 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 / 9,9x / 10,1x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Repsol cotiza a 9,3 veces el beneficio de los próximos 12 meses, en línea con la mediana de las integradas europeas (9,8) y por debajo de Galp (11,1) [31, 32, 33, 34, 53, 54, 55]. En EV/EBITDA (4,9 veces) está por encima de Eni (4,0) y BP (2,8) y cerca de TotalEnergies (4,4). El descuento histórico de Repsol frente a sus pares ha desaparecido en 2026. Los comparables no ayudan a decidir porque todos llevan el mismo Brent en el consenso: si el crudo vuelve a 70 USD, los múltiplos de todos suben a la vez. El valor implícito por PER (30,58-32,10 EUR) depende de un BPA de consenso que ya no es de mitad de ciclo; por eso pesa solo un 25 %.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+20 % (fijo: el 1S26 dio 2.711 M de ajustado con el Brent a 92,3 USD de media) [5, 24]. Después el precio del crudo y de los productos vuelve: −8 % en 2027 y −4 % en 2028, con +2 % de volumen al año por Pikka y los proyectos de EE. UU. hasta 580.000-600.000 barriles diarios en 2028 [6]. Desde 2029, 2 % nominal y 1,5 % al final. Es el patrón de 2022-24: 74.828 M de ventas en 2022 y 56.713 M en 2024 [9].</w:t>
      </w:r>
    </w:p>
    <w:p>
      <w:pPr>
        <w:keepNext/>
        <w:spacing w:after="100"/>
      </w:pPr>
      <w:r>
        <w:rPr>
          <w:b/>
          <w:bCs/>
        </w:rPr>
        <w:t xml:space="preserve">Márgenes.</w:t>
      </w:r>
    </w:p>
    <w:p>
      <w:pPr>
        <w:spacing w:after="100"/>
      </w:pPr>
      <w:r>
        <w:t xml:space="preserve">Margen EBITDA CCS del 15,5 % en 2026e y de vuelta al 13,0-13,6 % desde 2028, el de 2024-25 (14,2 % y 13,4 %) [9]. El consenso de MarketScreener da un 11,9 % en 2027-28, pero su foto es anterior al 2T26 y su ventas son mayores [9].</w:t>
      </w:r>
    </w:p>
    <w:p>
      <w:pPr>
        <w:keepNext/>
        <w:spacing w:after="100"/>
      </w:pPr>
      <w:r>
        <w:rPr>
          <w:b/>
          <w:bCs/>
        </w:rPr>
        <w:t xml:space="preserve">Inversión y circulante.</w:t>
      </w:r>
    </w:p>
    <w:p>
      <w:pPr>
        <w:spacing w:after="100"/>
      </w:pPr>
      <w:r>
        <w:t xml:space="preserve">Amortización del 5,3 % de las ventas (5,2 % en 2025) y capex del 7,0 % hasta 2028 y del 6,0 % después: el plan prevé 10.000 M en 2026-28, unos 3.300 M al año, más arrendamientos; MarketScreener da 4.752 M de capex en 2025 [6, 9]. Circulante constante: sin balance completo no se puede medir; con ventas planas su efecto es pequeño.</w:t>
      </w:r>
    </w:p>
    <w:p>
      <w:pPr>
        <w:keepNext/>
        <w:spacing w:after="100"/>
      </w:pPr>
      <w:r>
        <w:rPr>
          <w:b/>
          <w:bCs/>
        </w:rPr>
        <w:t xml:space="preserve">Coste del capital.</w:t>
      </w:r>
    </w:p>
    <w:p>
      <w:pPr>
        <w:spacing w:after="100"/>
      </w:pPr>
      <w:r>
        <w:t xml:space="preserve">Tasa libre: Bund a 10 años del 3,53 % (Bundesbank, 9-oct-2026) [56]. Beta 1,0 (estimación propia: sin series de cotización; integradas europeas cerca de 1). Prima de mercado 5,5 % y 1 punto adicional por exposición a países de riesgo (Libia, Venezuela, Perú) y por el riesgo fiscal en España. Coste de la deuda del 4,0 % y 15 % de deuda. Coste de los fondos propios del 10,03 % y WACC del 8,98 %.</w:t>
      </w:r>
    </w:p>
    <w:p>
      <w:pPr>
        <w:keepNext/>
        <w:spacing w:after="100"/>
      </w:pPr>
      <w:r>
        <w:rPr>
          <w:b/>
          <w:bCs/>
        </w:rPr>
        <w:t xml:space="preserve">Valor terminal.</w:t>
      </w:r>
    </w:p>
    <w:p>
      <w:pPr>
        <w:spacing w:after="100"/>
      </w:pPr>
      <w:r>
        <w:t xml:space="preserve">Gordon al 1,5 %: por debajo de la inflación esperada en euros más crecimiento real, porque la demanda de combustibles en Europa cae a largo plazo y Upstream necesita reponer reservas. El valor terminal pesa el 51 % del valor empresa. El múltiplo de salida de 3,5 veces el EBITDA, el de 2021 y 2025, sirve de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(ROIC 64,8 %)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(histórico: 4,6 %)</w:t>
            </w:r>
          </w:p>
        </w:tc>
      </w:tr>
    </w:tbl>
    <w:p>
      <w:pPr>
        <w:spacing w:after="160" w:before="0"/>
      </w:pPr>
    </w:p>
    <w:p>
      <w:pPr>
        <w:spacing w:after="100"/>
      </w:pPr>
      <w:r>
        <w:t xml:space="preserve">La proyección reinvierte el 19 % del NOPAT. Con el ROIC del último ejercicio (64,8 %), eso financia un crecimiento del 12,3 % anual, frente al 2,1 % de ingresos proyectado. Supone que el capital nuevo rinde un -2,0 %, frente a un ROIC incremental histórico del 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Brent de 92,3 USD en el 1S26 frente a 69,1 en 2025 y refino a 14 USD/barril; volumen: guía de 560.000-570.000 barriles diarios frente a 548.000 [2, 5,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crudo y los márgenes bajan desde el pico; Pikka aporta volumen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hacia 70-75 USD; producción en el objetivo de 580.000-600.000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precios y volumen casi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La proyección no pide crecimiento: tras el pico de 2026 las ventas bajan dos años y luego crecen al 2 %, por debajo del 3,7 % anual de 2021-25. La reinversión (19 % del NOPAT) basta para mantener la producción. La prueba del capital nuevo sale negativa porque el EBITDA cae desde el pico mientras se invierte, no porque la proyección sea exigente; el ROIC del motor no es fiable por el balance incompleto y nuestra estimación (8,6 %) está cerca del WACC. Sin foso de precios, el crecimiento depende del Brent, no de la calidad: la prueba pasa, pero no dice nada del ciclo.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9,0 %)</w:t>
            </w:r>
          </w:p>
        </w:tc>
      </w:tr>
    </w:tbl>
    <w:p>
      <w:pPr>
        <w:spacing w:after="160" w:before="0"/>
      </w:pPr>
    </w:p>
    <w:p>
      <w:pPr>
        <w:spacing w:after="100"/>
      </w:pPr>
      <w:r>
        <w:t xml:space="preserve">El DCF da 25,92 EUR por acción, un −12,5 % frente a 29,62 EUR, con el valor terminal en el 51 % del valor empresa. El DCF inverso dice que el precio descuenta un crecimiento del 1,7 % anual en 2027-35 frente a nuestro 0,1 %, o un margen del 13,8 % frente a nuestro 13,0 %: el mercado no espera que el beneficio vuelva del todo a 2024-25. La rentabilidad anual implícita en el precio es del 8,2 %, por debajo de nuestro WACC (9,0 %) y por encima de lo que pide hoy el mercado (7,9 %); con la prima implícita del mercado el DCF sube a 31,36 EUR. Es decir: frente a su coste de capital, Repsol está cara; frente al mercado, justa. La diferencia la decide el margen de mitad de ciclo, y un punto más de margen vale unos 2-3 EUR por acción.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Irán y reapertura de Ormuz: el Brent vuelve a 60-65 USD en 2027 y los márgenes de refino a su media, como en 2023-24 tras el pico de Ucrania; la química sigue en pérdidas y llegan más deterioros. El EBITDA vuelve a 7.000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se enquista pero el mercado se reequilibra: Brent de 70-75 USD en 2028, refino algo por encima de 2025 y producción de 580.000 barriles diarios con Pikka. Repsol mantiene el dividendo y recompra con el exceso de caja.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geopolítica duradera: Brent de 85 USD y márgenes de refino fuertes hasta 2028, como espera la dirección; las recompras reducen el capital un 3-4 %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25,98 EUR (-12,3 %).</w:t>
      </w:r>
    </w:p>
    <w:p>
      <w:pPr>
        <w:spacing w:after="100"/>
      </w:pPr>
      <w:r>
        <w:t xml:space="preserve">La asimetría es desfavorable: el alcista gana un 25,7 % y el bajista pierde un 49,9 % (asimetría de 0,52 veces). El bajista no es cosmético: en 2023-24, tras el pico de 2022, el EBITDA CCS bajó un 41 % en dos años [9]. Con la prima implícita del mercado la asimetría pasa a 1,31 veces, pero solo porque baja la tasa de descuento.</w:t>
      </w:r>
    </w:p>
    <w:p>
      <w:pPr>
        <w:pStyle w:val="Heading1"/>
      </w:pPr>
      <w:r>
        <w:t xml:space="preserve">22. Suma de partes</w:t>
      </w:r>
    </w:p>
    <w:p>
      <w:pPr>
        <w:pStyle w:val="Confianza"/>
        <w:spacing w:after="100"/>
      </w:pPr>
      <w:r>
        <w:t xml:space="preserve">Confianza: Baja</w:t>
      </w:r>
    </w:p>
    <w:p>
      <w:pPr>
        <w:spacing w:after="100"/>
      </w:pPr>
      <w:r>
        <w:t xml:space="preserve">No se aplica: sin cifras de EBITDA por segmento de cinco años ni comparables puros de cada negocio. Upstream, Industrial y Cliente se mueven con el mismo ciclo y la generación baja en carbono es pequeña y en rotación.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26,25 EUR (-11,4 % sobre 29,62).</w:t>
      </w:r>
    </w:p>
    <w:p>
      <w:pPr>
        <w:spacing w:after="100"/>
      </w:pPr>
      <w:r>
        <w:t xml:space="preserve">Pesos: DCF 45 %, escenarios 30 % y comparables 25 %. El DCF es el método más fiable porque normaliza el ciclo; los comparables llevan dentro el mismo Brent alto que la empresa y su PER implícito (30,58-32,10 EUR) es caro en mitad de ciclo; las transacciones no se usan (sin múltiplos fiables). La dispersión es grande: de 14,83 EUR en el bajista a 37,24 EUR en el alcista, con el precio en la parte alta. El valor objetivo ponderado es de 26,25 EUR (−11,4 %).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spacing w:after="100"/>
      </w:pPr>
      <w:r>
        <w:rPr>
          <w:b/>
          <w:bCs/>
        </w:rPr>
        <w:t xml:space="preserve">Objetivo a 12 meses (ponderado):</w:t>
      </w:r>
      <w:r>
        <w:t xml:space="preserve"> 23,46 EUR · rentabilidad -17,5 % (base -15,9 %) · señal Vender.</w:t>
      </w:r>
    </w:p>
    <w:p>
      <w:pPr>
        <w:spacing w:after="100"/>
      </w:pPr>
      <w:r>
        <w:t xml:space="preserve">Para comparar, con la regla v2 (historia al cierre, mismo precio): 3,1x / 4,0x / 4,5x, -17,5 % Vender. Decide la regla vigente (v3 con tope ×1,1; METODO-VIGENTE.md).</w:t>
      </w:r>
    </w:p>
    <w:p>
      <w:pPr>
        <w:keepNext/>
        <w:spacing w:after="100"/>
      </w:pPr>
      <w:r>
        <w:rPr>
          <w:b/>
          <w:bCs/>
        </w:rPr>
        <w:t xml:space="preserve">Frente al consenso (solo contraste).</w:t>
      </w:r>
    </w:p>
    <w:p>
      <w:pPr>
        <w:spacing w:after="100"/>
      </w:pPr>
      <w:r>
        <w:t xml:space="preserve">Nuestro BPA de 2028e (2,69 EUR) queda un 10 % por debajo del consenso (2,98) por un tipo impositivo del 36 % y 150 M de minoritarios, más cerca de lo que da el ajustado de 2025. La mayor diferencia es el múltiplo: nuestro precio base (23,94 EUR) está un 16,0 % por debajo del objetivo medio de los analistas (28,51 EUR), que valoran 2028 con un PER de unos 9,5 veces, el de los comparables, mientras nosotros usamos 4,0 veces EV/EBITDA de mitad de ciclo, por encima de la mediana propia de 2021-25 (3,1). Los objetivos de los analistas suben con el crudo (27,58 en agosto, 28,51 en octubre) [28, 43].</w:t>
      </w:r>
    </w:p>
    <w:p>
      <w:pPr>
        <w:keepNext/>
        <w:spacing w:after="100"/>
      </w:pPr>
      <w:r>
        <w:rPr>
          <w:b/>
          <w:bCs/>
        </w:rPr>
        <w:t xml:space="preserve">Del valor intrínseco al objetivo a 12 meses.</w:t>
      </w:r>
    </w:p>
    <w:p>
      <w:pPr>
        <w:spacing w:after="100"/>
      </w:pPr>
      <w:r>
        <w:t xml:space="preserve">Los tres casos usan EV/EBITDA 2028e y no el PER: con el ciclo dentro del BPA, el PER de los años limpios (3,5-7,0 veces) sale de beneficios de pico y la regla daría un base de 5,7 veces y un objetivo de unos 15 EUR, que no es razonable para una empresa que cotiza en línea con sus pares. El valor intrínseco (26,25 EUR) y el objetivo a 12 meses (23,46 EUR) están cerca: ambos dicen que el precio recoge un Brent alto más tiempo del que suponemos. Lo que cerraría la distancia hacia arriba es un Brent por encima de 85 USD en 2027-28 o una tercera recompra grande en octubre.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el Brent de vuelta por encima de 100 USD en septiembre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tercera recompra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julio; su tamaño dirá cuánto del pico se devuelve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a Masdar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 M menos de deuda neta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0,53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 senda del 6-9 % anual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EE. UU.-Irán y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Brent y de los márgenes de refino [23,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actualización de la guía 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supuesto de precios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Brent a 60-70 USD por un acuerdo con Irán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naturales del refino y del negocio Cliente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debajo de 80 USD durante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los márgenes de refino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(base frente a hoy)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de alta conversión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margen por debajo de 8 USD/barril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extraordinario a las energéticas en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de 2023-24 y presión de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en los presupuestos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deterioros en química y renovables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activos a socios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los resultados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(Libia, Venezuela, Perú)</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creciente de EE. UU. (40 % de la producción en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Paradas de producción o impagos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Retraso de Pikka y de los proyectos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Pikka ya produce desde mayo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de 2027 por debajo de 570.000 barriles diarios</w:t>
            </w:r>
          </w:p>
        </w:tc>
      </w:tr>
    </w:tbl>
    <w:p>
      <w:pPr>
        <w:spacing w:after="160" w:before="0"/>
      </w:pPr>
    </w:p>
    <w:p>
      <w:pPr>
        <w:pStyle w:val="Heading2"/>
      </w:pPr>
      <w:r>
        <w:t xml:space="preserve">Pre-mortem</w:t>
      </w:r>
    </w:p>
    <w:p>
      <w:pPr>
        <w:spacing w:after="100"/>
      </w:pPr>
      <w:r>
        <w:t xml:space="preserve">Octubre de 2029: la acción vale 17 EUR. En la primavera de 2027 un acuerdo entre Estados Unidos e Irán reabrió Ormuz y la OPEP+ no recortó a tiempo: el Brent bajó a 62 USD y los diferenciales del diésel volvieron a su media al entrar nueva capacidad de refino en Oriente Medio y Asia. El EBITDA CCS de Repsol pasó de unos 13.000 M en 2026 a 7.000 M en 2028, como entre 2022 y 2024. El Gobierno había aprobado en 2027 un recargo a las energéticas que no retiró. La química siguió en pérdidas y hubo otros 1.000 M de deterioros. La empresa mantuvo el dividendo, pero dejó las recompras y la deuda neta volvió a 6.000 M. El múltiplo volvió a 3 veces el EBITDA, su mediana de 2021-25. Lo habría anticipado el Brent por debajo de 80 USD durante un trimestre y el indicador de margen de refino por debajo de 8 USD/barril.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Las emisiones del refino y de la química, y el coste del CO2, son lo más material. Los deterioros de 1.333 M en química y renovables en Chile del 1S26 muestran que parte de la inversión de transición no rinde [27]. El apagón del 28-abr-26 paró las refinerías y plantas químicas, y Repsol estudia reclamar [35].</w:t>
      </w:r>
    </w:p>
    <w:p>
      <w:pPr>
        <w:pStyle w:val="Heading2"/>
      </w:pPr>
      <w:r>
        <w:t xml:space="preserve">Controversias</w:t>
      </w:r>
    </w:p>
    <w:p>
      <w:pPr>
        <w:spacing w:after="100"/>
      </w:pPr>
      <w:r>
        <w:t xml:space="preserve">Paradas por el apagón de abril de 2026 [35]; presión política por la fiscalidad de las energéticas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plan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Brent y qué margen de refino supone el objetivo de 6.500 M de flujo operativo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plan es de mitad de ciclo o de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Reparto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extraordinaria de 2026 irá a recompras y qué parte a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recompra es el catalizador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Química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más deterioros pendientes en química tras los 1.333 M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Modelo de información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concilia el EBITDA ajustado del modelo nuevo con el CCS anterior y con la deuda neta de las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EV/EBITDA y la deuda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un nuevo gravamen a las energéticas sobre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en el año de mayor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consejero delegado (desde 2014) y el presidente (desde 2004)?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Estabilidad de la estrategia.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española con debate (Estrategias de Inversión,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como «mejor valor del IBEX en 2026» en máximos históricos; la pregunta recurrente es si le queda recorrido tras doblar su valor, con brokers que aún ven un 15-18 % [44, 58,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DailyForex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Constata que el precio ya supera el objetivo medio de los analistas y que la subida depende del Brent por encima de 100 USD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Vozpópuli y The Corner (comentario sobre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«depende más de la geopolítica que de la gestión» y parte viene de revalorizar existencias [24,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Test-Aankoop Invest (revista de inversores belga)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 el salto de la acción con los indicadores de refino y los anuncios de Trump sobre Irán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Rankia (hilo de Repsol)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búsqueda solo devuelve páginas antiguas del hilo, con el debate de siempre entre recoger beneficios tras subidas y mantener por el dividendo; no cuenta como lectura de los últimos tres meses [61].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¿Queda recorrido tras doblar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(29,62) ya supera el objetivo medio de los analistas (28,51) y descuenta un beneficio cercano al de 2026 de forma duradera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Brent y de Ormuz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ajustado del 1S26 (2.711 M) iguala todo 2025 por el crudo y el refino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1,051 EUR y 850 M de recompras en 2026, con una tercera en octubre; rentabilidad por dividendo del 3,5 % al precio de hoy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beneficio (inventarios y deterioros)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823 M de efecto inventario y 1.333 M de deterioros en el 1S26 [24, 35].</w:t>
            </w:r>
          </w:p>
        </w:tc>
      </w:tr>
    </w:tbl>
    <w:p>
      <w:pPr>
        <w:spacing w:after="160" w:before="0"/>
      </w:pPr>
    </w:p>
    <w:p>
      <w:pPr>
        <w:spacing w:after="100"/>
      </w:pPr>
      <w:r>
        <w:t xml:space="preserve">El tono es dividido y mejora con la cotización: la prensa con debate celebra el «mejor valor del IBEX» y discute si queda recorrido, mientras los comentarios sobre resultados subrayan que el beneficio depende del Brent y de Ormuz más que de la gestión [24, 28, 35, 44, 58, 59]. No hay euforia de particulares visible (los foros no muestran hilos recientes), pero sí una señal: el precio ya supera el objetivo medio de los analistas [28]. El riesgo que señalan, la vuelta del crudo, es el centro de nuestra tesis. No contradice al consenso; lo adelanta.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61 (15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-2,0 % frente a un ROIC de 64,8 % y un incremental histórico de 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22,6 % frente al consenso: justifica la diferencia en el DCF. Explicación: El EBITDA del consenso de MarketScreener para 2026e (8.681 M) es una foto anterior al 2T26: solo el primer semestre dio 6.135 M de EBITDA ajustado en el modelo nuevo, que es menor que la base CCS. Nuestro 2026e (15,5 % de margen) es coherente con el semestre publicado; a partir de 2027 nuestra proyección queda a +14 % y +9 %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51,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minoritarios y BAI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anuales de Repsol vía búsqueda: solo cabeceras; 2) MarketScreener, TipRanks y Weiss: solo ventas, EBITDA, EBIT y neto; 3) prensa económica: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patrimonio y minoritarios 2024-2025,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financieros 2025 y 1S26 de Repsol: no legibles desde la búsqueda; 2) TipRanks, Fintel y Weiss: solo activo, pasivo y caja; 3) prensa: solo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 de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4T25 (nuevo modelo); 2) prensa de resultados: solo ajustado por segmento de algunos trimestres; 3) Quartr: idem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opinión y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la junta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aplica una cifra única: mercado mundial de crudo y de productos; 2) búsqueda de demanda de combustibles en España (CORES): sin cupo; 3) se describe el ciclo con el Brent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TotalEnergies, Eni, Galp y BP no consultadas por cupo de búsqueda; 2) MarketScreener: solo múltiplos;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no consultados;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IAGC/IARC 2025 en la web de Repsol: no legibles (solo WebSearch); 2) resultados de votaciones de la junta 2026: la búsqueda corta antes del punto de remuneraciones;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integradas (Galp, Neptune, Talisman): sin cupo; 2) la venta a Masdar no publica EBITDA; 3) prensa: sin múltiplos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índices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en la nube; 2) Yahoo/Investing por búsqueda: sin series;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crecimiento,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y algún EV/EBITDA; 2) TipRanks: no consultado por cupo;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hilos de foros de los últimos tres meses (Rankia, Reddit, Stocktwits,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Rankia por búsqueda: solo páginas antiguas; 2) Reddit por búsqueda: sin hilos; 3) Seeking Alpha: último artículo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calculado por el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completo de 2021-25 por búsqueda: no disponible; 2) ROACE publicado por Repsol: no hallado; 3) estimación propia con patrimonio de TipRanks y deuda neta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modelo de información y segmentos (resultados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https://www.repsol.com/content/dam/repsol-corporate/en_gb/sala-de-prensa/documentos-sala-de-prensa/2026/pr19022026-4q2025-results.pdf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posts adjusted net income of €2.568 billion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https://www.repsol.com/en/press-room/press-releases/2026/repsol-posts-adjusted-net-income-2568-billion/index.cshtml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2Q26 adjusted net income more than triples to €1.84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Sahm Capital / MT Newswires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https://www.sahmcapital.com/news/content/repsol-2q26-adjusted-net-income-more-than-triples-to-184-billion-adjusted-ebitda-more-than-doubles-to-352-billion-2026-07-23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cierra 2025 con un beneficio de 1.899 millones y eleva el dividendo un 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https://www.estrategiasdeinversion.com/actualidad/noticias/bolsa-espana/repsol-cierra-2025-con-un-beneficio-de-1899-millones-n-891353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H1 FY26: net income EUR 2.2 billion; adjusted EUR 2.71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https://www.vermoegenszentrum.ch/en/stock-exchange-and-markets/news/repsol-h1-fy26-net-income-rises-eur-22-billion-adjusted-net-income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to invest €10 billion through 2028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https://www.repsol.com/en/press-room/press-releases/2026/repsol-invest-10-billion-euros-2028-more-than-half-spain-portugal/index.cshtml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https://quartr.com/events/repsol-s-a-rep-q2-2026_3gHVuNjG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venta a Masdar de una cartera renovable de 705 MW en España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https://www.repsol.com/content/dam/repsol-corporate/es/accionistas-e-inversores/cnmv/2026/ip11062026-sociedad-remite-informacion-acuerdo-venta-masdar-cartera-activos-energias-renovables-705-mw-espana.pdf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finances (cuenta, deuda neta, capex y FCF 2021-2028)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https://in.marketscreener.com/quote/stock/REPSOL-S-A-75044/finances/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 rendimiento: conciliaciones 4T y 12M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https://repsol.com/content/dam/repsol-corporate/es/accionistas-e-inversores/medidas-alternativas/medidas-alternativas-de-rendimiento-conciliaciones-4t-y-12m-2022.pdf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Alternative performance measures reconciliations Q4 and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https://www.repsol.com/content/dam/repsol-corporate/en_gb/accionistas-e-inversores/medidas-alternativas/alternative-performance-measures-reconciliations-q4-and-fy2025-previous-reporting-model.pdf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3.168 millones en 2023, un 25 % menos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https://www.bolsamania.com/noticias_amp/resultados-anuncios/repsol-gana-3168-millones-euros-2023-25-menos-que-2022--16277750.html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on results, first quarter 2026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https://www.repsol.com/content/dam/repsol-corporate/en_gb/accionistas-e-inversores/cnmv/2026/ori30042026-information-on-results-first-quarter-2026.pdf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2.201 millones a junio, con 823 M de revalorización de existencias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 de Tarragona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https://www.diaridetarragona.com/economia/266516/repsol-gana-2-201-millones-junio-265-revalorizacion-existencias.html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 Balance Sheet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https://fintel.io/bs/at/rep?t=annual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https://www.tipranks.com/stocks/de:rep/financials/balance-sheet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(1REP.MI)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https://www.chartmill.com/stock/quote/1REP.MI/financials/cash-flow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Q3 2025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https://quartr.com/events/repsol-s-a-rep-q3-2025_3gHVukeO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junta el 14 de mayo con propuesta de dividendo de 0,53 euros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https://www.estrategiasdeinversion.com/actualidad/noticias/bolsa-espana/repsol-celebrara-su-junta-el-14-de-mayo-en-la-n-902655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 reducción de capital por amortización de 15.768.002 acciones propias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https://www.boe.es/borme/dias/2026/07/24/pdfs/BORME-C-2026-4361.pdf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invertirá 10.000 millones hasta 2028 (nota de prensa CMD)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https://www.repsol.com/content/dam/repsol-corporate/es/sala-de-prensa/documentos-notas-de-prensa/2026/np10032026-repsol-invertira-10000-millones-euros-hasta-2028-mas-mitad-espana-portugal.pdf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Capital Markets Day 2026-2028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https://www.repsol.com/content/dam/repsol-corporate/es/accionistas-e-inversores/cnmv/2026/ip10032026-presentacion-capital-markets-day-2026-2028.pdf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barril de Brent cerró la semana a 112,57 dólares, el más alto desde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https://rpp.pe/economia/internacional/el-barril-de-petroleo-brent-cerro-la-semana-a-11257-dolares-el-precio-mas-alto-desde-2022-noticia-1681981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2.201 millones tras el rally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https://www.vozpopuli.com/economia/empresas/repsol-gana-2201-millones-tras-el-rally-del-petroleo-y-la-subida-de-los-carburantes.html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Masdar adquiere el 49,99 % de la cartera renovable de Repsol en España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https://www.merca2.es/2026/06/11/masdar-adquiere-49-99-cartera-repsol-renovables-2395256/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MT Newswires: AlphaValue rebaja Repsol a reducir (objetivo 17,6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https://seekingalpha.com/symbol/REPYY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dispara sus ganancias hasta junio por el alza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https://www.eldebate.com/economia/20260723/repsol-dispara-ganancias-265-hasta-junio-alza-petroleo-mejora-retribucion-accionistas_442675.html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llega a octubre de 2026 cerca de máximos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https://es.dailyforex.com/stock-market-today/2026/10/repsol-llega-a-octubre-2026-cerca-de-maximos-anuales/250290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avisa al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https://www.vozpopuli.com/economia/energia/repsol-avisa-gobierno.html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chairman asserts role of refining as strategic industry for Spain and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https://www.repsol.com/content/dam/repsol-corporate/en_gb/sala-de-prensa/documentos-sala-de-prensa/2026/pr14052026-repsol-chairman-asserts-role-refining-strategic-industry-spain-europe.pdf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https://uk.marketscreener.com/quote/stock/TOTALENERGIES-SE-200329062/valuation/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https://uk.marketscreener.com/quote/stock/ENI-34030721/valuation/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https://uk.marketscreener.com/quote/stock/GALP-ENERGIA-SGPS-S-A-35373/finances/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 plc: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https://uk.marketscreener.com/quote/stock/BP-PLC-11899/valuation/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triples profit to €2.2 billion amidst oil price volatility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https://thecorner.eu/?p=126993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has earned 8.1% more in 2025 and raised its 2026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https://orain.eus/en/current-events/economics/2026/02/19/repsol-has-earned-81-more-in-2025-to-1899-million-and-has-raised-its-2026-dividend/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Q2 2025 earnings summary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https://quartr.com/events/repsol-s-a-rep-q2-2025_3gHVxcY4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https://www.repsol.com/content/dam/repsol-corporate/es/accionistas-e-inversores/informes-jga/2026/resultados-votaciones-acuerdos-jga-2026.pdf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sobre la propuesta de reducción de capital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https://www.repsol.com/content/dam/repsol-corporate/es/accionistas-e-inversores/cnmv/2026/ip19022026-informacion-propuesta-reduccion-capital-social-retribucion-accionista-programa-recompra.pdf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promete 3.600 millones en dividendos hasta 2028; invertirá 10.000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https://www.estrategiasdeinversion.com/actualidad/noticias/bolsa-espana/repsol-promete-3600-millones-en-dividendos-hasta-n-897307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H1 profit surges on higher prices, production; to buy back up to 500 mln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https://www.rttnews.com/3669691/repsol-h1-profit-surges-on-higher-prices-production-to-buy-back-upto-500-mln-shares.aspx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dispara sus ganancias a 2.201 millones a junio y acelera la retribución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https://www.ondavasca.com/repsol-dispara-sus-ganancias-a-2-201-millones-a-junio-y-acelera-la-retribucion-a-los-accionistas/amp/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otorgan a Repsol un potencial alcista cercano al 40 % tras el desplome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https://www.merca2.es/2026/07/28/repsol-potencial-alcista-analistas-caida-petroleo-2425361/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potencial adicional del 18 % para el mejor valor del Ibex 35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https://www.estrategiasdeinversion.com/analisis/los-brokers-recomiendan/recomendaciones-espana/repsol-potencial-adicional-del-18-para-el-mejor-n-944337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sets EUR 35.00 target for Repsol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https://www.ad-hoc-news.de/boerse/news/corporate-news/jefferies-sets-eur-35-00-target-for-repsol-stock/70315283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baja lastrado por el petróleo, pero Citi ve un potencial de más del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https://www.estrategiasdeinversion.com/analisis/los-brokers-recomiendan/recomendaciones-espana/repsol-baja-lastrado-por-el-petroleo-pero-citi-n-944601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Repsol (cierre 13/10/26: 29,620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https://www.bolsamania.com/accion/REPSOL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cotización histórica al cierre de cada ejercicio (2019-2023)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https://www.repsol.com/en/shareholders-and-investors/repsol-on-the-stock-exchange/share-price/index.cshtml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Así abre la cotización de Repsol el 13 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Cronista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https://www.cronista.com/espana/ibex-euro/asi-abre-la-cotizacion-de-repsol-este-lunes-13-de-julio-cual-es-el-rendimiento-de-los-dividendos/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Pressure Mounts on Europe's Majors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https://www.energyintel.com/0000018e-ecce-d94a-a9be-ffef44a00000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36 year stock price history (REPYY)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https://new.macrotrends.net/stocks/charts/REPYY/repsol-sa/stock-price-history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(FRA: REP) quote, YTD desde 30-dic-25 (15,97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https://www.fool.com/quote/fra/rep/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OMV: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https://ca.marketscreener.com/quote/stock/OMV-29421261/valuation/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quote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https://ca.marketscreener.com/quote/stock/EQUINOR-ASA-4003511/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Shell plc: quote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https://uk.marketscreener.com/quote/stock/SHELL-PLC-6273/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usado en el informe de Technip Energies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es el mejor valor del Ibex 35 en 2026: ¿sigue teniendo potencial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https://es.finance.yahoo.com/noticias/repsol-valor-ibex-35-2026-084000310.html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conquista máximos históricos en el Ibex 35, ¿puede seguir subiendo?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https://www.estrategiasdeinversion.com/actualidad/noticias/bolsa-espana/repsol-conquista-maximos-historicos-en-el-ibex-n-943465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sprong, indicatoren en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Test-Aankoop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https://www.test-aankoop.be/invest/beleggen/aandelen/artikels/2026/07/repsol-sprong-indicatoren-trump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Rankia: Nueva Repsol (REP)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https://www.rankia.com/foros/bolsa/temas/1296357-nueva-repsol-rep-ypf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72,4 %</w:t>
      </w:r>
      <w:r>
        <w:t xml:space="preserve"> · Secciones con menos del 60 % de campos cubiertos: </w:t>
      </w:r>
      <w:r>
        <w:rPr>
          <w:b/>
          <w:bCs/>
        </w:rPr>
        <w:t xml:space="preserve">gobierno, transacciones, calidad, balance, bolsa</w:t>
      </w:r>
      <w:r>
        <w:t xml:space="preserve"> · Generado el 14 oct 2026.</w:t>
      </w:r>
    </w:p>
    <w:p>
      <w:pPr>
        <w:pStyle w:val="Nota"/>
        <w:spacing w:after="100"/>
      </w:pPr>
      <w:r>
        <w:t xml:space="preserve">Informe hecho desde la nube con una red que solo deja hacer búsquedas web: no se han podido descargar las cuentas anuales, el IAGC ni el IARC, ni ejecutar bolsa.mjs. Las cifras salen de los resultados de búsqueda (notas de prensa y presentaciones de Repsol, MarketScreener, TipRanks, Fintel, prensa económica), con la URL como fuente. La cuenta usa el EBITDA y el EBIT CCS de MarketScreener, que coinciden con la conciliación de Repsol de 2021-22; desde 2025 Repsol publica un nuevo modelo de información con un EBITDA ajustado menor (5.312 M en 2025) por el distinto tratamiento de las participadas, y la deuda neta del puente (3.667 M a junio de 2026, con arrendamientos) es la del modelo nuevo. Los minoritarios del puente (3.180 M) son el último dato hallado (2023). El balance está incompleto, así que ROIC, ROE, Altman y Beneish del motor no son fiables. Precio: cierre del 13-oct-26 (29,62 EUR), la sesión del corte no había cerrado. Acciones: 1.089,6 M de capital tras la amortización de julio, sin restar la autocartera de la segunda recompra en curso.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Repsol, S.A. (REP)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Hoja1!$B$2:$B$7</c:f>
              <c:numCache>
                <c:formatCode>#,##0.0</c:formatCode>
                <c:ptCount val="6"/>
                <c:pt idx="0">
                  <c:v>18.53</c:v>
                </c:pt>
                <c:pt idx="1">
                  <c:v>30.58</c:v>
                </c:pt>
                <c:pt idx="2">
                  <c:v>23.01</c:v>
                </c:pt>
                <c:pt idx="3">
                  <c:v>14.83</c:v>
                </c:pt>
                <c:pt idx="4">
                  <c:v>28.68</c:v>
                </c:pt>
                <c:pt idx="5">
                  <c:v>29.47</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Hoja1!$C$2:$C$7</c:f>
              <c:numCache>
                <c:formatCode>#,##0.0</c:formatCode>
                <c:ptCount val="6"/>
                <c:pt idx="0">
                  <c:v>5.73</c:v>
                </c:pt>
                <c:pt idx="1">
                  <c:v>1.5200000000000031</c:v>
                </c:pt>
                <c:pt idx="2">
                  <c:v>6.669999999999998</c:v>
                </c:pt>
                <c:pt idx="3">
                  <c:v>22.410000000000004</c:v>
                </c:pt>
                <c:pt idx="4">
                  <c:v>5.82</c:v>
                </c:pt>
                <c:pt idx="5">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Repsol</c:v>
                </c:pt>
                <c:pt idx="1">
                  <c:v>TotalEnergies</c:v>
                </c:pt>
                <c:pt idx="2">
                  <c:v>Eni</c:v>
                </c:pt>
                <c:pt idx="3">
                  <c:v>Galp Energia</c:v>
                </c:pt>
                <c:pt idx="4">
                  <c:v>BP</c:v>
                </c:pt>
                <c:pt idx="5">
                  <c:v>Moeve (antes Cepsa)</c:v>
                </c:pt>
              </c:strCache>
            </c:strRef>
          </c:cat>
          <c:val>
            <c:numRef>
              <c:f>Hoja1!$B$2:$B$7</c:f>
              <c:numCache>
                <c:formatCode>0.0"%"</c:formatCode>
                <c:ptCount val="6"/>
                <c:pt idx="0">
                  <c:v>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49480</c:v>
                </c:pt>
                <c:pt idx="1">
                  <c:v>74828</c:v>
                </c:pt>
                <c:pt idx="2">
                  <c:v>58538</c:v>
                </c:pt>
                <c:pt idx="3">
                  <c:v>56713</c:v>
                </c:pt>
                <c:pt idx="4">
                  <c:v>57218</c:v>
                </c:pt>
                <c:pt idx="5">
                  <c:v>68662</c:v>
                </c:pt>
                <c:pt idx="6">
                  <c:v>63169</c:v>
                </c:pt>
                <c:pt idx="7">
                  <c:v>60642</c:v>
                </c:pt>
                <c:pt idx="8">
                  <c:v>61855</c:v>
                </c:pt>
                <c:pt idx="9">
                  <c:v>63092</c:v>
                </c:pt>
                <c:pt idx="10">
                  <c:v>64354</c:v>
                </c:pt>
                <c:pt idx="11">
                  <c:v>65641</c:v>
                </c:pt>
                <c:pt idx="12">
                  <c:v>66954</c:v>
                </c:pt>
                <c:pt idx="13">
                  <c:v>67958</c:v>
                </c:pt>
                <c:pt idx="14">
                  <c:v>68977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7071</c:v>
                </c:pt>
                <c:pt idx="1">
                  <c:v>13710</c:v>
                </c:pt>
                <c:pt idx="2">
                  <c:v>9864</c:v>
                </c:pt>
                <c:pt idx="3">
                  <c:v>8060</c:v>
                </c:pt>
                <c:pt idx="4">
                  <c:v>7678</c:v>
                </c:pt>
                <c:pt idx="5">
                  <c:v>10643</c:v>
                </c:pt>
                <c:pt idx="6">
                  <c:v>8844</c:v>
                </c:pt>
                <c:pt idx="7">
                  <c:v>8247</c:v>
                </c:pt>
                <c:pt idx="8">
                  <c:v>8289</c:v>
                </c:pt>
                <c:pt idx="9">
                  <c:v>8454</c:v>
                </c:pt>
                <c:pt idx="10">
                  <c:v>8495</c:v>
                </c:pt>
                <c:pt idx="11">
                  <c:v>8533</c:v>
                </c:pt>
                <c:pt idx="12">
                  <c:v>8704</c:v>
                </c:pt>
                <c:pt idx="13">
                  <c:v>8835</c:v>
                </c:pt>
                <c:pt idx="14">
                  <c:v>8967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14.3</c:v>
                </c:pt>
                <c:pt idx="1">
                  <c:v>18.3</c:v>
                </c:pt>
                <c:pt idx="2">
                  <c:v>16.9</c:v>
                </c:pt>
                <c:pt idx="3">
                  <c:v>14.2</c:v>
                </c:pt>
                <c:pt idx="4">
                  <c:v>13.4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14.2</c:v>
                </c:pt>
                <c:pt idx="2">
                  <c:v>12.4</c:v>
                </c:pt>
                <c:pt idx="3">
                  <c:v>9.1</c:v>
                </c:pt>
                <c:pt idx="4">
                  <c:v>8.2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c:v>
                </c:pt>
                <c:pt idx="1">
                  <c:v>5.7</c:v>
                </c:pt>
                <c:pt idx="2">
                  <c:v>5.4</c:v>
                </c:pt>
                <c:pt idx="3">
                  <c:v>3.1</c:v>
                </c:pt>
                <c:pt idx="4">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2775</c:v>
                </c:pt>
                <c:pt idx="1">
                  <c:v>5211</c:v>
                </c:pt>
                <c:pt idx="2">
                  <c:v>1430</c:v>
                </c:pt>
                <c:pt idx="3">
                  <c:v>-523</c:v>
                </c:pt>
                <c:pt idx="4">
                  <c:v>2192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2499</c:v>
                </c:pt>
                <c:pt idx="1">
                  <c:v>4251</c:v>
                </c:pt>
                <c:pt idx="2">
                  <c:v>3168</c:v>
                </c:pt>
                <c:pt idx="3">
                  <c:v>1756</c:v>
                </c:pt>
                <c:pt idx="4">
                  <c:v>1899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37.4</c:v>
                </c:pt>
                <c:pt idx="3">
                  <c:v>22.7</c:v>
                </c:pt>
                <c:pt idx="4">
                  <c:v>64.8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c:v>
                </c:pt>
                <c:pt idx="1">
                  <c:v>9</c:v>
                </c:pt>
                <c:pt idx="2">
                  <c:v>9</c:v>
                </c:pt>
                <c:pt idx="3">
                  <c:v>9</c:v>
                </c:pt>
                <c:pt idx="4">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24.5</c:v>
                </c:pt>
                <c:pt idx="3">
                  <c:v>13.6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0.62</c:v>
                </c:pt>
                <c:pt idx="4">
                  <c:v>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Otro externo</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42.2</c:v>
                </c:pt>
                <c:pt idx="1">
                  <c:v>-9.4</c:v>
                </c:pt>
                <c:pt idx="2">
                  <c:v>-13.2</c:v>
                </c:pt>
                <c:pt idx="3">
                  <c:v>36.8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c:v>
                </c:pt>
                <c:pt idx="1">
                  <c:v>1.6</c:v>
                </c:pt>
                <c:pt idx="2">
                  <c:v>2.1</c:v>
                </c:pt>
                <c:pt idx="3">
                  <c:v>2.4</c:v>
                </c:pt>
                <c:pt idx="4">
                  <c:v>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c:v>
                </c:pt>
                <c:pt idx="1">
                  <c:v>2.3</c:v>
                </c:pt>
                <c:pt idx="2">
                  <c:v>2.3</c:v>
                </c:pt>
                <c:pt idx="3">
                  <c:v>2.3</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Repsol</c:v>
                </c:pt>
                <c:pt idx="1">
                  <c:v>TotalEnergies</c:v>
                </c:pt>
                <c:pt idx="2">
                  <c:v>Eni</c:v>
                </c:pt>
                <c:pt idx="3">
                  <c:v>BP</c:v>
                </c:pt>
                <c:pt idx="4">
                  <c:v>Shell</c:v>
                </c:pt>
                <c:pt idx="5">
                  <c:v>Equinor</c:v>
                </c:pt>
                <c:pt idx="6">
                  <c:v>OMV</c:v>
                </c:pt>
                <c:pt idx="7">
                  <c:v>Galp Energia</c:v>
                </c:pt>
              </c:strCache>
            </c:strRef>
          </c:cat>
          <c:val>
            <c:numRef>
              <c:f>Hoja1!$B$2:$B$9</c:f>
              <c:numCache>
                <c:formatCode>0.0"x"</c:formatCode>
                <c:ptCount val="8"/>
                <c:pt idx="0">
                  <c:v>4.9</c:v>
                </c:pt>
                <c:pt idx="1">
                  <c:v>4.37</c:v>
                </c:pt>
                <c:pt idx="2">
                  <c:v>4</c:v>
                </c:pt>
                <c:pt idx="3">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3315</c:v>
                </c:pt>
                <c:pt idx="1">
                  <c:v>2443</c:v>
                </c:pt>
                <c:pt idx="2">
                  <c:v>2190</c:v>
                </c:pt>
                <c:pt idx="3">
                  <c:v>2774</c:v>
                </c:pt>
                <c:pt idx="4">
                  <c:v>2829</c:v>
                </c:pt>
                <c:pt idx="5">
                  <c:v>2803</c:v>
                </c:pt>
                <c:pt idx="6">
                  <c:v>2775</c:v>
                </c:pt>
                <c:pt idx="7">
                  <c:v>2831</c:v>
                </c:pt>
                <c:pt idx="8">
                  <c:v>2873</c:v>
                </c:pt>
                <c:pt idx="9">
                  <c:v>2916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17150</c:v>
                </c:pt>
                <c:pt idx="1">
                  <c:v>17937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c:v>
                </c:pt>
                <c:pt idx="1">
                  <c:v>25.92</c:v>
                </c:pt>
                <c:pt idx="2">
                  <c:v>37.24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Hoja1!$B$2:$B$7</c:f>
              <c:numCache>
                <c:formatCode>#,##0.0</c:formatCode>
                <c:ptCount val="6"/>
                <c:pt idx="0">
                  <c:v>18.53</c:v>
                </c:pt>
                <c:pt idx="1">
                  <c:v>30.58</c:v>
                </c:pt>
                <c:pt idx="2">
                  <c:v>23.01</c:v>
                </c:pt>
                <c:pt idx="3">
                  <c:v>14.83</c:v>
                </c:pt>
                <c:pt idx="4">
                  <c:v>28.68</c:v>
                </c:pt>
                <c:pt idx="5">
                  <c:v>29.47</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Hoja1!$C$2:$C$7</c:f>
              <c:numCache>
                <c:formatCode>#,##0.0</c:formatCode>
                <c:ptCount val="6"/>
                <c:pt idx="0">
                  <c:v>5.73</c:v>
                </c:pt>
                <c:pt idx="1">
                  <c:v>1.5200000000000031</c:v>
                </c:pt>
                <c:pt idx="2">
                  <c:v>6.669999999999998</c:v>
                </c:pt>
                <c:pt idx="3">
                  <c:v>22.410000000000004</c:v>
                </c:pt>
                <c:pt idx="4">
                  <c:v>5.82</c:v>
                </c:pt>
                <c:pt idx="5">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