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Ryanair Holdings plc</w:t>
      </w:r>
    </w:p>
    <w:p>
      <w:pPr>
        <w:spacing w:after="60"/>
        <w:rPr>
          <w:color w:val="52514E"/>
          <w:sz w:val="22"/>
          <w:szCs w:val="22"/>
        </w:rPr>
      </w:pPr>
      <w:r>
        <w:rPr>
          <w:color w:val="52514E"/>
          <w:sz w:val="22"/>
          <w:szCs w:val="22"/>
        </w:rPr>
        <w:t xml:space="preserve">RYA · Euronext Dublín (también Nasdaq: ADR RYAAY = 2 acciones) · ISIN IE00BYTBXV33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24,16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22,55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-5,0 % (base +6,0 %)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25,23 EUR · mercado 30,66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25.240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Ryanair Holdings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RYA / IE00BYTBXV33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Dublín (también Nasdaq: ADR RYAAY = 2 acciones)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ISEQ 20 / Euro Stoxx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Aerolíneas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Swords (Dublín) · 1984</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investor.ryanair.com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24,16 (9 oct 2026)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1.044,7</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25.240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22.585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22,55 EUR</w:t>
      </w:r>
      <w:r>
        <w:t xml:space="preserve"> frente a 24,16 · Rentabilidad a 12 meses </w:t>
      </w:r>
      <w:r>
        <w:rPr>
          <w:b/>
          <w:bCs/>
        </w:rPr>
        <w:t xml:space="preserve">-5,0 % (base +6,0 %)</w:t>
      </w:r>
      <w:r>
        <w:t xml:space="preserve"> · Valor intrínseco 25,23 EUR · con la prima implícita del mercado: 30,66 (+26,9 %) · Alcista / bajista +37,2 % / -28,0 %</w:t>
      </w:r>
    </w:p>
    <w:p>
      <w:pPr>
        <w:spacing w:after="100"/>
      </w:pPr>
      <w:r>
        <w:rPr>
          <w:b/>
        </w:rPr>
        <w:t xml:space="preserve">La recomendación y por qué.</w:t>
      </w:r>
      <w:r>
        <w:t xml:space="preserve"> Mantener, con convicción baja. Con nuestro BPA y la regla de múltiplos v3, el objetivo a 12 meses es de 22,25 € frente a un precio de 24,16 €: −6,3 % con el dividendo, y +4,3 % en el caso base. No llega a los umbrales de compra (15 % y 12 %) y la asimetría a un año es mala (0,4 veces): el bajista, 14,04 €, es el PER de marzo de 2025 sobre un BPA de combustible caro. El valor intrínseco es algo mayor (25,23 €, +4,4 %) y el objetivo medio de seis analistas (30,17 €) queda fuera de nuestro rango a 12 meses. La convicción es baja porque las reglas discrepan (con la prima del mercado sería Comprar, 30,66 €) y porque los datos de núcleo salen de extractos de búsqueda: precio sin cierre fechado y balance incompleto. Subiría si el combustible de FY28 se cubre por debajo de 85 USD y la tarifa del 1S deja de caer.</w:t>
      </w:r>
    </w:p>
    <w:p>
      <w:pPr>
        <w:spacing w:after="100"/>
      </w:pPr>
      <w:r>
        <w:rPr>
          <w:b/>
        </w:rPr>
        <w:t xml:space="preserve">El negocio.</w:t>
      </w:r>
      <w:r>
        <w:t xml:space="preserve"> Primer grupo aéreo de Europa (206 M de pasajeros en 2025, un 117 % más que easyJet) con el coste unitario más bajo del sector, flota en propiedad y caja neta de ≈2.700 M tras devolver en mayo su último bono [8, 18, 25]. El ROIC del motor (32,1 %) está inflado por los billetes cobrados por adelantado; sobre los aviones, ≈19 %, unos 10 puntos sobre el WACC del 9,28 %. Sostenibilidad: Sí. La reinversión financia un 7,9 % anual frente al 4,2 % proyectado y la cuota pasaría del 19 % al ≈20 % de los pasajeros de la UE; el riesgo es la entrega del MAX 10, no la demanda.</w:t>
      </w:r>
    </w:p>
    <w:p>
      <w:pPr>
        <w:spacing w:after="100"/>
      </w:pPr>
      <w:r>
        <w:rPr>
          <w:b/>
        </w:rPr>
        <w:t xml:space="preserve">Sector y ciclo.</w:t>
      </w:r>
      <w:r>
        <w:t xml:space="preserve"> La guerra con Irán (desde febrero) disparó el combustible: en el 1T FY27 el beneficio cayó un 34 %, a 538 M, con la tarifa −6 % y el 20 % no cubierto a ≈150 USD/barril [8]. FY27 está cubierto al 80 % a 67 USD; FY28 solo al 15 % a 85 USD. La dirección no da guía de beneficio y recortó el tráfico a 214 M [16].</w:t>
      </w:r>
    </w:p>
    <w:p>
      <w:pPr>
        <w:spacing w:after="100"/>
      </w:pPr>
      <w:r>
        <w:rPr>
          <w:b/>
        </w:rPr>
        <w:t xml:space="preserve">Finanzas.</w:t>
      </w:r>
      <w:r>
        <w:t xml:space="preserve"> Ingresos de 15.544 M en FY26 (+11 %) y beneficio de 2.174 M (2.260 M antes de la multa de la AGCM) [1]. El margen EBITDA osciló entre el 19,9 % y el 24,1 % en tres años: lo mueven tarifa y combustible.</w:t>
      </w:r>
    </w:p>
    <w:p>
      <w:pPr>
        <w:spacing w:after="100"/>
      </w:pPr>
      <w:r>
        <w:rPr>
          <w:b/>
        </w:rPr>
        <w:t xml:space="preserve">Equipo y gobierno.</w:t>
      </w:r>
      <w:r>
        <w:t xml:space="preserve"> O'Leary (4 %) seguirá hasta 2032 con una opción sobre 10 M de acciones que la junta aprobó con un 39 % en contra [26, 27]. Los accionistas no comunitarios no votan. Resta poco al valor.</w:t>
      </w:r>
    </w:p>
    <w:p>
      <w:pPr>
        <w:spacing w:after="100"/>
      </w:pPr>
      <w:r>
        <w:rPr>
          <w:b/>
        </w:rPr>
        <w:t xml:space="preserve">Valoración.</w:t>
      </w:r>
      <w:r>
        <w:t xml:space="preserve"> El DCF da 27,47 € (+13,7 %); los escenarios, 25,59 €; los comparables europeos, 12,56 € (pesan un 10 %: todos tienen deuda). El precio descuenta un crecimiento del 2,4 % y un margen del 21 %, frente al 4,2 % y el 22,5 % de nuestro base: conservador, pero coherente con dos años de combustible caro. A 12 meses, el PER actual (13,5 veces nuestro BPA de FY28e) es más alto que su historia adelantada (9,3-12,3x) y la regla lo baja a 12,1x. Nuestro BPA coincide con el consenso en FY27 (1,71 frente a 1,72 €); la distancia con los analistas es el múltiplo.</w:t>
      </w:r>
    </w:p>
    <w:p>
      <w:pPr>
        <w:spacing w:after="100"/>
      </w:pPr>
      <w:r>
        <w:rPr>
          <w:b/>
        </w:rPr>
        <w:t xml:space="preserve">Riesgos y catalizadores.</w:t>
      </w:r>
      <w:r>
        <w:t xml:space="preserve"> El combustible de FY28 (bajista −28 % en valor intrínseco) y una guerra de tarifas pesan más que nada. Catalizadores: resultados del 1S FY27 el 2 de noviembre, guía de FY27 en enero y entregas del MAX 10 en 2027. Los foros están divididos y más pesimistas que en mayo; señalan el mismo riesgo.</w:t>
      </w:r>
    </w:p>
    <w:p>
      <w:pPr>
        <w:spacing w:after="100"/>
      </w:pPr>
      <w:r>
        <w:rPr>
          <w:b/>
        </w:rPr>
        <w:t xml:space="preserve">Qué cambiaría la decisión.</w:t>
      </w:r>
      <w:r>
        <w:t xml:space="preserve"> Compraríamos por debajo de 19,69 € (ponderada ≥ 15 %, base ≥ 12 % y valor intrínseco por encima); venderíamos por encima de 25,15 €. Pasaría a Comprar con coberturas de FY28 por encima del 50 % a menos de 80 USD y la confirmación del precio y del balance con el 20-F.</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Más de 12 meses (la tesis necesita que FY28 deje atrás el combustible caro) · Objetivo a 12 meses: </w:t>
      </w:r>
      <w:r>
        <w:rPr>
          <w:b/>
          <w:bCs/>
        </w:rPr>
        <w:t xml:space="preserve">22,55 EUR</w:t>
      </w:r>
      <w:r>
        <w:t xml:space="preserve"> (rentabilidad -5,0 % (base +6,0 %)) · Valor intrínseco: 25,23 EUR (+4,4 % sobre 24,16) · con la prima implícita del mercado: 30,66 (+26,9 %)</w:t>
      </w:r>
    </w:p>
    <w:p>
      <w:pPr>
        <w:spacing w:after="100"/>
      </w:pPr>
      <w:r>
        <w:t xml:space="preserve">Ryanair es la aerolínea más eficiente de Europa: 208,4 M de pasajeros en FY26, ocupación del 94 %, flota de Boeing 737 en propiedad y caja neta de ≈2.700 M [1, 8]. Gana dinero con tarifas de ≈50 € porque su coste por asiento es el más bajo del sector, y crece con aviones comprados en la parte baja del ciclo (150 MAX 10 en firme, para 300 M de pasajeros en FY34) [19].</w:t>
      </w:r>
    </w:p>
    <w:p>
      <w:pPr>
        <w:spacing w:after="100"/>
      </w:pPr>
      <w:r>
        <w:t xml:space="preserve">El precio (24,16 €) descuenta un crecimiento del 2,4 % anual y un margen EBITDA del 21 %, frente al 4,2 % y el 22,5 % de nuestro caso base, y cotiza a 13,5 veces nuestro BPA de FY28e, casi el doble que la mediana de las aerolíneas europeas (7,3x).</w:t>
      </w:r>
    </w:p>
    <w:p>
      <w:pPr>
        <w:spacing w:after="100"/>
      </w:pPr>
      <w:r>
        <w:t xml:space="preserve">El mercado acierta en el corto plazo: FY27 y FY28 tendrán menos beneficio que FY26 por el combustible y la tarifa, y la historia del múltiplo de Ryanair (9,3-12,3x adelantado) no da para revalorizarse. A varios años, la ventaja en costes y la caja neta deberían llevar el valor a 27,47 € (DCF). Para invertir hay que creer que el combustible se normaliza en 2027 y que Boeing entrega el MAX 10.</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FY2029e,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 × 1,51 = 14,04 · 12,3x × 2,05 = 25,22 · 12,3x × 2,33 = 28,66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 / 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30,17 (nuestro base -16,4 %)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37,2 % / -28,0 %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 frente a 9,3 % y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(4,2 % anual proyectado; financiable al ROIC actual: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19,95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19,95 y 25,49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25,49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19,69 €: la regla daría Comprar (con los datos confirmados).</w:t>
      </w:r>
    </w:p>
    <w:p>
      <w:pPr>
        <w:pStyle w:val="ListParagraph"/>
        <w:numPr>
          <w:ilvl w:val="0"/>
          <w:numId w:val="2"/>
        </w:numPr>
        <w:spacing w:after="60"/>
      </w:pPr>
      <w:r>
        <w:t xml:space="preserve">Precio por encima de 25,15 €: la ponderada a 12 meses bajaría de −10 % y pasaríamos a Vender.</w:t>
      </w:r>
    </w:p>
    <w:p>
      <w:pPr>
        <w:pStyle w:val="ListParagraph"/>
        <w:numPr>
          <w:ilvl w:val="0"/>
          <w:numId w:val="2"/>
        </w:numPr>
        <w:spacing w:after="60"/>
      </w:pPr>
      <w:r>
        <w:t xml:space="preserve">Coberturas de FY28 por encima del 50 % a menos de 80 USD: subiríamos el margen de FY28 al 23 % y el BPA de FY29e.</w:t>
      </w:r>
    </w:p>
    <w:p>
      <w:pPr>
        <w:pStyle w:val="ListParagraph"/>
        <w:numPr>
          <w:ilvl w:val="0"/>
          <w:numId w:val="2"/>
        </w:numPr>
        <w:spacing w:after="60"/>
      </w:pPr>
      <w:r>
        <w:t xml:space="preserve">Tarifa media del 1S FY27 por debajo de −5 % (2-nov-2026): bajaríamos el margen base al 20 %.</w:t>
      </w:r>
    </w:p>
    <w:p>
      <w:pPr>
        <w:pStyle w:val="Heading2"/>
      </w:pPr>
      <w:r>
        <w:t xml:space="preserve">Dónde discrepamos del mercado</w:t>
      </w:r>
    </w:p>
    <w:p>
      <w:pPr>
        <w:keepNext/>
        <w:spacing w:after="100"/>
      </w:pPr>
      <w:r>
        <w:rPr>
          <w:b/>
          <w:bCs/>
        </w:rPr>
        <w:t xml:space="preserve">Lo que descuenta el precio.</w:t>
      </w:r>
    </w:p>
    <w:p>
      <w:pPr>
        <w:spacing w:after="100"/>
      </w:pPr>
      <w:r>
        <w:t xml:space="preserve">Un FY27-FY28 de beneficios más bajos (BPA de consenso de 1,72 € en FY27, frente a 2,06 € en FY26) y un crecimiento a largo plazo del 2,4 % anual, con un margen del 21 % [33].</w:t>
      </w:r>
    </w:p>
    <w:p>
      <w:pPr>
        <w:keepNext/>
        <w:spacing w:after="100"/>
      </w:pPr>
      <w:r>
        <w:rPr>
          <w:b/>
          <w:bCs/>
        </w:rPr>
        <w:t xml:space="preserve">Lo que creemos nosotros.</w:t>
      </w:r>
    </w:p>
    <w:p>
      <w:pPr>
        <w:spacing w:after="100"/>
      </w:pPr>
      <w:r>
        <w:t xml:space="preserve">Coincidimos en FY27 y somos algo más prudentes en FY28 (1,79 € frente a ≈1,98 € de Erste). A largo plazo esperamos más crecimiento (4,2 %) por la flota nueva, pero no creemos que el múltiplo se mantenga en 13,5 veces si FY28 decepciona.</w:t>
      </w:r>
    </w:p>
    <w:p>
      <w:pPr>
        <w:keepNext/>
        <w:spacing w:after="100"/>
      </w:pPr>
      <w:r>
        <w:rPr>
          <w:b/>
          <w:bCs/>
        </w:rPr>
        <w:t xml:space="preserve">Por qué podemos tener razón.</w:t>
      </w:r>
    </w:p>
    <w:p>
      <w:pPr>
        <w:spacing w:after="100"/>
      </w:pPr>
      <w:r>
        <w:t xml:space="preserve">Nuestra discrepancia con los analistas está en el múltiplo, no en el beneficio: ellos pagan la calidad (≈14,7 veces el BPA de FY29e); nosotros aplicamos la historia, corta y baja. No tenemos una visión distinta del mercado sobre el negocio.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24,1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Coste unitario más bajo de Europa</w:t>
      </w:r>
      <w:r>
        <w:t xml:space="preserve">: rentable con una tarifa media de ≈50 € y ocupación del 94 % [1].</w:t>
      </w:r>
    </w:p>
    <w:p>
      <w:pPr>
        <w:pStyle w:val="ListParagraph"/>
        <w:numPr>
          <w:ilvl w:val="0"/>
          <w:numId w:val="2"/>
        </w:numPr>
        <w:spacing w:after="60"/>
      </w:pPr>
      <w:r>
        <w:rPr>
          <w:b/>
        </w:rPr>
        <w:t xml:space="preserve">Caja neta de ≈2.700 M</w:t>
      </w:r>
      <w:r>
        <w:t xml:space="preserve"> y sin deuda financiera tras devolver el último bono en mayo de 2026 [8].</w:t>
      </w:r>
    </w:p>
    <w:p>
      <w:pPr>
        <w:pStyle w:val="ListParagraph"/>
        <w:numPr>
          <w:ilvl w:val="0"/>
          <w:numId w:val="2"/>
        </w:numPr>
        <w:spacing w:after="60"/>
      </w:pPr>
      <w:r>
        <w:rPr>
          <w:b/>
        </w:rPr>
        <w:t xml:space="preserve">Crecimiento con flota propia</w:t>
      </w:r>
      <w:r>
        <w:t xml:space="preserve">: 150 MAX 10 en firme hacia 300 M de pasajeros en FY34 [19].</w:t>
      </w:r>
    </w:p>
    <w:p>
      <w:pPr>
        <w:pStyle w:val="ListParagraph"/>
        <w:numPr>
          <w:ilvl w:val="0"/>
          <w:numId w:val="2"/>
        </w:numPr>
        <w:spacing w:after="60"/>
      </w:pPr>
      <w:r>
        <w:rPr>
          <w:b/>
        </w:rPr>
        <w:t xml:space="preserve">Rivales debilitados</w:t>
      </w:r>
      <w:r>
        <w:t xml:space="preserve">: Wizz Air en pérdidas y el sector europeo con deuda neta [23].</w:t>
      </w:r>
    </w:p>
    <w:p>
      <w:pPr>
        <w:pStyle w:val="ListParagraph"/>
        <w:numPr>
          <w:ilvl w:val="0"/>
          <w:numId w:val="2"/>
        </w:numPr>
        <w:spacing w:after="60"/>
      </w:pPr>
      <w:r>
        <w:rPr>
          <w:b/>
        </w:rPr>
        <w:t xml:space="preserve">Recompras continuas</w:t>
      </w:r>
      <w:r>
        <w:t xml:space="preserve">: acciones de 1.048,6 M en enero a 1.035,8 M en septiembre de 2026 [43].</w:t>
      </w:r>
    </w:p>
    <w:p>
      <w:pPr>
        <w:pStyle w:val="Heading2"/>
      </w:pPr>
      <w:r>
        <w:t xml:space="preserve">En contra</w:t>
      </w:r>
    </w:p>
    <w:p>
      <w:pPr>
        <w:pStyle w:val="ListParagraph"/>
        <w:numPr>
          <w:ilvl w:val="0"/>
          <w:numId w:val="2"/>
        </w:numPr>
        <w:spacing w:after="60"/>
      </w:pPr>
      <w:r>
        <w:rPr>
          <w:b/>
        </w:rPr>
        <w:t xml:space="preserve">Combustible de FY28 poco cubierto</w:t>
      </w:r>
      <w:r>
        <w:t xml:space="preserve">: 15 % a 85 USD [8].</w:t>
      </w:r>
    </w:p>
    <w:p>
      <w:pPr>
        <w:pStyle w:val="ListParagraph"/>
        <w:numPr>
          <w:ilvl w:val="0"/>
          <w:numId w:val="2"/>
        </w:numPr>
        <w:spacing w:after="60"/>
      </w:pPr>
      <w:r>
        <w:rPr>
          <w:b/>
        </w:rPr>
        <w:t xml:space="preserve">Tarifa a la baja</w:t>
      </w:r>
      <w:r>
        <w:t xml:space="preserve">: −6 % en el 1T FY27 y sin guía de beneficio [8].</w:t>
      </w:r>
    </w:p>
    <w:p>
      <w:pPr>
        <w:pStyle w:val="ListParagraph"/>
        <w:numPr>
          <w:ilvl w:val="0"/>
          <w:numId w:val="2"/>
        </w:numPr>
        <w:spacing w:after="60"/>
      </w:pPr>
      <w:r>
        <w:rPr>
          <w:b/>
        </w:rPr>
        <w:t xml:space="preserve">Múltiplo exigente frente a su historia</w:t>
      </w:r>
      <w:r>
        <w:t xml:space="preserve">: 13,5x el BPA de FY28e frente a 9,3-12,3x.</w:t>
      </w:r>
    </w:p>
    <w:p>
      <w:pPr>
        <w:pStyle w:val="ListParagraph"/>
        <w:numPr>
          <w:ilvl w:val="0"/>
          <w:numId w:val="2"/>
        </w:numPr>
        <w:spacing w:after="60"/>
      </w:pPr>
      <w:r>
        <w:rPr>
          <w:b/>
        </w:rPr>
        <w:t xml:space="preserve">Gobierno</w:t>
      </w:r>
      <w:r>
        <w:t xml:space="preserve">: opción de 10 M de acciones para O'Leary con un 39 % en contra [26].</w:t>
      </w:r>
    </w:p>
    <w:p>
      <w:pPr>
        <w:pStyle w:val="ListParagraph"/>
        <w:numPr>
          <w:ilvl w:val="0"/>
          <w:numId w:val="2"/>
        </w:numPr>
        <w:spacing w:after="60"/>
      </w:pPr>
      <w:r>
        <w:rPr>
          <w:b/>
        </w:rPr>
        <w:t xml:space="preserve">Datos de baja confianza</w:t>
      </w:r>
      <w:r>
        <w:t xml:space="preserve"> en este informe (precio sin cierre fechado, balance incompleto).</w:t>
      </w:r>
    </w:p>
    <w:p>
      <w:pPr>
        <w:pStyle w:val="Heading2"/>
      </w:pPr>
      <w:r>
        <w:t xml:space="preserve">Qué tiene que pasar para que la tesis funcione</w:t>
      </w:r>
    </w:p>
    <w:p>
      <w:pPr>
        <w:spacing w:after="100"/>
      </w:pPr>
      <w:r>
        <w:t xml:space="preserve">La tesis depende de que el combustible de FY28 no destruya el margen. La señal de que no se cumple: coberturas de FY28 por debajo del 50 % a final de 2026 o un margen EBITDA del 1S FY27 por debajo del de FY25 en el mismo periodo, con la tarifa del invierno cayendo más de un 5 %.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Cobertura de combustible de FY28</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a 85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50 % a final de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principal del BPA de FY28.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Tarifa media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(1T FY27)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 en el 1S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 el margen más que el volumen.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Tráfico de FY27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M (guía)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212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Retrasos de flota o recortes por el combustible.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neta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≈2.700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1.500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Colchón para el ciclo y las recompras.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11,8x / 14,0x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(FY2022-FY2026)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 · -0,7x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(3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Fundada en 1984 por la familia Ryan como aerolínea regional irlandesa, se reconvirtió en 1991-92 en la primera aerolínea de bajo coste europea copiando a Southwest, con Michael O'Leary al frente desde 1994. Cotiza desde 1997 (Dublín y Nasdaq). Creció con la liberalización del cielo europeo, una flota única de Boeing 737 y aeropuertos secundarios. En 2018-19 pasó a grupo de cuatro aerolíneas (Ryanair DAC, Buzz, Lauda Europe y Malta Air) [3, 19]. Tras la pandemia volvió a beneficios en FY23 y en 2025 fue la primera aerolínea europea en transportar 200 M de pasajeros en un año [18,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por la familia Ryan.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Reconversión al modelo de bajo coste.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Dublín y Nasdaq.</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 de 100 B737-MAX 8200 (más opciones), comprado en la parte baja del ciclo.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 de grupo con Buzz, Lauda Europe y Malta Air.</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1.015 M en FY21 por la pandemia.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 de hasta 300 B737-MAX 10 (150 en firme) para crecer hasta 300 M de pasajeros en FY34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aerolínea europea con 200 M de pasajeros en un año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Devuelve el último bono (1.200 M) y queda sin deuda financiera; guerra con Irán y petróleo caro [20].</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Grupo de aerolíneas de bajo coste de corto radio con ≈600 aviones Boeing 737 en propiedad, que vuela entre más de 200 aeropuertos de Europa y el norte de África. Vende sobre todo directo (web y aplicación), sin conexiones ni clase business. Cuatro certificados de operador: Ryanair DAC, Buzz (Polonia), Lauda Europe (Malta/Austria) y Malta Air [3, 19]. En FY26 transportó 208,4 M de pasajeros, con una ocupación del 94 % [15].</w:t>
      </w:r>
    </w:p>
    <w:p>
      <w:pPr>
        <w:pStyle w:val="Heading2"/>
      </w:pPr>
      <w:r>
        <w:t xml:space="preserve">Cómo gana dinero</w:t>
      </w:r>
    </w:p>
    <w:p>
      <w:pPr>
        <w:spacing w:after="100"/>
      </w:pPr>
      <w:r>
        <w:t xml:space="preserve">Ingresos de 15.544 M en FY26: un 68 % de billetes (10.560 M, tarifa media de ≈50 €) y un 32 % de servicios complementarios (≈24 € por pasajero) [15]. El margen depende del coste unitario más bajo de Europa (avión en propiedad comprado barato, alta densidad de asientos, aeropuertos con incentivos) y de la tarifa, que se mueve con la oferta del mercado. El combustible pesa ≈38-40 % de los costes (5.220 M en FY25) y se cubre 12-18 meses por delante. Muy estacional: casi todo el beneficio se gana en abril-septiembre y el cuarto trimestre (ene-mar) da pérdidas [3, 4].</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98"/>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billetes (scheduled)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complementarios (ancillary)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3"/>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billetes (scheduled)</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complementarios (ancillary)</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4.984</w:t>
            </w:r>
          </w:p>
        </w:tc>
      </w:tr>
    </w:tbl>
    <w:p>
      <w:pPr>
        <w:spacing w:after="160" w:before="0"/>
      </w:pPr>
    </w:p>
    <w:p>
      <w:pPr>
        <w:pStyle w:val="Heading2"/>
      </w:pPr>
      <w:r>
        <w:t xml:space="preserve">Clientes, recurrencia y poder de precios</w:t>
      </w:r>
    </w:p>
    <w:p>
      <w:pPr>
        <w:spacing w:after="100"/>
      </w:pPr>
      <w:r>
        <w:t xml:space="preserve">Cliente particular, sin concentración. Poder de precios limitado y cíclico: la tarifa media cayó un 7 % en FY25 y subió un 10 % en FY26; en el 1T FY27 bajó un 6 % con la guerra con Irán [4, 15]. La ventaja no está en el precio sino en el coste: con la tarifa más baja del mercado llena el 94 % de los asientos.</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Pasajeros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208,4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frenado por los retrasos de Boeing (29 B-8200 pendientes)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Tarifa media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45 € (FY25, −7 %)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50 € (FY26, +10 %)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ingreso de billetes subió un 14 % a 10.560 M [1,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complementario por pasajero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24 €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unitario sin excepcionales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FY26: +1 %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Combustible cubierto con coberturas; FY27 80 % a 67 USD/barril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Ocupación (load factor)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 (1T FY27)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Pasajeros 1T FY27 (abr-jun 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57,8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61,3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Tarifa media del trimestre −6 %, a 48 € [8].</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Transporte aéreo de pasajeros dentro de Europa (UE más Reino Unido y vecinos), en el segmento de corto radio donde opera Ryanair. Se usa el número de pasajeros de Eurostat (1.093,6 M en la UE en 2025, +3,9 %) como medida de volumen; no hay una cifra pública fiable del mercado en euros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1.094 M de pasajeros en la UE en 2025 (Eurostat vía prensa) [21]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Oferta de aviones (retrasos de Boeing y Airbus)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retrasos limitan la capacidad europea y sostienen las tarifas; a Ryanair le faltaron 29 B-8200 en FY26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combustible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20 % no cubierto se pagó a ≈150 USD/barril en el 1T FY27; IATA recortó el beneficio europeo de 2026 a 9.600 M USD (margen neto 3,1 %) [20,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ocio y precio del billete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Tarifa −7 % en FY25, +10 % en FY26 y −6 % en el 1T FY27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Debilidad de competidores (Wizz con pérdidas, consolidación)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Wizz Air con BPA negativo en 2026-27 según Goodbody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Tasas e impuestos al transporte aéreo (Reino Unido, Alemania, Italia)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recorta capacidad donde suben las tasas [19].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Guerra de tarifas cíclica; la tarifa media de Ryanair cayó un 7 % en FY25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 particular que compara precio en segundos; coste de cambio nulo.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Duopolio Boeing-Airbus con retrasos; aeropuertos regulados; combustible.</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Falta de aviones y de franjas horarias; entrantes recientes con pérdidas.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Tren de alta velocidad en rutas cortas concretas; poco en el resto.</w:t>
            </w:r>
          </w:p>
        </w:tc>
      </w:tr>
    </w:tbl>
    <w:p>
      <w:pPr>
        <w:spacing w:after="160" w:before="0"/>
      </w:pPr>
    </w:p>
    <w:p>
      <w:pPr>
        <w:pStyle w:val="Heading2"/>
      </w:pPr>
      <w:r>
        <w:t xml:space="preserve">Ciclo</w:t>
      </w:r>
    </w:p>
    <w:p>
      <w:pPr>
        <w:spacing w:after="100"/>
      </w:pPr>
      <w:r>
        <w:t xml:space="preserve">Después de dos años de tarifas altas por falta de aviones, la guerra con Irán (desde finales de febrero de 2026) disparó el combustible y frenó las tarifas: las acciones del sector europeo cayeron un 16 % y las de Ryanair un 13 % [24]. En 2008-09 Ryanair tuvo su única pérdida anual antes de la pandemia; en 2020-22 perdió 1.015 M y 241 M; en 2022 el combustible caro se compensó con la demanda reprimida.</w:t>
      </w:r>
    </w:p>
    <w:p>
      <w:pPr>
        <w:pStyle w:val="Heading2"/>
      </w:pPr>
      <w:r>
        <w:t xml:space="preserve">Regulación</w:t>
      </w:r>
    </w:p>
    <w:p>
      <w:pPr>
        <w:spacing w:after="100"/>
      </w:pPr>
      <w:r>
        <w:t xml:space="preserve">La AGCM italiana multó a Ryanair con 256 M por su relación con las agencias de viaje online (recurrida) [13]. Impuestos al pasajero al alza en Reino Unido, Alemania e Italia; el sistema europeo de comercio de emisiones encarece cada año los derechos gratuitos que desaparecen en 2026.</w:t>
      </w:r>
    </w:p>
    <w:p>
      <w:pPr>
        <w:pStyle w:val="Heading2"/>
      </w:pPr>
      <w:r>
        <w:t xml:space="preserve">Tendencias y disrupción</w:t>
      </w:r>
    </w:p>
    <w:p>
      <w:pPr>
        <w:spacing w:after="100"/>
      </w:pPr>
      <w:r>
        <w:t xml:space="preserve">Las aerolíneas de bajo coste siguen ganando cuota a las tradicionales en Europa [25]. Ryanair amplió su ventaja: 206,4 M de pasajeros en 2025 frente a 135,0 M de Lufthansa Group, y un 117 % más que easyJet [18, 25]. La renovación de flota con el MAX 10 (un 21 % más de asientos y menos consumo) baja el coste unitario a partir de 2027.</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grupo aéreo de Europa por pasajeros (206,4 M en 2025) [18]; ≈19 % de los pasajeros de la UE (estimación propia: 206,5 M sobre 1.093,6 M de Eurostat, con perímetros no idénticos) [21].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amplía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Lufthansa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LHA</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135,0 M de pasajeros en 2025; red y largo radio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IAG (Vueling, BA, Iberia, Aer Lingus)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IAG</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Bajo coste con Vueling; beneficio sostenido por el Atlántico Norte.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 France-KLM (Transavia)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AF</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Bajo coste con Transavia.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easyJet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EZJ</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bajo coste; aeropuertos principales y paquetes turísticos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Wizz Air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Hungría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WIZZ</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Pérdidas en 2026-27 (motores Pratt &amp; Whitney, Oriente Medio) [23].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punto a punto sin conexiones; la densidad de rutas da poder de negociación con aeropuertos, no efectos de red sobre el cliente.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Nulos para el pasajero.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asociada a precio bajo; franjas horarias en algunos aeropuertos.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unitario más bajo de Europa: flota única en propiedad comprada con descuento, 94 % de ocupación; gana dinero con una tarifa media de ≈50 €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grupo europeo por pasajeros (206 M) con un 117 % más que easyJet; poder de compra ante Boeing y aeropuertos [2, 12].</w:t>
            </w:r>
          </w:p>
        </w:tc>
      </w:tr>
    </w:tbl>
    <w:p>
      <w:pPr>
        <w:spacing w:after="160" w:before="0"/>
      </w:pPr>
    </w:p>
    <w:p>
      <w:pPr>
        <w:pStyle w:val="Heading2"/>
      </w:pPr>
      <w:r>
        <w:t xml:space="preserve">Amenazas</w:t>
      </w:r>
    </w:p>
    <w:p>
      <w:pPr>
        <w:spacing w:after="100"/>
      </w:pPr>
      <w:r>
        <w:t xml:space="preserve">Un periodo largo de combustible caro sin coberturas (FY28 solo cubierto al 15 % a 85 USD) [20]; retrasos de Boeing con el MAX 10 (certificación pendiente) que frenen el plan de 300 M de pasajeros; impuestos al transporte aéreo y costes del comercio de emisiones; y la regulación de la competencia (AGCM) sobre su relación con las agencias online.</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bl>
    <w:p>
      <w:pPr>
        <w:spacing w:after="160" w:before="0"/>
      </w:pPr>
    </w:p>
    <w:p>
      <w:pPr>
        <w:spacing w:after="100"/>
      </w:pPr>
      <w:r>
        <w:t xml:space="preserve">Crecimiento anual compuesto FY2022-FY2026: ingresos </w:t>
      </w:r>
      <w:r>
        <w:rPr>
          <w:b/>
          <w:bCs/>
        </w:rPr>
        <w:t xml:space="preserve">34,1 %</w:t>
      </w:r>
      <w:r>
        <w:t xml:space="preserve">, EBITDA </w:t>
      </w:r>
      <w:r>
        <w:rPr>
          <w:b/>
          <w:bCs/>
        </w:rPr>
        <w:t xml:space="preserve">n.d.</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Los ingresos pasaron de 4.801 M en FY22 a 15.544 M en FY26, todo orgánico: 208,4 M de pasajeros (+4 %) y una tarifa media +10 % en FY26 [1, 15]. El beneficio fue de 1.314 M en FY23, 1.917 M en FY24, 1.612 M en FY25 (tarifas −7 %) y 2.174 M en FY26 (2.260 M antes de excepcionales) [1, 4, 6]. El margen EBITDA osciló entre el 19,9 % (FY25) y el 24,1 % (FY26): lo mueven la tarifa y el combustible, no el volumen. El 1T FY27 (abril-junio de 2026) devolvió el margen a la baja: beneficio −34 %, a 538 M, con la tarifa −6 % y el combustible no cubierto a ≈150 USD/barril [8].</w:t>
      </w:r>
    </w:p>
    <w:p>
      <w:pPr>
        <w:pStyle w:val="Heading2"/>
      </w:pPr>
      <w:r>
        <w:t xml:space="preserve">Ajustes y partidas no recurrentes</w:t>
      </w:r>
    </w:p>
    <w:p>
      <w:pPr>
        <w:spacing w:after="100"/>
      </w:pPr>
      <w:r>
        <w:t xml:space="preserve">Cifras publicadas. FY26 incluye un excepcional de 85 M (un tercio de la multa de la AGCM de 256 M, recurrida) dentro de los costes de explotación: va en no_recurrentes_en_ebitda y el BPA de la historia adelantada usa el de antes de excepcionales (2,12 €) [1, 13]. FY23 tiene 117 M de diferencia entre el beneficio publicado (1.314 M) y el «antes de excepcionales» (1.430 M) [6]. FY22 (pérdida de 241 M) está incompleto. El «resultado financiero y otros» de FY25 (+226 M) incluye partidas distintas de los intereses de la caja.</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 FY27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el 1T FY27 (20-jul-2026) el beneficio cayó un 34 %, a 538 M, con ingresos +1 % (4.380 M), pasajeros +6 % (61,3 M) y tarifa media −6 % (48 €); los costes subieron un 11 %, a 3.810 M, y el combustible un 16 %, a 1.690 M, porque el 20 % no cubierto se pagó a ≈150 USD/barril [8, 15]. La dirección no dio guía de beneficio para FY27 («visibilidad nula del segundo semestre»): mantiene 80 % del combustible de FY27 cubierto a 67 USD y solo un 15 % de FY28 a 85 USD [8]. En mayo, con los resultados de FY26, el discurso era de récord (beneficio antes de excepcionales de 2.260 M, +40 %, tarifas +10 %) y de recompra de deuda: el último bono de 1.200 M se devolvió en mayo y el grupo queda sin deuda financiera [1, 13]. En agosto recortó el tráfico de FY27 de 216 a 214 M para reducir la exposición al combustible no cubierto del invierno [16]. Lo que no contestó: el nivel de tarifas del segundo semestre y el coste del combustible de FY28.</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86"/>
        <w:gridCol w:w="1472"/>
        <w:gridCol w:w="1338"/>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Días de inventario y de pago calculados sobre costes operativos de caja (ingresos − EBITDA), por ser una cuenta por naturaleza.</w:t>
      </w: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El balance pasó de una deuda bruta de 4.116 M y caja neta de 559 M en FY23 a 1.373 M de caja neta en FY24, ≈1.300 M en FY25 y 2.100 M en FY26, con la devolución progresiva de los bonos de la pandemia [1, 5, 12]. En mayo de 2026 devolvió el último bono (1.200 M) y la deuda financiera queda prácticamente en cero; la caja bruta baja a ≈2.800 M en junio [8, 14]. Con 145 M de arrendamientos y una flota en propiedad, el grupo financia con caja propia el pedido de B737-MAX 10 [1].</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Acumulado FY2022-FY2026: FCF </w:t>
      </w:r>
      <w:r>
        <w:rPr>
          <w:b/>
          <w:bCs/>
        </w:rPr>
        <w:t xml:space="preserve">8.323</w:t>
      </w:r>
      <w:r>
        <w:t xml:space="preserve">, conversión </w:t>
      </w:r>
      <w:r>
        <w:rPr>
          <w:b/>
          <w:bCs/>
        </w:rPr>
        <w:t xml:space="preserve">123 %</w:t>
      </w:r>
      <w:r>
        <w:t xml:space="preserve"> del beneficio neto; adquisiciones 0, dividendos 1.080, recompras 2.014.</w:t>
      </w:r>
    </w:p>
    <w:p>
      <w:pPr>
        <w:spacing w:after="100"/>
      </w:pPr>
      <w:r>
        <w:t xml:space="preserve">El flujo operativo fue de 3.891 M en FY23 (inflado por los cobros anticipados de la recuperación), 3.158 M en FY24, 3.416 M en FY25 y 3.695 M en FY26; el capex, de 2.392 M en FY24, 1.553 M en FY25 (retrasos de Boeing) y 1.892 M en FY26 [3, 9]. El FCF de FY26 queda en ≈1.800 M (estimación propia: flujo operativo menos capex), 0,83 veces el beneficio. La caja se reparte entre dividendo (443 M en FY26), recompras (1.478 M en FY25 y 537 M en FY26) y devolución de bonos [9]. El dividendo de FY24 (199 M) es estimación propia: 0,175 € de dividendo a cuenta por ≈1.140 M de acciones [5]. El capex de mantenimiento no se publica; con amortizaciones de 1.373 M, el exceso del capex (≈500 M) es crecimiento de flota.</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NIIF-UE con ejercicio cerrado en marzo; los resultados anuales se publican como estados no auditados y el 20-F lleva los auditados [2, 3]. Partidas a vigilar: (1) la contabilidad de coberturas de combustible y divisa, que mueve el patrimonio (reserva de coberturas) y, cuando hay ineficacia, la cuenta (FY20); (2) los excepcionales: 85 M de provisión por la multa de la AGCM en FY26 y diferencias de 117 M entre el beneficio publicado y el «antes de excepcionales» en FY23 [6, 13]; (3) el «resultado financiero y otros» de FY25 (+226 M) mezcla intereses de la caja con otros conceptos, y cae a +49 M en FY26 [2, 4]. Los indicadores del motor (Altman, Piotroski, Beneish) salen incompletos porque el balance de FY22-FY24 no tiene desglose de circulante: no se interpretan.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Multa de la AGCM (abuso de posición con las agencias de viaje online)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256 M, provisionado un tercio (85 M) como excepcional en FY26; Ryanair recurre [1, 13].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Patrimonio movido por la reserva de coberturas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el petróleo caro a marzo de 2026 los derivados de activo suben a ≈2.134 M y el patrimonio a 10.101 M; el ROE y el ROIC sobre patrimonio contable bajan sin cambio de negocio [3].</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6.865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bCs/>
        </w:rPr>
        <w:t xml:space="preserve">ROIC incremental</w:t>
      </w:r>
      <w:r>
        <w:t xml:space="preserve"> (variación del NOPAT sobre variación del capital invertido en el periodo): 23,7 % · </w:t>
      </w:r>
      <w:r>
        <w:rPr>
          <w:b/>
          <w:bCs/>
        </w:rPr>
        <w:t xml:space="preserve">WACC</w:t>
      </w:r>
      <w:r>
        <w:t xml:space="preserve">: 9,3 %.</w:t>
      </w:r>
    </w:p>
    <w:p>
      <w:pPr>
        <w:spacing w:after="100"/>
      </w:pPr>
      <w:r>
        <w:t xml:space="preserve">El ROIC del motor es del 32 % en FY26 (23,5 % en FY25 y 32,8 % en FY24), muy por encima del WACC del 9,28 %. Está inflado por el circulante negativo: los billetes cobrados por anticipado (más de 6.000 M de pasivos devengados) financian parte de la flota [4]. Medido sobre el inmovilizado material (11.373 M), el rendimiento después de impuestos es de ≈19 % (estimación propia: NOPAT de 2.206 M), unos 10 puntos sobre el WACC. Lo mueve el margen, no la rotación (0,8 veces): los años de tarifa alta (FY24, FY26) dan 32-33 % y los de tarifa baja, 23 %. El ROIC incremental histórico (23,7 %) muestra que los aviones nuevos rinden: se compran en la parte baja del ciclo y se pagan con caja. Ninguna aerolínea europea cotizada se acerca: todas con deuda neta y márgenes de un dígito [49].</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-2.655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bruta de ≈2.800 M y caja neta de ≈2.700 M a 30-jun-2026, tras devolver en mayo el último bono de 1.200 M con caja propia [8, 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BBB+ (S&amp;P y Fitch)</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Covenants, pasivos fuera de la deuda y contingencias</w:t>
      </w:r>
    </w:p>
    <w:p>
      <w:pPr>
        <w:spacing w:after="100"/>
      </w:pPr>
      <w:r>
        <w:t xml:space="preserve">El mayor pasivo de explotación son los cobros anticipados de billetes y los gastos devengados (6.179 M de «accrued expenses and other liabilities» a marzo de 2025, dentro de un pasivo corriente de 8.153 M) [4]: financian el circulante y hacen que la caja de junio sea estacionalmente alta. Hay una multa de la autoridad italiana de la competencia (AGCM) de 256 M, provisionada en un tercio (85 M, excepcional en FY26) y recurrida [1, 13]. Los derivados de combustible y divisa llevan a patrimonio la reserva de coberturas: con el petróleo caro a marzo de 2026 el patrimonio salta a 10.101 M y los derivados de activo suman ≈2.134 M [3]. Arrendamientos de solo 145 M: la flota es casi toda en propiedad.</w:t>
      </w:r>
    </w:p>
    <w:p>
      <w:pPr>
        <w:pStyle w:val="Heading1"/>
      </w:pPr>
      <w:r>
        <w:t xml:space="preserve">12. Asignación de capital</w:t>
      </w:r>
    </w:p>
    <w:p>
      <w:pPr>
        <w:pStyle w:val="Confianza"/>
        <w:spacing w:after="100"/>
      </w:pPr>
      <w:r>
        <w:t xml:space="preserve">Confianza: Media</w:t>
      </w:r>
    </w:p>
    <w:p>
      <w:pPr>
        <w:spacing w:after="100"/>
      </w:pPr>
      <w:r>
        <w:t xml:space="preserve">Dividendo ordinario semestral desde FY24 (0,175 € a cuenta y 0,178 € complementario de FY24; 0,223 € y 0,227 € de FY25; 0,193 € y 0,195 € de FY26) y recompras amortizadas: 1.478 M en FY25 (77,5 M de acciones, ≈7 % del capital) y 537 M en FY26, con un programa iniciado el 20-may-2025 que sigue en curso [5, 9, 10, 11, 17]. La prioridad declarada es pagar la flota (pedido de B737-MAX 10) con caja propia y mantener el grado de inversión (BBB+) [1,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5"/>
        <w:gridCol w:w="214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Laudamotion (Austria), hasta el 100 % en 2019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Pérdidas iniciales; integrada como Lauda Europe.</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Malta Air (creación de AOC)</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Filial operativa del grupo.</w:t>
            </w:r>
          </w:p>
        </w:tc>
      </w:tr>
    </w:tbl>
    <w:p>
      <w:pPr>
        <w:spacing w:after="160" w:before="0"/>
      </w:pPr>
    </w:p>
    <w:p>
      <w:pPr>
        <w:spacing w:after="100"/>
      </w:pPr>
      <w:r>
        <w:t xml:space="preserve">Asignador de capital disciplinado: compra aviones en los momentos bajos del ciclo (pedidos de 2014 y de 2023), los paga con caja y devuelve el sobrante. Desde 2008 ha amortizado casi un 36 % del capital emitido [10]. Las recompras de FY25 (1.478 M a ≈19 €) se hicieron por debajo del precio actual; el dividendo se paga con un 20-25 % del beneficio.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O'Leary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del grupo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1988, consejero delegado de Ryanair desde 1994 y del grupo desde 2019. Llevó la aerolínea de ≈1 M a 208 M de pasajeros. Contrato ampliado hasta abril de 2032 [28, 29].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Stan McCarthy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 consejero delegado de Kerry Group. Negoció con los grandes accionistas la ampliación del contrato de O'Leary [28].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Tráfico de ≈200 M de pasajeros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200,2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Tráfico de 210 M (tras recortar desde 215 M por Boeing)</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208,4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Tráfico de 216 M (mayo), recortado a 214 M (septiembre); sin guía de beneficio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O'Leary lleva 32 años al frente y ha firmado hasta 2032: la sucesión no es un riesgo a corto plazo, pero sí la dependencia de una persona. La guía se limita al tráfico y a veces a una horquilla de beneficio muy amplia; se recorta cuando Boeing se retrasa (215 → 210 M en FY26, 216 → 214 M en FY27) [16, 30].</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(3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Stan McCarthy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Michael O'Leary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del grupo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1988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39,0 %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Michael O'Leary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Vendió ≈21 M € de acciones en 2025 [32]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7" name="Gráfico 17"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junta del 10-sep-2026 aprobó la nueva política con solo un 61 % a favor (un 39 % en contra, con ISS y PIRC en contra) y el informe de remuneración con un 86 % [26, 27]. El centro es una opción sobre 10 M de acciones (≈1 % del capital) que solo se ejerce si O'Leary sigue hasta abril de 2032 y el grupo gana más de 4.000 M o la acción supera los 42 € durante 28 días seguidos; la prensa la valora en más de 150 M [27, 31]. El umbral de precio premia también un ciclo alcista del sector, la crítica de los asesores de voto.</w:t>
      </w:r>
    </w:p>
    <w:p>
      <w:pPr>
        <w:pStyle w:val="Heading2"/>
      </w:pPr>
      <w:r>
        <w:t xml:space="preserve">Operaciones vinculadas, estructura de control y defensas</w:t>
      </w:r>
    </w:p>
    <w:p>
      <w:pPr>
        <w:spacing w:after="100"/>
      </w:pPr>
      <w:r>
        <w:t xml:space="preserve">Sin accionista de control: O'Leary tiene ≈4 % [32]. Como aerolínea de la UE, los estatutos permiten limitar los derechos de los accionistas no comunitarios para conservar la licencia: tras el Brexit los accionistas del Reino Unido y los tenedores de ADR no votan, por eso no rige «una acción, un voto». Recompra continua de acciones que se amortizan [17].</w:t>
      </w:r>
    </w:p>
    <w:p>
      <w:pPr>
        <w:pStyle w:val="Heading2"/>
      </w:pPr>
      <w:r>
        <w:t xml:space="preserve">Señales de alerta</w:t>
      </w:r>
    </w:p>
    <w:p>
      <w:pPr>
        <w:pStyle w:val="ListParagraph"/>
        <w:numPr>
          <w:ilvl w:val="0"/>
          <w:numId w:val="2"/>
        </w:numPr>
        <w:spacing w:after="60"/>
      </w:pPr>
      <w:r>
        <w:t xml:space="preserve">Voto en contra del 39 % de la política de remuneración en la junta de 2026 [26].</w:t>
      </w:r>
    </w:p>
    <w:p>
      <w:pPr>
        <w:pStyle w:val="ListParagraph"/>
        <w:numPr>
          <w:ilvl w:val="0"/>
          <w:numId w:val="2"/>
        </w:numPr>
        <w:spacing w:after="60"/>
      </w:pPr>
      <w:r>
        <w:t xml:space="preserve">Multa de la AGCM italiana de 256 M, recurrida [13].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Sin guía de beneficio para FY27: la dirección alega visibilidad nula del segundo semestre y la volatilidad del combustible [8]. Tráfico de 214 M de pasajeros (+3 %), recortado desde 216 M en septiembre [16]. Combustible de FY27 cubierto al 80 % a 67 USD/barril y de FY28 al 15 % a 85 USD [8]. Objetivo a medio plazo: 300 M de pasajeros en FY34 con el pedido de B737-MAX 10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8"/>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Stock Analysis (S&amp;P Global, 19 analistas: media 1,70 €, 1,50-1,85) y Simply Wall St (1,75 €) [33, 34]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consenso en euros; Erste: 4,42 USD por ADR (≈1,98 € por acción) [35]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3.426</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16.730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26,10 – 33,52</w:t>
            </w:r>
          </w:p>
        </w:tc>
      </w:tr>
    </w:tbl>
    <w:p>
      <w:pPr>
        <w:spacing w:after="160" w:before="0"/>
      </w:pPr>
    </w:p>
    <w:p>
      <w:pPr>
        <w:pStyle w:val="Heading2"/>
      </w:pPr>
      <w:r>
        <w:t xml:space="preserve">Revisiones de estimaciones</w:t>
      </w:r>
    </w:p>
    <w:p>
      <w:pPr>
        <w:spacing w:after="100"/>
      </w:pPr>
      <w:r>
        <w:t xml:space="preserve">Recortes desde mayo: RBC bajó el EBIT de FY27-FY29 un 16 % y el objetivo de 31 a 29 € tras los resultados de FY26 [36]; Erste recortó el BPA de FY27 de 4,51 a 3,96 USD por ADR y el de FY28 de 4,64 a 4,42 USD tras el 1T [35, 37]; el BPA de FY27 del consenso bajó de 1,93 a 1,75 € [34]. Motivo: combustible no cubierto y tarifas más bajas por la guerra con Irán. Los objetivos de los analistas se dan en USD por ADR (media de 67,52 USD, de 58,40 a 75,00, seis analistas) y se convierten a euros por acción con el BCE (1,1188) y la relación de 2 acciones por ADR [33, 38].</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w:t>
            </w:r>
          </w:p>
        </w:tc>
      </w:tr>
    </w:tbl>
    <w:p>
      <w:pPr>
        <w:spacing w:after="160" w:before="0"/>
      </w:pPr>
    </w:p>
    <w:p>
      <w:pPr>
        <w:spacing w:after="160" w:before="0"/>
      </w:pPr>
    </w:p>
    <w:p>
      <w:pPr>
        <w:spacing w:after="100"/>
      </w:pPr>
      <w:r>
        <w:t xml:space="preserve">La acción cae un 19,9 % en el año (cierre de 23,79 € tras el tráfico de septiembre) [39]: desde el ataque de EE. UU. e Israel a Irán a finales de febrero cayó hasta un 12,9 %, menos que el sector europeo (−16,3 %) [24]; perdió un 7 % el día del 1T FY27 (24,11 €) y tocó ≈22,4-22,9 € a principios de septiembre (precios medios de la recompra) [17, 40]. Repuntó un 2,3 % el 25-sep, a 23,24 €, con el alivio del petróleo [41].</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t xml:space="preserve">Solo hay precios de cierre fiables de FY2024 (precio medio de la recompra del 21-may-2024, tras los resultados), FY2025 y FY2026 (precios de la recompra al cierre de marzo) [45, 46, 47]. Con ellos, el PER adelantado (cierre ÷ BPA del ejercicio siguiente) fue de 12,3x en FY2024 y 9,3x en FY2025, con el BPA de FY26 antes de excepcionales. FY2022-FY2023 se excluyen (pérdidas y recuperación tras la pandemia). Hoy la acción cotiza a 13,5x nuestro BPA de FY28e: por encima de esa historia corta, porque el mercado mira a través de un FY27-FY28 deprimido por el combustible.</w:t>
      </w:r>
    </w:p>
    <w:p>
      <w:pPr>
        <w:pStyle w:val="Heading1"/>
      </w:pPr>
      <w:r>
        <w:t xml:space="preserve">18. Comparables cotizados</w:t>
      </w:r>
    </w:p>
    <w:p>
      <w:pPr>
        <w:pStyle w:val="Confianza"/>
        <w:spacing w:after="100"/>
      </w:pPr>
      <w:r>
        <w:t xml:space="preserve">Confianza: Baja</w:t>
      </w:r>
    </w:p>
    <w:p>
      <w:pPr>
        <w:spacing w:after="100"/>
      </w:pPr>
      <w:r>
        <w:t xml:space="preserve">Aerolíneas cotizadas europeas: tres grupos de red con filial de bajo coste (IAG con Vueling, Lufthansa con Eurowings, Air France-KLM con Transavia) y tres de bajo coste u ocio (easyJet, Jet2, Wizz Air). Ninguna tiene la caja neta, la flota en propiedad ni el coste de Ryanair: son la referencia de lo que el mercado paga por una aerolínea europea, no un precio justo para Ryanair. Wizz Air está en pérdidas (sin PER) y su EV/EBITDA es de abril. Cifras de proveedores y fechas distintas (Stock Analysis, Goodbody, Stockopedia; julio-septiembre de 2026) [23, 48, 49, 50, 51].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21"/>
        <w:gridCol w:w="504"/>
        <w:gridCol w:w="908"/>
        <w:gridCol w:w="706"/>
        <w:gridCol w:w="807"/>
        <w:gridCol w:w="807"/>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Ryanair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Lufthansa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 France-KLM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Jet2</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easyJet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Wizz Air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6"/>
        <w:gridCol w:w="1188"/>
        <w:gridCol w:w="1188"/>
        <w:gridCol w:w="1056"/>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8,2x</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 / 3,5x / 7,9x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6,0x / 7,3x / 8,2x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9" name="Gráfico 19"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Las aerolíneas europeas cotizan a 3,5-7,9 veces el EBITDA de los últimos 12 meses y a 2,4-10,6 veces el beneficio esperado (mediana del PER de 7,3x) [48, 49, 50]. Ryanair cotiza a 5,9 veces el EBITDA y a 14,0 veces nuestro BPA de los próximos 12 meses: casi el doble de PER que el sector. La prima se justifica por tres cosas que los comparables no tienen: caja neta (≈2.700 M frente a deuda neta en todas las demás), flota en propiedad y un ROIC por encima del 20 %. Por eso el método pesa solo un 10 %: aplicar la mediana del sector a Ryanair da 12,56 € por acción, un valor de liquidación del ciclo y no de un negocio con ventaja en costes.</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FY27e +2,5 %: tráfico de 214 M (+2,7 %, guía recortada en septiembre) y tarifa algo más baja que en FY26 (−6 % en el 1T, «ligeramente a la baja» en el 2T) [8, 16]. FY28e-FY31e +5-6 %: llegan los B737-MAX 10 (150 en firme) y el objetivo es 300 M de pasajeros en FY34, un 4,6 % anual desde 208 M [19]; suponemos un 4-4,5 % de tráfico y un 1-1,5 % de tarifa. Después baja hasta el 2,5 % de FY36e. El crecimiento medio (4,2 %) queda por debajo del de FY23-FY26 y del que la flota permite.</w:t>
      </w:r>
    </w:p>
    <w:p>
      <w:pPr>
        <w:keepNext/>
        <w:spacing w:after="100"/>
      </w:pPr>
      <w:r>
        <w:rPr>
          <w:b/>
          <w:bCs/>
        </w:rPr>
        <w:t xml:space="preserve">Márgenes.</w:t>
      </w:r>
    </w:p>
    <w:p>
      <w:pPr>
        <w:spacing w:after="100"/>
      </w:pPr>
      <w:r>
        <w:t xml:space="preserve">Margen EBITDA del 21,5 % en FY27e-FY28e: el 1T FY27 cayó un 37 % en beneficio de explotación, el consenso de BPA de FY27 es de 1,72 € y FY28 solo tiene un 15 % del combustible cubierto a 85 USD [8, 33]. Sube al 22,5-23 % desde FY29e con el MAX 10 (un 21 % más de asientos y menos consumo) y vuelve al 22,5 % al final, la media de FY24-FY26 (23,2 %, 19,9 % y 24,1 %) con un descuento por la competencia.</w:t>
      </w:r>
    </w:p>
    <w:p>
      <w:pPr>
        <w:keepNext/>
        <w:spacing w:after="100"/>
      </w:pPr>
      <w:r>
        <w:rPr>
          <w:b/>
          <w:bCs/>
        </w:rPr>
        <w:t xml:space="preserve">Inversión y circulante.</w:t>
      </w:r>
    </w:p>
    <w:p>
      <w:pPr>
        <w:spacing w:after="100"/>
      </w:pPr>
      <w:r>
        <w:t xml:space="preserve">Amortización del 9 % de las ventas (8,8 % en FY26). Capex del 13-14 % en FY27e-FY30e por las entregas del MAX 10 (12,2 % en FY26 y 17,8 % en FY24, con entregas retrasadas), que baja al 10 % al final, por encima de la amortización. Circulante a cero: el motor no ve los billetes cobrados por anticipado; tratarlos aparte sumaría caja.</w:t>
      </w:r>
    </w:p>
    <w:p>
      <w:pPr>
        <w:keepNext/>
        <w:spacing w:after="100"/>
      </w:pPr>
      <w:r>
        <w:rPr>
          <w:b/>
          <w:bCs/>
        </w:rPr>
        <w:t xml:space="preserve">Coste del capital.</w:t>
      </w:r>
    </w:p>
    <w:p>
      <w:pPr>
        <w:spacing w:after="100"/>
      </w:pPr>
      <w:r>
        <w:t xml:space="preserve">Tasa libre: Bund a 10 años del 3,53 % (12-oct-2026) [52]. Beta de 1,1 (estimación propia: aerolínea con caja neta; no se pudo calcular con bolsa.mjs). Prima de mercado del 5,5 % y sin prima adicional: vende en la zona euro y Reino Unido. Coste de la deuda del 4 % con un peso del 5 % (prácticamente sin deuda). WACC del 9,28 %. Con la prima implícita del mercado (4,2 %) baja al 7,92 % y el valor sube a 33,75 €.</w:t>
      </w:r>
    </w:p>
    <w:p>
      <w:pPr>
        <w:keepNext/>
        <w:spacing w:after="100"/>
      </w:pPr>
      <w:r>
        <w:rPr>
          <w:b/>
          <w:bCs/>
        </w:rPr>
        <w:t xml:space="preserve">Valor terminal.</w:t>
      </w:r>
    </w:p>
    <w:p>
      <w:pPr>
        <w:spacing w:after="100"/>
      </w:pPr>
      <w:r>
        <w:t xml:space="preserve">Gordon con un 2 % de crecimiento: la inflación objetivo del BCE con crecimiento real nulo, coherente con un Bund del 3,53 %. En el bajista, 1,5 %. El valor terminal pesa un 59 %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36,97</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5.822 M (25 %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 (ROIC 32,1 %)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 (histórico: 23,7 %)</w:t>
            </w:r>
          </w:p>
        </w:tc>
      </w:tr>
    </w:tbl>
    <w:p>
      <w:pPr>
        <w:spacing w:after="160" w:before="0"/>
      </w:pPr>
    </w:p>
    <w:p>
      <w:pPr>
        <w:spacing w:after="100"/>
      </w:pPr>
      <w:r>
        <w:t xml:space="preserve">La proyección reinvierte el 25 % del NOPAT. Con el ROIC del último ejercicio (32,1 %), eso financia un crecimiento del 7,9 % anual, frente al 4,2 % de ingresos proyectado. Supone que el capital nuevo rinde un 9,4 %, frente a un ROIC incremental histórico del 23,7 %.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Tráfico de 214 M (+2,7 %) según la guía de septiembre; tarifa media −0,2 % (−6 % en el 1T, recuperación parcial en el invierno) [8, 16].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Primeros MAX 10 y fin de los retrasos de Boeing: +4 % de pasajeros; +1 % de tarifa.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Flota creciendo hacia 300 M de pasajeros en FY34 [19]: +4,5 % de tráfico; tarifa +1,5 % si el combustible caro reduce la oferta de los rivales.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+4,5 % de tráfico y +1 % de tarifa.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 de tráfico y +1 % de tarifa.</w:t>
            </w:r>
          </w:p>
        </w:tc>
      </w:tr>
    </w:tbl>
    <w:p>
      <w:pPr>
        <w:spacing w:after="160" w:before="0"/>
      </w:pPr>
    </w:p>
    <w:p>
      <w:pPr>
        <w:spacing w:after="100"/>
      </w:pPr>
      <w:r>
        <w:t xml:space="preserve">Sí. La reinversión de la proyección (25 % del NOPAT) financia un 7,9 % anual al ROIC actual, por encima del 4,2 % proyectado, y el capital nuevo rinde un 9,4 %, menos de la mitad del ROIC incremental histórico (23,7 %). La prueba de cuota se hace a mano (mercado_final en null: no hay mercado en euros): de 206 M a ≈300 M de pasajeros en FY36e frente a un mercado de la UE de 1.094 M que crezca un 3 % anual (≈1.470 M en 2035), la cuota pasaría del 19 % al ≈20 %, 1,1 veces la actual [21]. El crecimiento depende de que Boeing entregue el MAX 10, no de ganar clientes.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 (base: 4,2 %)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21,0 % (base: 22,5 %)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10,3 % (WACC: 9,3 %)</w:t>
            </w:r>
          </w:p>
        </w:tc>
      </w:tr>
    </w:tbl>
    <w:p>
      <w:pPr>
        <w:spacing w:after="160" w:before="0"/>
      </w:pPr>
    </w:p>
    <w:p>
      <w:pPr>
        <w:spacing w:after="100"/>
      </w:pPr>
      <w:r>
        <w:t xml:space="preserve">El DCF da 27,47 € por acción (+13,7 %), con un WACC del 9,28 % y un valor terminal del 59 %. El DCF inverso dice que el precio de 24,16 € descuenta un crecimiento del 2,4 % anual y un margen EBITDA del 21,0 %, frente al 4,2 % y el 22,5 % de nuestro caso base: el mercado no paga el plan de 300 M de pasajeros y supone márgenes como los de FY25, el año de tarifas bajas. La rentabilidad implícita es del 10,3 %, por encima de nuestro WACC. Es una expectativa conservadora para un negocio que creció un 12 % anual en ingresos desde FY23, pero no absurda en una aerolínea: en FY27-FY28 el combustible caro aprieta y la entrega del MAX 10 todavía no está certificada.</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petróleo sigue caro en 2027 sin coberturas (FY28 solo cubierto al 15 %) y las tarifas no lo trasladan: margen EBITDA del 18,5-20 % (por debajo del 19,9 % de FY25) y tráfico frenado por retrasos del MAX 10. Ya pasó en FY25 (tarifas −7 %) y en el 1T FY27.</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FY27-FY28 deprimidos por el combustible y la tarifa; desde FY29 el MAX 10 reduce el coste unitario y el tráfico crece un 4-4,5 % anual hacia 300 M de pasajeros en FY34.</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combustible vuelve a 70-80 USD, los rivales débiles (Wizz) recortan capacidad y Ryanair repite los márgenes de FY26 (24 %) con un 1 punto más de crecimiento.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Valor por acción por escenario (EUR) · precio actual 24,1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bCs/>
        </w:rPr>
        <w:t xml:space="preserve">Valor ponderado por probabilidad:</w:t>
      </w:r>
      <w:r>
        <w:t xml:space="preserve"> 25,59 EUR (+5,9 %).</w:t>
      </w:r>
    </w:p>
    <w:p>
      <w:pPr>
        <w:spacing w:after="100"/>
      </w:pPr>
      <w:r>
        <w:t xml:space="preserve">Asimetría del valor intrínseco favorable: el alcista vale 33,15 € (+37,2 %) y el bajista 17,40 € (−28,0 %), una asimetría de 1,33 veces. A 12 meses no: con la regla v3 el bajista (9,3x × 1,51 €) da 14,04 € (−40 %) y el alcista (12,1x × 2,33 €) 28,19 € (+18 %), porque la historia de múltiplos de Ryanair es corta y el alcista no puede pagar más que el base. Compensa a varios años, no a uno.</w:t>
      </w:r>
    </w:p>
    <w:p>
      <w:pPr>
        <w:pStyle w:val="Heading1"/>
      </w:pPr>
      <w:r>
        <w:t xml:space="preserve">22. Suma de partes</w:t>
      </w:r>
    </w:p>
    <w:p>
      <w:pPr>
        <w:pStyle w:val="Confianza"/>
        <w:spacing w:after="100"/>
      </w:pPr>
      <w:r>
        <w:t xml:space="preserve">Confianza: Media</w:t>
      </w:r>
    </w:p>
    <w:p>
      <w:pPr>
        <w:spacing w:after="100"/>
      </w:pPr>
      <w:r>
        <w:t xml:space="preserve">Un solo negocio (transporte aéreo de corto radio con ingresos complementarios ligados al pasajero): no hay partes con perfiles distintos.</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3" name="Gráfico 23" descr="Valor por acción según cada método (EUR) · precio actual 24,1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25,23 EUR (+4,4 % sobre 24,16).</w:t>
      </w:r>
    </w:p>
    <w:p>
      <w:pPr>
        <w:spacing w:after="100"/>
      </w:pPr>
      <w:r>
        <w:t xml:space="preserve">Pesos: DCF 50 %, escenarios 40 % y comparables 10 %. El DCF (27,47 €) es el método natural para una empresa con caja neta y un plan de flota conocido; los escenarios (25,59 € ponderado) recogen el riesgo del combustible; los comparables (12,56 €) pesan poco porque las demás aerolíneas tienen deuda, flotas arrendadas y márgenes de un dígito. Sin transacciones (no hay operaciones comparables con múltiplos publicados) ni suma de partes. Valor objetivo de 25,23 € (+4,4 %). La dispersión es grande: de 12,56 € (comparables) a 33,75 € (DCF con la prima del mercado). Con la prima implícita del mercado (4,2 %) la regla relativa daría Comprar (30,66 €, +26,9 %); la absoluta, Mantener: las reglas discrepan por la tasa, no por las cifras.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(13.5x) ÷ 1.1 (tope: la mediana de 5 años, 10.8x,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r>
    </w:tbl>
    <w:p>
      <w:pPr>
        <w:spacing w:after="160" w:before="0"/>
      </w:pPr>
    </w:p>
    <w:p>
      <w:pPr>
        <w:spacing w:after="100"/>
      </w:pPr>
      <w:r>
        <w:rPr>
          <w:b/>
          <w:bCs/>
        </w:rPr>
        <w:t xml:space="preserve">Objetivo a 12 meses (ponderado):</w:t>
      </w:r>
      <w:r>
        <w:t xml:space="preserve"> 22,55 EUR · rentabilidad -5,0 % (base +6,0 %) · señal Mantener.</w:t>
      </w:r>
    </w:p>
    <w:p>
      <w:pPr>
        <w:spacing w:after="100"/>
      </w:pPr>
      <w:r>
        <w:t xml:space="preserve">Para comparar, con el tope anterior del base (×1,3, 14-oct mediodía): -6,3 % Mantener. Decide la regla vigente (v3 con tope ×1,1; METODO-VIGENTE.md).</w:t>
      </w:r>
    </w:p>
    <w:p>
      <w:pPr>
        <w:keepNext/>
        <w:spacing w:after="100"/>
      </w:pPr>
      <w:r>
        <w:rPr>
          <w:b/>
          <w:bCs/>
        </w:rPr>
        <w:t xml:space="preserve">Frente al consenso (solo contraste).</w:t>
      </w:r>
    </w:p>
    <w:p>
      <w:pPr>
        <w:spacing w:after="100"/>
      </w:pPr>
      <w:r>
        <w:t xml:space="preserve">Nuestro BPA de FY27e (1,71 €) coincide con el consenso (1,72 €) y el de FY28e (1,79 €) queda un 10 % por debajo del de Erste (≈1,98 €), porque suponemos que el combustible poco cubierto mantiene el margen en el 21,5 % [33, 35]. La diferencia grande está en el múltiplo: nuestro base (24,80 €) queda un 17,8 % por debajo del objetivo medio de seis analistas (30,17 €; de 26,10 a 33,52 €), que implica ≈14,7 veces nuestro BPA de FY29e. La regla v3 lleva el PER actual (13,5x) hacia la mediana de su historia adelantada (10,8x), que solo tiene dos años; los analistas pagan la calidad. Los objetivos han ido a la baja (RBC de 31 a 29 €) [36].</w:t>
      </w:r>
    </w:p>
    <w:p>
      <w:pPr>
        <w:keepNext/>
        <w:spacing w:after="100"/>
      </w:pPr>
      <w:r>
        <w:rPr>
          <w:b/>
          <w:bCs/>
        </w:rPr>
        <w:t xml:space="preserve">Del valor intrínseco al objetivo a 12 meses.</w:t>
      </w:r>
    </w:p>
    <w:p>
      <w:pPr>
        <w:spacing w:after="100"/>
      </w:pPr>
      <w:r>
        <w:t xml:space="preserve">El objetivo a 12 meses (22,25 €, −6,3 % con dividendo; base de 24,80 €, +4,3 %) queda un 12 % por debajo del valor intrínseco (25,23 €). Cerrar la distancia exige que FY28 no sea peor que FY27: que el combustible baje o que se cubra a un precio mejor que 85 USD, y que la tarifa del invierno deje de caer. Los resultados del 1S FY27 (2-nov-2026) y la guía de FY27 en enero son las fechas. La tesis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 FY27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Tarifas del verano, coste del combustible no cubierto y primera pista del beneficio de FY27.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FY27 y guía de beneficio de FY27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suele dar la horquilla del año con el 3T.</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Certificación y primeras entregas del B737-MAX 10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Condición del crecimiento a 300 M de pasajeros y del menor coste unitario.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de combustible de FY28 (hoy 15 % a 85 USD)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Cubrir a menor precio despejaría el riesgo principal de FY28 [8].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FY27 y nuevo programa de recompra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caja neta de ≈2.700 M, más recompras.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Recurso contra la multa de la AGCM (256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espera anularla; 85 M ya provisionados [13].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Combustible caro sin coberturas en FY28 (15 % cubierto a 85 USD)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−28 %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a 12-18 meses; rivales peor cubiertos recortan capacidad.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Brent por encima de 90 USD al cierre de 2026 y coberturas de FY28 por debajo del 50 %.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Guerra de tarifas o demanda débil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por cada 3 puntos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unitario más bajo de Europa.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Tarifa media del 1S FY27 por debajo de −5 %.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Retrasos o problemas de certificación del MAX 10</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(2 puntos menos de crecimiento)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asientos en la flota actual; tarifas más altas por falta de oferta en todo el sector.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Calendario de certificación de la FAA y recortes de la guía de tráfico.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y fiscalidad (tasas al pasajero, comercio de emisiones, AGCM)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Traslada capacidad a países sin tasas.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tasas en Alemania, Italia o Reino Unido.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 Michael O'Leary y gobierno (remuneración, voto limitado de no comunitarios)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hasta 2032 [28].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Votos en contra por encima del 40 % en la junta.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núcleo de baja confianza en este informe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Cifras cruzadas entre comunicados y prensa.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Confirmar precio, balance y BPA con el 20-F.</w:t>
            </w:r>
          </w:p>
        </w:tc>
      </w:tr>
    </w:tbl>
    <w:p>
      <w:pPr>
        <w:spacing w:after="160" w:before="0"/>
      </w:pPr>
    </w:p>
    <w:p>
      <w:pPr>
        <w:pStyle w:val="Heading2"/>
      </w:pPr>
      <w:r>
        <w:t xml:space="preserve">Pre-mortem</w:t>
      </w:r>
    </w:p>
    <w:p>
      <w:pPr>
        <w:spacing w:after="100"/>
      </w:pPr>
      <w:r>
        <w:t xml:space="preserve">Octubre de 2029: la acción vale 14 €. La guerra con Irán se alargó y el petróleo se quedó por encima de 100 USD durante 2027; Ryanair había cubierto solo el 15 % de FY28 a 85 USD y el resto lo pagó caro. Para llenar los aviones bajó tarifas: el margen EBITDA cayó al 18 %, como en el 1T FY27 pero todo el año. Boeing retrasó el MAX 10 un año más y el tráfico se quedó en 215-220 M. El BPA de FY29 fue de 1,4 €, y el mercado, que había pagado 13,5 veces un beneficio que esperaba recuperar, pasó a pagar 9-10 veces, como en marzo de 2025. La caja neta evitó lo peor, pero se gastó en aviones y no en recompras. La señal estaba en las coberturas de FY28 y en la tarifa del 1S FY27: si a noviembre de 2026 la tarifa seguía cayendo y el combustible no se cubría por debajo de 85 USD, el ciclo malo ya había empezado.</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El asunto material es el CO₂: el combustible es ≈40 % del coste y el comercio de emisiones europeo encarece cada año la tonelada, con la retirada de los derechos gratuitos en 2026. La renovación de flota (MAX 8200 y MAX 10, con un 16-20 % menos de consumo por asiento) es la palanca principal. El segundo, las relaciones laborales (huelgas de tripulantes de 2018-19).</w:t>
      </w:r>
    </w:p>
    <w:p>
      <w:pPr>
        <w:pStyle w:val="Heading2"/>
      </w:pPr>
      <w:r>
        <w:t xml:space="preserve">Controversias</w:t>
      </w:r>
    </w:p>
    <w:p>
      <w:pPr>
        <w:spacing w:after="100"/>
      </w:pPr>
      <w:r>
        <w:t xml:space="preserve">Multa de la AGCM de 256 M (2025-26), recurrida [13]. Revuelta de accionistas por la remuneración de O'Leary en la junta de 2026 (39 % en contra de la política) [26].</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Combustible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porcentaje de FY28 tiene cubierto hoy y a qué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principal del BPA de FY28 (15 % a 85 USD en julio) [8].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Tarifas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vienen las tarifas del invierno frente al año pasado?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tarifa del 1T cayó un 6 % y mueve el margen más que el volumen.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Flota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espera la certificación y las primeras entregas del MAX 10?</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plan de 300 M de pasajeros depende de ello.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hará con la caja neta de ≈2.700 M: recompras, dividendo extraordinario o pago de aviones?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10 % de la capitalización.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base tiene el recurso contra la multa de la AGCM y por qué provisionó solo un tercio?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Excepcional de 85 M en FY26 [13].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el umbral de 42 € por acción y no uno relativo al sector?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 en contra del 39 % [26].</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Irish Times (Your Money, con debate de lectores)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O'Leary pidió comprar «en la caída»; Morningstar ve a Ryanair ganando cuota a rivales peor cubiertos, BofA llama «injustificada» la valoración y otros ven exagerada la etiqueta de ganga [24].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 Bell (comentario para inversores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1T FY27 el foco es la falta de guía de beneficio y la presión de la guerra con Irán sobre tarifas y costes [54].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TIKR (blog para inversores)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«Falló en todas las líneas, pero el balance no se inmutó»: la caja neta compensa un trimestre malo [55].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usuarios y artículo)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narrativa más seguida ve la acción un 17 % por debajo de su valor tras el tráfico de septiembre; el valor razonable de la comunidad baja de 30,02 a 29,34 € por las tarifas [39, 56].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Irish Times y prensa británica (comentarios sobre la remuneración)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opción de 10 M de acciones de O'Leary domina la conversación de septiembre; él descarta las críticas [31, 57].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Combustible no cubierto y guerra con Irán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para FY28 (solo 15 % cubierto a 85 USD); FY27 está cubierto al 80 % a 67 USD, por debajo del coste de FY26 [54].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Ryanair gana cuota a rivales débiles (Wizz, easyJet)</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Coherente con los datos: 206 M de pasajeros frente a 135 M de Lufthansa y Wizz en pérdidas; pero el tráfico de FY27 se recortó a 214 M [24].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de O'Leary</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Dilución de ≈1 % y condicionada a beneficio &gt; 4.000 M o precio &gt; 42 €: coste menor para el accionista que el ruido que genera [57].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neta y recompras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neta de ≈2.700 M a junio, sin deuda financiera; recompra en curso [55].</w:t>
            </w:r>
          </w:p>
        </w:tc>
      </w:tr>
    </w:tbl>
    <w:p>
      <w:pPr>
        <w:spacing w:after="160" w:before="0"/>
      </w:pPr>
    </w:p>
    <w:p>
      <w:pPr>
        <w:spacing w:after="100"/>
      </w:pPr>
      <w:r>
        <w:t xml:space="preserve">El inversor particular está dividido y más pesimista que en mayo: los analistas siguen con «compra fuerte» (seis de seis), pero foros y prensa de inversión se centran en el combustible, la falta de guía y la remuneración. No hay euforia ni capitulación: la acción cae un 20 % en el año y nadie habla de vender por la calidad del negocio, sino por el ciclo. El riesgo que señalan y que el informe recoge es FY28 (combustible poco cubierto), no FY27. Contradice al consenso de analistas en el tono, no en el fondo.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22 controles correctos y 3 explicados. Fuentes: 57 (18 primarias); citas distintas en el texto: 56.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9,9 %: explica la causa (créditos fiscales, regularizaciones, mezcla de países) y no lo proyectes en el DCF. Explicación: Irlanda grava al 12,5 % y parte del beneficio se genera en filiales de Malta y Polonia; el tipo efectivo del grupo es del 9,7-10,3 % desde FY24 [2, 4]. El DCF usa un 12,5 % (y un 15 % no cambiaría la recomendación: el impuesto mínimo global ya aplica).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9,7 %: explica la causa (créditos fiscales, regularizaciones, mezcla de países) y no lo proyectes en el DCF. Explicación: Igual que FY2024: tipo efectivo del 9,7 % por la mezcla Irlanda-Malta; el DCF proyecta un 12,5 %.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efectivo razonable (FY2026)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10,3 %: explica la causa (créditos fiscales, regularizaciones, mezcla de países) y no lo proyectes en el DCF. Explicación: Igual que FY2024: 10,3 %; el DCF proyecta un 12,5 %.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9,4 % frente a un ROIC de 32,1 % y un incremental histórico de 23,7 %: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-16,4 %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es del 2026-10-09, 3 sesiones antes del corte (2026-10-14): con un precio viejo no se cierra un Comprar. Último cierre: node herramientas/precios.mjs &lt;ticker&gt;; luego herramientas/apuntar-12m.mjs --precios.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57 fuentes (18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 FY2022 (EBIT, amortización, impuestos)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Resultados de FY23 con el comparativo (búsqueda: solo ingresos, beneficio y BPA); 2) 20-F FY22 y agregadores (TipRanks, Yahoo: cifras discrepantes); 3) derivar del FY23: no hay base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combustible de FY26 y gastos financieros brutos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Resultados de FY26 (extractos sin la línea); 2) 20-F FY26 (no abre); 3) prensa (solo el total de costes, 13.090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circulante desglosado FY22-FY24 y FY26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2024-2026 (extractos solo con totales); 2) agregadores de balance (Stock Analysis, Simply Wall St: no abren); 3) derivar: no hay datos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caja y deuda de los comunicados (caja bruta y caja neta)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y tamaño del mercado en euros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Eurostat (solo pasajeros, vía prensa); 2) IATA y CAPA (beneficio del sector, no ingresos de corto radio europeo); 3) derivar de pasajeros × tarifa: sin tarifa media del mercado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usa el volumen de pasajeros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de easyJet, IAG, Lufthansa (no abren); 2) agregadores (Stockopedia, TipRanks: múltiplos, no márgenes); 3) prensa sectorial: sin cifras homogéneas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MSCI y Sustainalytics (no abren); 2) informe de sostenibilidad (no abre); 3) prensa: nada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comisiones y remuneración devengada del primer ejecutivo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2026 (no abre); 2) 20-F FY26, Item 6 (no abre); 3) prensa (solo presidente, consejero delegado y votos de la junta)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consejo con los dos cargos comprobados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 de 12 meses y accionistas significativos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RNS de «PDMR dealings» (no aparecen en búsqueda); 2) MarketScreener (solo O'Leary); 3) prensa: venta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Euronext Dublín y Yahoo (no abren); 2) RNS de recompra de octubre (no indexados); 3) cotización sin fecha de roic.ai (24,16 €) contrastada con el ADR del 9-oct (54,04 USD ÷ 2 ÷ 1,1188 = 24,15 €)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 24,16 € a 9-oct-2026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sección completa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Operaciones de aerolíneas europeas (ITA, SAS, TAP, Air Europa): sin múltiplos publicados en búsqueda; 2) prensa sectorial: importes de participaciones minoritarias; 3) derivar: sin EBITDA de los objetivos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beta, volatilidad y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Yahoo y Investing (no abren); 3) prensa: solo la rentabilidad del año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precios de cierre FY2019-FY2024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Históricos de Yahoo/Investing (no abren); 2) RNS de recompras de marzo de cada año (solo 2025 y 2026; en 2024 el programa empezó en mayo); 3) informes anuales: sin cotización de cierre en los extractos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FY2024 con el precio medio de la recompra del 21-may-2024 (tras resultados); FY2019-FY2023 omitidos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Reddit, Stocktwits y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hilos de Reddit (r/eupersonalfinance, r/irishpersonalfinance): sin resultados; 2) Seeking Alpha: solo un artículo de 2025; 3) Stocktwits y Rankia: sin resultados en la búsqueda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sentimiento con prensa de inversión y comunidades (Simply Wall St, AJ Bell, TIKR)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de la acción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proveedores de datos (no abren); 3) estimación propia de aerolínea con caja neta (1,1)</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Ryanair 2025-26 PAT rises 40 % to €2.26bn (pre-except.): resultados de FY26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Ryanair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https://investor.ryanair.com/wp-content/uploads/2026/05/FY26-Ryanair-Results.pdf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6-K: resultados preliminares de FY26 (estados no auditados)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Ryanair Holdings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https://www.sec.gov/Archives/edgar/data/1038683/000165495426005028/a6030e.htm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ejercicio cerrado el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Holdings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https://www.sec.gov/Archives/edgar/data/1038683/000110465926076131/tmb-20260331x20f.htm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FY25 Ryanair Holdings plc Earnings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Holdings /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https://www.investegate.co.uk/announcement/rns/ryanair-holdings-cdi---0rya/full-year-fy25-ryanair-holdings-plc-earnings-/8883712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FY24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https://investor.ryanair.com/wp-content/uploads/2024/05/FY24-Ryanair-Results.pdf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FY23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https://investor.ryanair.com/wp-content/uploads/2023/05/FY23-Ryanair-Results.pdf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2024 (balance a marzo de 2024 y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https://investor.ryanair.com/wp-content/uploads/2024/06/Ryanair-2024-Annual-Report.pdf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Q1 profit falls, revenues rise; on track for FY27 traffic growth view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RTTNews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https://www.rttnews.com/3668236/ryanair-q1-profit-falls-revenues-rise-says-on-track-for-fy27-traffic-growth-view.aspx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FY26 Ryanair Holdings plc Earnings (reproducción del RNS con el estado de flujos)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Sharecast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https://www.sharecast.com/news/Company-Announcement-General/Full-Year-FY26-Ryanair-Holdings-plc-Earnings--dl35937756.html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https://investor.ryanair.com/wp-content/uploads/2025/05/Ryanair-2025-Annual-Report.pdf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Holdings plc: final dividend for FY26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Holdings /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https://www.investegate.co.uk/announcement/rns/ryanair-holdings-cdi---0rya/ryanair-holdings-plc-final-dividend-for-fy26/9683975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reports PAT of €1.61bn despite 7 % lower fares (resultados de FY25)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https://investor.ryanair.com/wp-content/uploads/2025/05/FY25-Ryanair-Results.pdf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records EUR2.3bn profit after tax for FY2026, comments on debt position and AGCM fine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CAPA Centre for Aviation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https://centreforaviation.com/news/ryanair-records-eur23bn-profit-after-tax-for-fy2026-comments-on-debt-position-and-agcm-fine-1359638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resultados del 1T FY27 (resumen)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Titan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https://www.stocktitan.net/sec-filings/RYAAY/6-k-ryanair-holdings-plc-current-report-foreign-issuer-c4a875c9ad4c.html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full year results shows average fare €50 &amp; ancillary revenue €24 per passenger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Travel Extra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https://www.travelextra.ie/ryanair-reprots-profit-rise-of-40pc/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Ryanair's Aug traffic grows 6 % to 22.2m; FY27 traffic cut from 216m to 214m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https://corporate.ryanair.com/news/ryanairs-aug-traffic-grows-6-to-22-2m-fy27-traffic-cut-from-216m-to-214m-to-reduce-exposure-to-unhedged-winter-oil/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Transaction in own shares (7-11 sep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Holdings /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https://www.investegate.co.uk/announcement/rns/ryanair-holdings-cdi---0rya/transaction-in-own-shares/9770240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Europe's top 20 airline groups by passengers 2025: Ryanair extends its lead over Lufthansa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CAPA Centre for Aviation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https://centreforaviation.com/analysis/reports/europes-top-20-airline-groups-by-passengers-2025-ryanair-extends-its-lead-over-lufthansa-group-740504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objetivo de 300 M de pasajeros en 2034 tras superar los 200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Economedia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https://economedia.ro/ryanair-a-devenit-prima-companie-aeriana-europeana-care-a-transportat-200-de-milioane-de-pasageri-intr-un-an-avem-drept-obiectiv-sa-ajungem-la-300-de-milioane-de-pasageri-pana-in-2034.html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Q1 FY27: fuel spike drags profits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Edison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https://www.edisongroup.com/spark/ryanair-lserya-fuel-spike-drags-profits/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 commercial air traffic recovers to near pre-pandemic levels in 2025 (datos de Eurostat)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Cyprus Mail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https://cyprus-mail.com/2026/09/06/eu-commercial-air-traffic-recovers-to-near-pre-pandemic-levels-in-2025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European airline stocks retreat after IATA slashes 2026 industry profit outlook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https://uk.finance.yahoo.com/news/european-airline-stocks-retreat-iata-103734722.html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GBS Estimates (16-abr-2026)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Goodbody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https://www.goodbody.ie/documents/GBS-Estimates-170426.pdf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Are Ryanair's shares a 'bargain' as some analysts suggest?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Irish Times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https://www.irishtimes.com/your-money/2026/05/23/bullish-michael-oleary-tells-ryanair-investors-heres-the-dip/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European airlines: top 12 LCCs further grew their passenger lead versus non-LCCs in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CAPA Centre for Aviation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https://centreforaviation.com/analysis/reports/european-airlines-top-12-lccs-further-grew-their-passenger-lead-versus-non-lccs-in-2025-740921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AGM Statement (resultados de las votaciones de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Holdings /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https://www.investegate.co.uk/announcement/rns/ryanair-holdings-cdi---0rya/agm-statement-/9766116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shareholders approve O'Leary's €150 million package despite major revolt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Aviation A2Z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https://aviationa2z.com/index.php/2026/09/12/ryanair-shareholders-approve-olearys-e150-million-package-despite-major-revolt/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Michael O'Leary to head Ryanair for another six years under new contract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Kildare Nationalist (PA)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https://www.kildare-nationalist.ie/news/michael-oleary-to-head-ryanair-for-another-six-years-under-new-contract_arid-102293.html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hands O'Leary six-year extension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City 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https://www.cityam.com/ryanair-hands-oleary-six-year-extension/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carried 206.5m passengers in 2025, annual growth 4.5pc lowest since 2013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Travel Extra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https://www.travelextra.ie/?p=102944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Michael O'Leary dismisses investor concerns over his pay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Irish Times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https://www.irishtimes.com/business/2026/09/24/michael-oleary-dismisses-investor-concerns-over-his-pay/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Michael O'Leary: participación en Ryanair (42,2 M de acciones, 4,05 %, a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https://sa.marketscreener.com/insider/MICHAEL-OLEARY-A1P3C8/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Holdings (RYAAY): previsiones y objetivos de los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https://stockanalysis.com/stocks/ryaa.y/forecast/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previsión de BPA estatutario de FY27 (1,75 €, antes 1,93 €)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vía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https://www.webull.com/news/15274863595643904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FY2028 EPS forecast decreased by Erste Group Bank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https://www.marketbeat.com/instant-alerts/ryanair-fy2028-eps-forecast-decreased-by-erste-group-bank-2026-07-29/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price target declines as RBC lowers estimates post FY26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(Midnight Trader)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https://www.placera.se/telegram/ryanair-price-target-declines-as-rbc-lowers-estimates-post-fy26-results-20260519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FY2027 EPS estimates for Ryanair cut by Erste Group Bank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https://www.marketbeat.com/instant-alerts/fy2027-eps-estimates-for-ryanair-cut-by-erste-group-bank-2026-07-30/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(EUR/USD 1,1188; EUR/GBP 0,8446;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https://www.ecb.europa.eu/stats/shared/pdf/eurofxref.pdf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Holdings (ISE:RYA) could be 17 % below fair value after September traffic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vía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https://www.webull.com/news/15692749962953728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stock drops on weak Q1 profit, sees traffic growth ahead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RTTNews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https://www.rttnews.com/amp/3668319/ryanair-stock-drops-on-weak-q1-profit-sees-traffic-growth-ahead.aspx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stock rises 2.29 percent on oil relief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https://www.ad-hoc-news.de/boerse/news/corporate-news/ryanair-stock-rises-2-29-percent-on-oil-relief/70191729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Holdings plc (RYA.IR): cotización en Euronext Dublín (24,16 €; capitalización ≈25.200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roic.ai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https://www.roic.ai/quote/RYA.IR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 voting rights: 1.035.847.831 acciones a 30-sep-2026, sin autocartera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Holdings / LSE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https://www.lse.co.uk/rns/0RYA/total-voting-rights-usfiycnmm5pk5tf.html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Holdings plc (RYAAY): precio del ADR de 54,04 USD (9-oct-2026) y objetivo medio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Bullstory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https://bullstory.io/en/stocks/ryaay/forecast/upside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Transaction in own shares (marzo de 2026: 23,99 € el 31-mar)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Holdings / Stockopedia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https://www-proxy.stockopedia.com/share-prices/ryanair-holdings-ISE:RYA/news/reg-ryanair-holdings-plc-ryanair-holdings-rya-transaction-in-own-shares-urn:newsml:reuters.com:20260323:nRSW6978Xa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Transaction in own shares (24-28 mar 2025: 19,66 € el 28-mar)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Holdings / Shares Magazine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https://sharesmagazine.co.uk/news/market/LSE20250331091302_5596476/transaction-in-own-shares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Transaction in own shares (21-may-2024: 17,89 €)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Holdings / MFN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https://mfn.se/rns/a/ryanair-holdings/transaction-in-own-shares-a5f6e39b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International Consolidated Airlines Group (FRA:INR): PER previsto 7,15 y capitalización 23.060 M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https://stockanalysis.com/quote/fra/INR/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GBS Estimates (4-sep-2026): Lufthansa, Air France-KLM y Jet2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Goodbody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https://www.goodbody.ie/documents/GBS-Estimates-040926.pdf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easyJet (LON:EZJ): capitalización de 5.090 M GBP y EV/EBITDA de 3,54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https://www.stockopedia.com/share-prices/easy-jet-LON:EZJ/</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Airlines valuation multiples (EV/EBITDA de los últimos 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Multiples.vc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https://multiples.vc/airlines-valuation-multiples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alemán a 10 años (3,53 %, 12-oct-2026)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https://www.bundesbank.de/en/statistics/money-and-capital-markets/interest-rates-and-yields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warns of profit uncertainty as Iran war weighs on fares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 Bell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https://www.ajbell.co.uk/news/articles/ryanair-warns-profit-uncertainty-iran-war-weighs-fares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Ryanair's Q1 earnings missed on every line; the balance sheet didn't blink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https://www.tikr.com/es/blog/ryanairs-q1-earnings-missed-on-every-line-the-balance-sheet-didnt-blink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Update for Ryanair Holdings (narrativa de la comunidad)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https://www.simplywall.st/narratives/af3s4tzl-update-for-ryanair-holdings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investors revolt over CEO O'Leary's EUR150 million pay deal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 Bell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https://www.ajbell.co.uk/news/articles/ryanair-investors-revolt-over-ceo-olearys-eur150-million-pay-deal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77,8 %</w:t>
      </w:r>
      <w:r>
        <w:t xml:space="preserve"> · Secciones con menos del 60 % de campos cubiertos: </w:t>
      </w:r>
      <w:r>
        <w:rPr>
          <w:b/>
          <w:bCs/>
        </w:rPr>
        <w:t xml:space="preserve">gobierno, transacciones, bolsa</w:t>
      </w:r>
      <w:r>
        <w:t xml:space="preserve"> · Generado el 14 oct 2026.</w:t>
      </w:r>
    </w:p>
    <w:p>
      <w:pPr>
        <w:pStyle w:val="Nota"/>
        <w:spacing w:after="100"/>
      </w:pPr>
      <w:r>
        <w:t xml:space="preserve">Análisis hecho desde la nube con la red limitada a la búsqueda web: la web de inversores, la SEC, Euronext y los proveedores de datos no se pudieron abrir, así que las cifras salen de extractos de búsqueda de los comunicados de resultados (FY23-FY26 y 1T FY27), del 20-F de FY26 y de la prensa financiera, cruzadas cuando fue posible. La confianza de los datos de núcleo es baja: el precio (24,16 €) es una cotización sin fecha de roic.ai que cuadra con el ADR del 9-oct (54,04 USD ÷ 2 acciones ÷ 1,1188 = 24,15 €) [38, 42, 44]; el balance de FY22-FY24 solo tiene totales (activo, patrimonio, caja y caja neta) y FY22 no tiene cuenta completa. Ejercicio cerrado el 31 de marzo, con la etiqueta de la empresa («FY2026» = abril de 2025 a marzo de 2026). Cuenta por naturaleza: coste_ventas = combustible. La deuda de FY23-FY25 es la deuda bruta de los comunicados (caja menos caja neta), con los arrendamientos dentro. Cotiza en Euronext Dublín; el ADR de Nasdaq (RYAAY) representa dos acciones.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Ryanair Holdings plc (RYA)</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24,16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(26,10 – 33,52)</c:v>
                </c:pt>
                <c:pt idx="1">
                  <c:v>Comparables: PER NTM (10,32 – 14,10)</c:v>
                </c:pt>
                <c:pt idx="2">
                  <c:v>DCF (WACC y g ± 0,5) (24,87 – 30,88)</c:v>
                </c:pt>
                <c:pt idx="3">
                  <c:v>Escenarios (bajista – alcista) (17,40 – 33,15)</c:v>
                </c:pt>
                <c:pt idx="4">
                  <c:v>DCF con la prima implícita del mercado (4,2 %)</c:v>
                </c:pt>
                <c:pt idx="5">
                  <c:v>Precio actual (24,16)</c:v>
                </c:pt>
              </c:strCache>
            </c:strRef>
          </c:cat>
          <c:val>
            <c:numRef>
              <c:f>Hoja1!$B$2:$B$7</c:f>
              <c:numCache>
                <c:formatCode>#,##0.0</c:formatCode>
                <c:ptCount val="6"/>
                <c:pt idx="0">
                  <c:v>26.1</c:v>
                </c:pt>
                <c:pt idx="1">
                  <c:v>10.32</c:v>
                </c:pt>
                <c:pt idx="2">
                  <c:v>24.87</c:v>
                </c:pt>
                <c:pt idx="3">
                  <c:v>17.4</c:v>
                </c:pt>
                <c:pt idx="4">
                  <c:v>31.12</c:v>
                </c:pt>
                <c:pt idx="5">
                  <c:v>24.04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(26,10 – 33,52)</c:v>
                </c:pt>
                <c:pt idx="1">
                  <c:v>Comparables: PER NTM (10,32 – 14,10)</c:v>
                </c:pt>
                <c:pt idx="2">
                  <c:v>DCF (WACC y g ± 0,5) (24,87 – 30,88)</c:v>
                </c:pt>
                <c:pt idx="3">
                  <c:v>Escenarios (bajista – alcista) (17,40 – 33,15)</c:v>
                </c:pt>
                <c:pt idx="4">
                  <c:v>DCF con la prima implícita del mercado (4,2 %)</c:v>
                </c:pt>
                <c:pt idx="5">
                  <c:v>Precio actual (24,16)</c:v>
                </c:pt>
              </c:strCache>
            </c:strRef>
          </c:cat>
          <c:val>
            <c:numRef>
              <c:f>Hoja1!$C$2:$C$7</c:f>
              <c:numCache>
                <c:formatCode>#,##0.0</c:formatCode>
                <c:ptCount val="6"/>
                <c:pt idx="0">
                  <c:v>7.420000000000002</c:v>
                </c:pt>
                <c:pt idx="1">
                  <c:v>3.7799999999999994</c:v>
                </c:pt>
                <c:pt idx="2">
                  <c:v>6.009999999999998</c:v>
                </c:pt>
                <c:pt idx="3">
                  <c:v>15.75</c:v>
                </c:pt>
                <c:pt idx="4">
                  <c:v>5.7499999999999964</c:v>
                </c:pt>
                <c:pt idx="5">
                  <c:v>0.240000000000002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Ingresos de billetes (scheduled)</c:v>
                </c:pt>
              </c:strCache>
            </c:strRef>
          </c:tx>
          <c:spPr>
            <a:solidFill>
              <a:srgbClr val="2A78D6"/>
            </a:solidFill>
            <a:ln w="12700">
              <a:solidFill>
                <a:srgbClr val="FFFFFF"/>
              </a:solidFill>
            </a:ln>
          </c:spPr>
          <c:invertIfNegative val="0"/>
          <c:cat>
            <c:strRef>
              <c:f>Hoja1!$A$2</c:f>
              <c:strCache>
                <c:ptCount val="1"/>
                <c:pt idx="0">
                  <c:v>FY2026</c:v>
                </c:pt>
              </c:strCache>
            </c:strRef>
          </c:cat>
          <c:val>
            <c:numRef>
              <c:f>Hoja1!$B$2</c:f>
              <c:numCache>
                <c:formatCode>#,##0</c:formatCode>
                <c:ptCount val="1"/>
                <c:pt idx="0">
                  <c:v>10560</c:v>
                </c:pt>
              </c:numCache>
            </c:numRef>
          </c:val>
        </c:ser>
        <c:ser>
          <c:idx val="1"/>
          <c:order val="1"/>
          <c:tx>
            <c:strRef>
              <c:f>Hoja1!$C$1</c:f>
              <c:strCache>
                <c:ptCount val="1"/>
                <c:pt idx="0">
                  <c:v>Ingresos complementarios (ancillary)</c:v>
                </c:pt>
              </c:strCache>
            </c:strRef>
          </c:tx>
          <c:spPr>
            <a:solidFill>
              <a:srgbClr val="EB6834"/>
            </a:solidFill>
            <a:ln w="12700">
              <a:solidFill>
                <a:srgbClr val="FFFFFF"/>
              </a:solidFill>
            </a:ln>
          </c:spPr>
          <c:invertIfNegative val="0"/>
          <c:cat>
            <c:strRef>
              <c:f>Hoja1!$A$2</c:f>
              <c:strCache>
                <c:ptCount val="1"/>
                <c:pt idx="0">
                  <c:v>FY2026</c:v>
                </c:pt>
              </c:strCache>
            </c:strRef>
          </c:cat>
          <c:val>
            <c:numRef>
              <c:f>Hoja1!$C$2</c:f>
              <c:numCache>
                <c:formatCode>#,##0</c:formatCode>
                <c:ptCount val="1"/>
                <c:pt idx="0">
                  <c:v>4984.3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Ingresos de billetes (scheduled)</c:v>
                </c:pt>
                <c:pt idx="1">
                  <c:v>Ingresos complementarios (ancillary)</c:v>
                </c:pt>
              </c:strCache>
            </c:strRef>
          </c:cat>
          <c:val>
            <c:numRef>
              <c:f>Hoja1!$B$2:$B$3</c:f>
              <c:numCache>
                <c:formatCode>General</c:formatCode>
                <c:ptCount val="2"/>
                <c:pt idx="0">
                  <c:v>67.9</c:v>
                </c:pt>
                <c:pt idx="1">
                  <c:v>32.1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4</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Ryanair</c:v>
                </c:pt>
                <c:pt idx="1">
                  <c:v>Lufthansa Group</c:v>
                </c:pt>
                <c:pt idx="2">
                  <c:v>IAG (Vueling, BA, Iberia, Aer Lingus)</c:v>
                </c:pt>
                <c:pt idx="3">
                  <c:v>Air France-KLM (Transavia)</c:v>
                </c:pt>
                <c:pt idx="4">
                  <c:v>easyJet</c:v>
                </c:pt>
                <c:pt idx="5">
                  <c:v>Wizz Air</c:v>
                </c:pt>
              </c:strCache>
            </c:strRef>
          </c:cat>
          <c:val>
            <c:numRef>
              <c:f>Hoja1!$B$2:$B$7</c:f>
              <c:numCache>
                <c:formatCode>0.0"%"</c:formatCode>
                <c:ptCount val="6"/>
                <c:pt idx="0">
                  <c:v>15.8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0</c:v>
                </c:pt>
                <c:pt idx="2">
                  <c:v>1</c:v>
                </c:pt>
                <c:pt idx="3">
                  <c:v>4</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pt idx="13">
                  <c:v>FY2035e</c:v>
                </c:pt>
                <c:pt idx="14">
                  <c:v>FY2036e</c:v>
                </c:pt>
              </c:strCache>
            </c:strRef>
          </c:cat>
          <c:val>
            <c:numRef>
              <c:f>Hoja1!$B$2:$B$16</c:f>
              <c:numCache>
                <c:formatCode>#,##0</c:formatCode>
                <c:ptCount val="15"/>
                <c:pt idx="0">
                  <c:v>4800.9</c:v>
                </c:pt>
                <c:pt idx="1">
                  <c:v>10775.2</c:v>
                </c:pt>
                <c:pt idx="2">
                  <c:v>13443.8</c:v>
                </c:pt>
                <c:pt idx="3">
                  <c:v>13948.5</c:v>
                </c:pt>
                <c:pt idx="4">
                  <c:v>15544.3</c:v>
                </c:pt>
                <c:pt idx="5">
                  <c:v>15933</c:v>
                </c:pt>
                <c:pt idx="6">
                  <c:v>16730</c:v>
                </c:pt>
                <c:pt idx="7">
                  <c:v>17733</c:v>
                </c:pt>
                <c:pt idx="8">
                  <c:v>18709</c:v>
                </c:pt>
                <c:pt idx="9">
                  <c:v>19644</c:v>
                </c:pt>
                <c:pt idx="10">
                  <c:v>20528</c:v>
                </c:pt>
                <c:pt idx="11">
                  <c:v>21349</c:v>
                </c:pt>
                <c:pt idx="12">
                  <c:v>22096</c:v>
                </c:pt>
                <c:pt idx="13">
                  <c:v>22759</c:v>
                </c:pt>
                <c:pt idx="14">
                  <c:v>23328</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pt idx="13">
                  <c:v>FY2035e</c:v>
                </c:pt>
                <c:pt idx="14">
                  <c:v>FY2036e</c:v>
                </c:pt>
              </c:strCache>
            </c:strRef>
          </c:cat>
          <c:val>
            <c:numRef>
              <c:f>Hoja1!$C$2:$C$16</c:f>
              <c:numCache>
                <c:formatCode>#,##0</c:formatCode>
                <c:ptCount val="15"/>
                <c:pt idx="1">
                  <c:v>2496.3</c:v>
                </c:pt>
                <c:pt idx="2">
                  <c:v>3120.2</c:v>
                </c:pt>
                <c:pt idx="3">
                  <c:v>2772.4</c:v>
                </c:pt>
                <c:pt idx="4">
                  <c:v>3832.6</c:v>
                </c:pt>
                <c:pt idx="5">
                  <c:v>3426</c:v>
                </c:pt>
                <c:pt idx="6">
                  <c:v>3597</c:v>
                </c:pt>
                <c:pt idx="7">
                  <c:v>3990</c:v>
                </c:pt>
                <c:pt idx="8">
                  <c:v>4303</c:v>
                </c:pt>
                <c:pt idx="9">
                  <c:v>4518</c:v>
                </c:pt>
                <c:pt idx="10">
                  <c:v>4721</c:v>
                </c:pt>
                <c:pt idx="11">
                  <c:v>4910</c:v>
                </c:pt>
                <c:pt idx="12">
                  <c:v>4972</c:v>
                </c:pt>
                <c:pt idx="13">
                  <c:v>5121</c:v>
                </c:pt>
                <c:pt idx="14">
                  <c:v>5249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2">
                  <c:v>61.7</c:v>
                </c:pt>
                <c:pt idx="3">
                  <c:v>62.6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1">
                  <c:v>23.2</c:v>
                </c:pt>
                <c:pt idx="2">
                  <c:v>23.2</c:v>
                </c:pt>
                <c:pt idx="3">
                  <c:v>19.9</c:v>
                </c:pt>
                <c:pt idx="4">
                  <c:v>24.7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1">
                  <c:v>14.6</c:v>
                </c:pt>
                <c:pt idx="2">
                  <c:v>15.3</c:v>
                </c:pt>
                <c:pt idx="3">
                  <c:v>11.2</c:v>
                </c:pt>
                <c:pt idx="4">
                  <c:v>15.8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Hoja1!$E$2:$E$6</c:f>
              <c:numCache>
                <c:formatCode>0"%"</c:formatCode>
                <c:ptCount val="5"/>
                <c:pt idx="0">
                  <c:v>-5</c:v>
                </c:pt>
                <c:pt idx="1">
                  <c:v>12.2</c:v>
                </c:pt>
                <c:pt idx="2">
                  <c:v>14.3</c:v>
                </c:pt>
                <c:pt idx="3">
                  <c:v>11.6</c:v>
                </c:pt>
                <c:pt idx="4">
                  <c:v>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Hoja1!$A$2:$A$3</c:f>
              <c:strCache>
                <c:ptCount val="2"/>
                <c:pt idx="0">
                  <c:v>1T FY26</c:v>
                </c:pt>
                <c:pt idx="1">
                  <c:v>1T FY27</c:v>
                </c:pt>
              </c:strCache>
            </c:strRef>
          </c:cat>
          <c:val>
            <c:numRef>
              <c:f>Hoja1!$B$2:$B$3</c:f>
              <c:numCache>
                <c:formatCode>0.0"%"</c:formatCode>
                <c:ptCount val="2"/>
                <c:pt idx="1">
                  <c:v>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pago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3">
                  <c:v>23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1">
                  <c:v>3891</c:v>
                </c:pt>
                <c:pt idx="2">
                  <c:v>766</c:v>
                </c:pt>
                <c:pt idx="3">
                  <c:v>1863.1999999999998</c:v>
                </c:pt>
                <c:pt idx="4">
                  <c:v>1802.5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-240.8</c:v>
                </c:pt>
                <c:pt idx="1">
                  <c:v>1313.8</c:v>
                </c:pt>
                <c:pt idx="2">
                  <c:v>1917.1</c:v>
                </c:pt>
                <c:pt idx="3">
                  <c:v>1611.6</c:v>
                </c:pt>
                <c:pt idx="4">
                  <c:v>2173.7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1">
                  <c:v>46.4</c:v>
                </c:pt>
                <c:pt idx="2">
                  <c:v>32.8</c:v>
                </c:pt>
                <c:pt idx="3">
                  <c:v>23.5</c:v>
                </c:pt>
                <c:pt idx="4">
                  <c:v>32.1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9.3</c:v>
                </c:pt>
                <c:pt idx="1">
                  <c:v>9.3</c:v>
                </c:pt>
                <c:pt idx="2">
                  <c:v>9.3</c:v>
                </c:pt>
                <c:pt idx="3">
                  <c:v>9.3</c:v>
                </c:pt>
                <c:pt idx="4">
                  <c:v>9.3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1">
                  <c:v>46.6</c:v>
                </c:pt>
                <c:pt idx="2">
                  <c:v>28.9</c:v>
                </c:pt>
                <c:pt idx="3">
                  <c:v>22</c:v>
                </c:pt>
                <c:pt idx="4">
                  <c:v>25.4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FY2022</c:v>
                </c:pt>
                <c:pt idx="1">
                  <c:v>FY2023</c:v>
                </c:pt>
                <c:pt idx="2">
                  <c:v>FY2024</c:v>
                </c:pt>
                <c:pt idx="3">
                  <c:v>FY2025</c:v>
                </c:pt>
                <c:pt idx="4">
                  <c:v>FY2026</c:v>
                </c:pt>
              </c:strCache>
            </c:strRef>
          </c:cat>
          <c:val>
            <c:numRef>
              <c:f>Hoja1!$B$2:$B$6</c:f>
              <c:numCache>
                <c:formatCode>0.0"x"</c:formatCode>
                <c:ptCount val="5"/>
                <c:pt idx="1">
                  <c:v>-0.22</c:v>
                </c:pt>
                <c:pt idx="2">
                  <c:v>-0.44</c:v>
                </c:pt>
                <c:pt idx="3">
                  <c:v>-0.47</c:v>
                </c:pt>
                <c:pt idx="4">
                  <c:v>-0.55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2026</c:v>
                </c:pt>
              </c:strCache>
            </c:strRef>
          </c:cat>
          <c:val>
            <c:numRef>
              <c:f>Hoja1!$B$2</c:f>
              <c:numCache>
                <c:formatCode>#,##0</c:formatCode>
                <c:ptCount val="1"/>
                <c:pt idx="0">
                  <c:v>1200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0</c:v>
                </c:pt>
                <c:pt idx="1">
                  <c:v>0</c:v>
                </c:pt>
                <c:pt idx="2">
                  <c:v>199</c:v>
                </c:pt>
                <c:pt idx="3">
                  <c:v>437.7</c:v>
                </c:pt>
                <c:pt idx="4">
                  <c:v>443.3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0</c:v>
                </c:pt>
                <c:pt idx="1">
                  <c:v>0</c:v>
                </c:pt>
                <c:pt idx="2">
                  <c:v>0</c:v>
                </c:pt>
                <c:pt idx="3">
                  <c:v>1477.8</c:v>
                </c:pt>
                <c:pt idx="4">
                  <c:v>536.5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1</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Michael O'Leary</c:v>
                </c:pt>
              </c:strCache>
            </c:strRef>
          </c:cat>
          <c:val>
            <c:numRef>
              <c:f>Hoja1!$B$2</c:f>
              <c:numCache>
                <c:formatCode>0.0"%"</c:formatCode>
                <c:ptCount val="1"/>
                <c:pt idx="0">
                  <c:v>4.05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0.0"x"</c:formatCode>
                <c:ptCount val="5"/>
                <c:pt idx="2">
                  <c:v>6.1</c:v>
                </c:pt>
                <c:pt idx="3">
                  <c:v>7.4</c:v>
                </c:pt>
                <c:pt idx="4">
                  <c:v>6.1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0.0"x"</c:formatCode>
                <c:ptCount val="5"/>
                <c:pt idx="0">
                  <c:v>6.1</c:v>
                </c:pt>
                <c:pt idx="1">
                  <c:v>6.1</c:v>
                </c:pt>
                <c:pt idx="2">
                  <c:v>6.1</c:v>
                </c:pt>
                <c:pt idx="3">
                  <c:v>6.1</c:v>
                </c:pt>
                <c:pt idx="4">
                  <c:v>6.1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Ryanair</c:v>
                </c:pt>
                <c:pt idx="1">
                  <c:v>IAG</c:v>
                </c:pt>
                <c:pt idx="2">
                  <c:v>Lufthansa</c:v>
                </c:pt>
                <c:pt idx="3">
                  <c:v>Air France-KLM</c:v>
                </c:pt>
                <c:pt idx="4">
                  <c:v>Jet2</c:v>
                </c:pt>
                <c:pt idx="5">
                  <c:v>easyJet</c:v>
                </c:pt>
                <c:pt idx="6">
                  <c:v>Wizz Air</c:v>
                </c:pt>
              </c:strCache>
            </c:strRef>
          </c:cat>
          <c:val>
            <c:numRef>
              <c:f>Hoja1!$B$2:$B$8</c:f>
              <c:numCache>
                <c:formatCode>0.0"x"</c:formatCode>
                <c:ptCount val="7"/>
                <c:pt idx="2">
                  <c:v>7.5</c:v>
                </c:pt>
                <c:pt idx="3">
                  <c:v>3.4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1105</c:v>
                </c:pt>
                <c:pt idx="1">
                  <c:v>993</c:v>
                </c:pt>
                <c:pt idx="2">
                  <c:v>1208</c:v>
                </c:pt>
                <c:pt idx="3">
                  <c:v>1450</c:v>
                </c:pt>
                <c:pt idx="4">
                  <c:v>1621</c:v>
                </c:pt>
                <c:pt idx="5">
                  <c:v>1899</c:v>
                </c:pt>
                <c:pt idx="6">
                  <c:v>2188</c:v>
                </c:pt>
                <c:pt idx="7">
                  <c:v>2279</c:v>
                </c:pt>
                <c:pt idx="8">
                  <c:v>2461</c:v>
                </c:pt>
                <c:pt idx="9">
                  <c:v>2522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10771</c:v>
                </c:pt>
                <c:pt idx="1">
                  <c:v>15275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24,16</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17.4</c:v>
                </c:pt>
                <c:pt idx="1">
                  <c:v>27.47</c:v>
                </c:pt>
                <c:pt idx="2">
                  <c:v>33.15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24,16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(26,10 – 33,52)</c:v>
                </c:pt>
                <c:pt idx="1">
                  <c:v>Comparables: PER NTM (10,32 – 14,10)</c:v>
                </c:pt>
                <c:pt idx="2">
                  <c:v>DCF (WACC y g ± 0,5) (24,87 – 30,88)</c:v>
                </c:pt>
                <c:pt idx="3">
                  <c:v>Escenarios (bajista – alcista) (17,40 – 33,15)</c:v>
                </c:pt>
                <c:pt idx="4">
                  <c:v>DCF con la prima implícita del mercado (4,2 %)</c:v>
                </c:pt>
                <c:pt idx="5">
                  <c:v>Precio actual (24,16)</c:v>
                </c:pt>
              </c:strCache>
            </c:strRef>
          </c:cat>
          <c:val>
            <c:numRef>
              <c:f>Hoja1!$B$2:$B$7</c:f>
              <c:numCache>
                <c:formatCode>#,##0.0</c:formatCode>
                <c:ptCount val="6"/>
                <c:pt idx="0">
                  <c:v>26.1</c:v>
                </c:pt>
                <c:pt idx="1">
                  <c:v>10.32</c:v>
                </c:pt>
                <c:pt idx="2">
                  <c:v>24.87</c:v>
                </c:pt>
                <c:pt idx="3">
                  <c:v>17.4</c:v>
                </c:pt>
                <c:pt idx="4">
                  <c:v>31.12</c:v>
                </c:pt>
                <c:pt idx="5">
                  <c:v>24.04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(26,10 – 33,52)</c:v>
                </c:pt>
                <c:pt idx="1">
                  <c:v>Comparables: PER NTM (10,32 – 14,10)</c:v>
                </c:pt>
                <c:pt idx="2">
                  <c:v>DCF (WACC y g ± 0,5) (24,87 – 30,88)</c:v>
                </c:pt>
                <c:pt idx="3">
                  <c:v>Escenarios (bajista – alcista) (17,40 – 33,15)</c:v>
                </c:pt>
                <c:pt idx="4">
                  <c:v>DCF con la prima implícita del mercado (4,2 %)</c:v>
                </c:pt>
                <c:pt idx="5">
                  <c:v>Precio actual (24,16)</c:v>
                </c:pt>
              </c:strCache>
            </c:strRef>
          </c:cat>
          <c:val>
            <c:numRef>
              <c:f>Hoja1!$C$2:$C$7</c:f>
              <c:numCache>
                <c:formatCode>#,##0.0</c:formatCode>
                <c:ptCount val="6"/>
                <c:pt idx="0">
                  <c:v>7.420000000000002</c:v>
                </c:pt>
                <c:pt idx="1">
                  <c:v>3.7799999999999994</c:v>
                </c:pt>
                <c:pt idx="2">
                  <c:v>6.009999999999998</c:v>
                </c:pt>
                <c:pt idx="3">
                  <c:v>15.75</c:v>
                </c:pt>
                <c:pt idx="4">
                  <c:v>5.7499999999999964</c:v>
                </c:pt>
                <c:pt idx="5">
                  <c:v>0.240000000000002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