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Schindler Holding AG</w:t>
      </w:r>
    </w:p>
    <w:p>
      <w:pPr>
        <w:spacing w:after="60"/>
        <w:rPr>
          <w:color w:val="52514E"/>
          <w:sz w:val="22"/>
          <w:szCs w:val="22"/>
        </w:rPr>
      </w:pPr>
      <w:r>
        <w:rPr>
          <w:color w:val="52514E"/>
          <w:sz w:val="22"/>
          <w:szCs w:val="22"/>
        </w:rPr>
        <w:t xml:space="preserve">SCHP · SIX Swiss Exchange · ISIN CH0024638196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260,40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272,22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+6,8 % (base +9,9 %)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266,90 CHF · mercado 322,00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27.733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Schindler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SCHP / CH0024638196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Ebikon (Lucerna) · 1874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www.schindler.com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260,40 (2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27.733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25.447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272,22 CHF</w:t>
      </w:r>
      <w:r>
        <w:t xml:space="preserve"> frente a 260,40 · Rentabilidad a 12 meses </w:t>
      </w:r>
      <w:r>
        <w:rPr>
          <w:b/>
          <w:bCs/>
        </w:rPr>
        <w:t xml:space="preserve">+6,8 % (base +9,9 %)</w:t>
      </w:r>
      <w:r>
        <w:t xml:space="preserve"> · Valor intrínseco 266,90 CHF · con la prima implícita del mercado: 322,00 (+23,7 %) · Alcista / bajista +19,9 % / -10,4 %</w:t>
      </w:r>
    </w:p>
    <w:p>
      <w:pPr>
        <w:spacing w:after="100"/>
      </w:pPr>
      <w:r>
        <w:rPr>
          <w:b/>
        </w:rPr>
        <w:t xml:space="preserve">La recomendación y por qué.</w:t>
      </w:r>
      <w:r>
        <w:t xml:space="preserve"> Mantener, con convicción baja. Con nuestro BPA de 2028e (11,67 CHF) y la regla común de múltiplos (v3), el objetivo a 12 meses es de 272,22 CHF frente a 260,40 CHF (cierre del 2 de octubre, el último que hemos podido fechar): +6,8 % ponderado y +9,9 % en el caso base, con el dividendo. No llega a los umbrales de compra (15 % y 12 %), aunque el valor intrínseco (266,90 CHF, +2,5 %) supera al precio. El objetivo medio de los analistas (≈298 CHF) queda entre nuestro base (280,08) y nuestro alcista (326,75). La convicción es baja porque las dos reglas del valor intrínseco discrepan (Mantener con nuestro WACC, Comprar con la prima del mercado) y porque las cifras salen de extractos de búsqueda, no de los documentos completos; subiría con un objetivo de margen EBIT de ≈15 % en el día del inversor del 19 de noviembre.</w:t>
      </w:r>
    </w:p>
    <w:p>
      <w:pPr>
        <w:spacing w:after="100"/>
      </w:pPr>
      <w:r>
        <w:rPr>
          <w:b/>
        </w:rPr>
        <w:t xml:space="preserve">El negocio.</w:t>
      </w:r>
      <w:r>
        <w:t xml:space="preserve"> Schindler es, como KONE, un negocio de servicio con fábrica: mantenimiento y modernización de una base instalada cautiva con contratos que suben precio cada año [12]. El margen EBIT ajustado ha pasado del 12,0 % de 2024 al 13,5 % del 1S26 y supera al de KONE (12,2 % en 2025) [1, 3, 41]. El ROIC del motor (65,4 %) está inflado por un balance incompleto, pero con cualquier medida razonable supera al WACC (6,08 %) en mucho más de 5 puntos. La calidad sí sostiene el crecimiento que proyectamos (veredicto «Sí»): 2,2 % anual sin capital nuevo, menos que el mercado (3,9 %), apoyado en un poder de precios demostrado desde 2022.</w:t>
      </w:r>
    </w:p>
    <w:p>
      <w:pPr>
        <w:spacing w:after="100"/>
      </w:pPr>
      <w:r>
        <w:rPr>
          <w:b/>
        </w:rPr>
        <w:t xml:space="preserve">Finanzas.</w:t>
      </w:r>
      <w:r>
        <w:t xml:space="preserve"> Las ventas en francos llevan cinco años bajando (−0,6 % anual) aunque crecen un 1-2 % en moneda local: el franco se come el crecimiento. Caja neta de 2.986 M (≈11 % de la capitalización), capex del 1 % de las ventas y conversión de beneficio en caja por encima del 100 % en un año normal [6, 7].</w:t>
      </w:r>
    </w:p>
    <w:p>
      <w:pPr>
        <w:spacing w:after="100"/>
      </w:pPr>
      <w:r>
        <w:rPr>
          <w:b/>
        </w:rPr>
        <w:t xml:space="preserve">Equipo y gobierno.</w:t>
      </w:r>
      <w:r>
        <w:t xml:space="preserve"> La dirección cumplió su objetivo de margen del 13 % [4, 25]. Las familias Schindler y Bonnard controlan el 69,5 % de los votos con ≈43 % del capital y los bonos de participación que compraría un minoritario no votan [23]: no habrá OPA y el minoritario depende de que el interés de la familia coincida con el suyo.</w:t>
      </w:r>
    </w:p>
    <w:p>
      <w:pPr>
        <w:spacing w:after="100"/>
      </w:pPr>
      <w:r>
        <w:rPr>
          <w:b/>
        </w:rPr>
        <w:t xml:space="preserve">Valoración y comparación con KONE.</w:t>
      </w:r>
      <w:r>
        <w:t xml:space="preserve"> El DCF da 282,97 CHF (+8,7 %) y el precio descuenta un crecimiento del 1,3 % anual frente a nuestro 2,6 %: conservador frente a la guía, no frente a la historia en francos. Cotiza a 23,8 veces nuestro BPA de 2027e, en su mediana adelantada (24,2) y con prima del 24 % sobre los comparables (19,5). KONE, analizada hoy, da +11,6 % a 12 meses con el valor intrínseco un 11,5 % por debajo del precio [41]: Schindler tiene más margen, caja y valor real, pero menos recorrido a un año. Ninguna de las dos pasa los requisitos de compra.</w:t>
      </w:r>
    </w:p>
    <w:p>
      <w:pPr>
        <w:spacing w:after="100"/>
      </w:pPr>
      <w:r>
        <w:rPr>
          <w:b/>
        </w:rPr>
        <w:t xml:space="preserve">Riesgos y catalizadores.</w:t>
      </w:r>
      <w:r>
        <w:t xml:space="preserve"> El riesgo mayor es el múltiplo: con 19,2 veces (bajista) el precio caería a 201,98 CHF (−20,1 %). Después, China, el franco y KONE-TKE, que Schindler combatirá ante las autoridades [18]. Catalizadores: resultados del 22 de octubre, día del inversor del 19 de noviembre y fin de la recompra de 700 M. Los foros son negativos (China, franco, múltiplo), como Goldman Sachs; no es capitulación.</w:t>
      </w:r>
    </w:p>
    <w:p>
      <w:pPr>
        <w:spacing w:after="100"/>
      </w:pPr>
      <w:r>
        <w:rPr>
          <w:b/>
        </w:rPr>
        <w:t xml:space="preserve">Qué cambiaría la decisión.</w:t>
      </w:r>
      <w:r>
        <w:t xml:space="preserve"> Compraríamos por debajo de 241,93 CHF (ponderada ≥ 15 %, base ≥ 12 % y valor intrínseco por encima del precio), y antes confirmaríamos precio y balance con fuente primaria; venderíamos por encima de 309,14. También: un objetivo de margen EBIT ≥ 15 % el 19 de noviembre (subiría el BPA de 2028e ≈6 %) o pedidos de nueve meses por debajo del +2 % en moneda local.</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272,22 CHF</w:t>
      </w:r>
      <w:r>
        <w:t xml:space="preserve"> (rentabilidad +6,8 % (base +9,9 %)) · Valor intrínseco: 266,90 CHF (+2,5 % sobre 260,40) · con la prima implícita del mercado: 322,00 (+23,7 %)</w:t>
      </w:r>
    </w:p>
    <w:p>
      <w:pPr>
        <w:spacing w:after="100"/>
      </w:pPr>
      <w:r>
        <w:t xml:space="preserve">Schindler es un negocio de servicio: mantiene y moderniza una base instalada que solo ella sabe mantener bien, con contratos que se renuevan cada año con subidas de precio, poco capital y una caja neta de 2.986 M [6, 12]. Su margen EBIT ajustado (13,3 % en 2025, 13,5 % en el 1S26) es de los más altos del sector y su BPA ha crecido de 5,66 CHF en 2022 a 9,48 en 2025 [1, 4, 16, 43].</w:t>
      </w:r>
    </w:p>
    <w:p>
      <w:pPr>
        <w:spacing w:after="100"/>
      </w:pPr>
      <w:r>
        <w:t xml:space="preserve">El precio de 260,40 CHF descuenta un crecimiento del 1,3 % anual en 2027e-2035e frente a nuestro 2,6 %, o un margen EBITDA del 15,9 % frente a nuestro 17,2 %. Cotiza a 23,8 veces nuestro BPA de 2027e, en su mediana adelantada (24,2) y con prima sobre los comparables (19,5) [21, 47].</w:t>
      </w:r>
    </w:p>
    <w:p>
      <w:pPr>
        <w:spacing w:after="100"/>
      </w:pPr>
      <w:r>
        <w:t xml:space="preserve">El mercado ha castigado la acción (≈−19 % en el año) por China, el franco y la llegada de KONE-TKE [13]. Tiene razón en que el crecimiento en francos es casi nulo, pero el beneficio sigue subiendo por margen y recompra. Para invertir hay que creer que el día del inversor eleva el objetivo de margen y que el franco deja de restar; sin eso, la rentabilidad esperada es la del dividendo más el crecimiento del BPA, ≈7-10 %.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 × 10,52 = 201,98 · 24,0x × 11,67 = 280,08 · 26,5x × 12,33 = 326,75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298,00 (nuestro base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266,90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 /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frente a 6,1 % y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frente a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241,93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241,93 y 309,14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309,14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241,93 CHF: pasaría a Comprar (si se confirman precio y balance con fuente primaria).</w:t>
      </w:r>
    </w:p>
    <w:p>
      <w:pPr>
        <w:pStyle w:val="ListParagraph"/>
        <w:numPr>
          <w:ilvl w:val="0"/>
          <w:numId w:val="2"/>
        </w:numPr>
        <w:spacing w:after="60"/>
      </w:pPr>
      <w:r>
        <w:t xml:space="preserve">Precio por encima de 309,14 CHF: pasaría a Vender.</w:t>
      </w:r>
    </w:p>
    <w:p>
      <w:pPr>
        <w:pStyle w:val="ListParagraph"/>
        <w:numPr>
          <w:ilvl w:val="0"/>
          <w:numId w:val="2"/>
        </w:numPr>
        <w:spacing w:after="60"/>
      </w:pPr>
      <w:r>
        <w:t xml:space="preserve">Objetivo de margen EBIT ≥ 15 % el 19-nov-2026: subiría el BPA de 2028e ≈6 % y nos acercaría a Comprar.</w:t>
      </w:r>
    </w:p>
    <w:p>
      <w:pPr>
        <w:pStyle w:val="ListParagraph"/>
        <w:numPr>
          <w:ilvl w:val="0"/>
          <w:numId w:val="2"/>
        </w:numPr>
        <w:spacing w:after="60"/>
      </w:pPr>
      <w:r>
        <w:t xml:space="preserve">Pedidos de nueve meses por debajo del +2 % en moneda local el 22-oct: bajaríamos el BPA y el objetivo.</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de calidad que no crece en francos, al que China, la divisa y un rival de doble tamaño (KONE-TKE) le quitarán el recorrido del margen: PER de 23,8 veces nuestro BPA de 2027e, la mediana de su historia, y una rentabilidad implícita del 6,6 % anual.</w:t>
      </w:r>
    </w:p>
    <w:p>
      <w:pPr>
        <w:keepNext/>
        <w:spacing w:after="100"/>
      </w:pPr>
      <w:r>
        <w:rPr>
          <w:b/>
          <w:bCs/>
        </w:rPr>
        <w:t xml:space="preserve">Lo que creemos nosotros.</w:t>
      </w:r>
    </w:p>
    <w:p>
      <w:pPr>
        <w:spacing w:after="100"/>
      </w:pPr>
      <w:r>
        <w:t xml:space="preserve">Coincidimos en el BPA (11,67 CHF en 2028e frente a 11,74 del consenso) y en el múltiplo: no tenemos una visión distinta del mercado. Somos algo más optimistas que el precio en el largo plazo (valor intrínseco de 266,90 CHF) porque el poder de precios y la caja dan un suelo, pero no vemos un catalizador a 12 meses que lleve el precio al objetivo de los analistas.</w:t>
      </w:r>
    </w:p>
    <w:p>
      <w:pPr>
        <w:keepNext/>
        <w:spacing w:after="100"/>
      </w:pPr>
      <w:r>
        <w:rPr>
          <w:b/>
          <w:bCs/>
        </w:rPr>
        <w:t xml:space="preserve">Por qué podemos tener razón.</w:t>
      </w:r>
    </w:p>
    <w:p>
      <w:pPr>
        <w:spacing w:after="100"/>
      </w:pPr>
      <w:r>
        <w:t xml:space="preserve">El margen ha subido 4,7 puntos desde 2022 con las ventas planas, y la guía de 2026 va en camino. La diferencia con el mercado es pequeña y de tasa de descuento (6,08 % frente al 6,6 % implícito), no de cifras: es una conclusión válida que no justifica comprar.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6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Poder de precios</w:t>
      </w:r>
      <w:r>
        <w:t xml:space="preserve">: margen EBIT del 7,9 % en 2022 al 12,6 % en 2025 con las ventas planas en francos [4, 16].</w:t>
      </w:r>
    </w:p>
    <w:p>
      <w:pPr>
        <w:pStyle w:val="ListParagraph"/>
        <w:numPr>
          <w:ilvl w:val="0"/>
          <w:numId w:val="2"/>
        </w:numPr>
        <w:spacing w:after="60"/>
      </w:pPr>
      <w:r>
        <w:rPr>
          <w:b/>
        </w:rPr>
        <w:t xml:space="preserve">Caja neta de 2.986 M</w:t>
      </w:r>
      <w:r>
        <w:t xml:space="preserve"> (≈11 % de la capitalización) y recompra de hasta 700 M en curso [6, 26].</w:t>
      </w:r>
    </w:p>
    <w:p>
      <w:pPr>
        <w:pStyle w:val="ListParagraph"/>
        <w:numPr>
          <w:ilvl w:val="0"/>
          <w:numId w:val="2"/>
        </w:numPr>
        <w:spacing w:after="60"/>
      </w:pPr>
      <w:r>
        <w:rPr>
          <w:b/>
        </w:rPr>
        <w:t xml:space="preserve">Margen superior a KONE</w:t>
      </w:r>
      <w:r>
        <w:t xml:space="preserve">: 13,3 % ajustado frente al 12,2 % en 2025 [4, 41].</w:t>
      </w:r>
    </w:p>
    <w:p>
      <w:pPr>
        <w:pStyle w:val="ListParagraph"/>
        <w:numPr>
          <w:ilvl w:val="0"/>
          <w:numId w:val="2"/>
        </w:numPr>
        <w:spacing w:after="60"/>
      </w:pPr>
      <w:r>
        <w:rPr>
          <w:b/>
        </w:rPr>
        <w:t xml:space="preserve">Valor intrínseco por encima del precio</w:t>
      </w:r>
      <w:r>
        <w:t xml:space="preserve">: 266,90 CHF (+2,5 %); con la prima del mercado, 322 CHF.</w:t>
      </w:r>
    </w:p>
    <w:p>
      <w:pPr>
        <w:pStyle w:val="ListParagraph"/>
        <w:numPr>
          <w:ilvl w:val="0"/>
          <w:numId w:val="2"/>
        </w:numPr>
        <w:spacing w:after="60"/>
      </w:pPr>
      <w:r>
        <w:rPr>
          <w:b/>
        </w:rPr>
        <w:t xml:space="preserve">Catalizador con fecha</w:t>
      </w:r>
      <w:r>
        <w:t xml:space="preserve">: día del inversor del 19-nov-2026 con objetivos nuevos [28].</w:t>
      </w:r>
    </w:p>
    <w:p>
      <w:pPr>
        <w:pStyle w:val="Heading2"/>
      </w:pPr>
      <w:r>
        <w:t xml:space="preserve">En contra</w:t>
      </w:r>
    </w:p>
    <w:p>
      <w:pPr>
        <w:pStyle w:val="ListParagraph"/>
        <w:numPr>
          <w:ilvl w:val="0"/>
          <w:numId w:val="2"/>
        </w:numPr>
        <w:spacing w:after="60"/>
      </w:pPr>
      <w:r>
        <w:rPr>
          <w:b/>
        </w:rPr>
        <w:t xml:space="preserve">Sin crecimiento en francos</w:t>
      </w:r>
      <w:r>
        <w:t xml:space="preserve">: ventas −0,6 % anual en 2021-2025 [16].</w:t>
      </w:r>
    </w:p>
    <w:p>
      <w:pPr>
        <w:pStyle w:val="ListParagraph"/>
        <w:numPr>
          <w:ilvl w:val="0"/>
          <w:numId w:val="2"/>
        </w:numPr>
        <w:spacing w:after="60"/>
      </w:pPr>
      <w:r>
        <w:rPr>
          <w:b/>
        </w:rPr>
        <w:t xml:space="preserve">China</w:t>
      </w:r>
      <w:r>
        <w:t xml:space="preserve">: el equipo nuevo sigue cayendo y la guía de ventas va justa (+1,4 % en el 1S26) [1].</w:t>
      </w:r>
    </w:p>
    <w:p>
      <w:pPr>
        <w:pStyle w:val="ListParagraph"/>
        <w:numPr>
          <w:ilvl w:val="0"/>
          <w:numId w:val="2"/>
        </w:numPr>
        <w:spacing w:after="60"/>
      </w:pPr>
      <w:r>
        <w:rPr>
          <w:b/>
        </w:rPr>
        <w:t xml:space="preserve">Prima del 24 % sobre los comparables</w:t>
      </w:r>
      <w:r>
        <w:t xml:space="preserve"> (24,1 veces frente a 19,5) con menos crecimiento [21].</w:t>
      </w:r>
    </w:p>
    <w:p>
      <w:pPr>
        <w:pStyle w:val="ListParagraph"/>
        <w:numPr>
          <w:ilvl w:val="0"/>
          <w:numId w:val="2"/>
        </w:numPr>
        <w:spacing w:after="60"/>
      </w:pPr>
      <w:r>
        <w:rPr>
          <w:b/>
        </w:rPr>
        <w:t xml:space="preserve">KONE-TKE</w:t>
      </w:r>
      <w:r>
        <w:t xml:space="preserve">: un rival con ≈20.500 M EUR de ventas, casi el doble [14].</w:t>
      </w:r>
    </w:p>
    <w:p>
      <w:pPr>
        <w:pStyle w:val="ListParagraph"/>
        <w:numPr>
          <w:ilvl w:val="0"/>
          <w:numId w:val="2"/>
        </w:numPr>
        <w:spacing w:after="60"/>
      </w:pPr>
      <w:r>
        <w:rPr>
          <w:b/>
        </w:rPr>
        <w:t xml:space="preserve">Minoritario sin voto</w:t>
      </w:r>
      <w:r>
        <w:t xml:space="preserve">: las familias controlan el 69,5 % de los votos [23].</w:t>
      </w:r>
    </w:p>
    <w:p>
      <w:pPr>
        <w:pStyle w:val="Heading2"/>
      </w:pPr>
      <w:r>
        <w:t xml:space="preserve">Qué tiene que pasar para que la tesis funcione</w:t>
      </w:r>
    </w:p>
    <w:p>
      <w:pPr>
        <w:spacing w:after="100"/>
      </w:pPr>
      <w:r>
        <w:t xml:space="preserve">La tesis depende de que el margen siga subiendo mientras las ventas en francos no crecen. La señal de que no se cumple sería un margen EBIT de los nueve meses por debajo del 13 % de la guía o un día del inversor sin un objetivo por encima del 14 %; cualquiera de las dos llevaría el PER hacia el de los comparables (19,5 veces) y el precio hacia los 200-215 CHF.</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publicado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13,0 %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guía y la base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 M (+7,7 %)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del equipo nuevo y la modernización.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divisa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franco es el mayor freno al BPA en francos.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2.986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Uso en una compra grande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27,5x / 24,1x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de 13 (10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Schindler se fundó en Lucerna en 1874 y es una empresa familiar desde entonces: las familias Schindler y Bonnard controlan el 69,5 % de los votos con un pacto de accionistas [23, 24]. Cotiza con dos líneas, nominativas (SCHN) y bonos de participación sin voto (SCHP). La historia reciente la marcan el golpe de los costes de 2022 (margen EBIT del 7,9 %), el plan de eficiencia que llevó el margen ajustado al 13,3 % en 2025 [4, 16] y la oposición a la combinación de KONE con TKE en 2026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Lucerna.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Inflación de materiales y China: margen EBIT del 7,9 % y beneficio de 610 M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margen EBIT del 13 % a medio plazo (desde el 10,3 %) y recompra de acciones [25,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récord de 1.073 M y dividendo de 6,80 CHF con 0,80 extraordinario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 acuerda comprar TKE; Schindler anuncia que recurrirá a las autoridades de competencia [14,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ampliada a 700 M (jun-2026); día del inversor movido al 19-nov-2026 [26, 28].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Schindler fabrica, instala, mantiene y moderniza ascensores, escaleras y pasillos mecánicos en todo el mundo. Vendió 10.947 M CHF en 2025 con 11.313 M de pedidos [4, 5]. Publica un único segmento; la prensa y la propia empresa describen tres actividades: equipo nuevo (edificios residenciales y comerciales, con China como mercado débil), mantenimiento de la base instalada y modernización de equipos antiguos, que es lo que más crece en 2026 [2]. La cartera de pedidos era de 8.410 M CHF en junio de 2026, +7,7 % [2].</w:t>
      </w:r>
    </w:p>
    <w:p>
      <w:pPr>
        <w:pStyle w:val="Heading2"/>
      </w:pPr>
      <w:r>
        <w:t xml:space="preserve">Cómo gana dinero</w:t>
      </w:r>
    </w:p>
    <w:p>
      <w:pPr>
        <w:spacing w:after="100"/>
      </w:pPr>
      <w:r>
        <w:t xml:space="preserve">El beneficio sale sobre todo del mantenimiento: contratos que se renuevan cada año con subidas de precio y que se quedan casi siempre con el fabricante del equipo [12]. El equipo nuevo se vende con márgenes bajos y anticipos de clientes, y genera la base instalada que luego se mantiene y moderniza. El margen depende del precio frente a la inflación de materiales y salarios (en 2022 el EBIT cayó al 7,9 % de las ventas por la inflación [16]) y de la mezcla: con el equipo nuevo en China a la baja y el servicio al alza, el margen EBIT ajustado subió del 12,0 % de 2024 al 13,5 % del 1S26 [1, 3]. Hay poca estacionalidad y un apalancamiento operativo moderado; el franco fuerte resta crecimiento en la conversión (−2,6 % de ventas en 2025 en francos con +1,3 % en moneda local)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Ascensores y escaleras (grupo)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Ascensores y escaleras (grupo)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10.947</w:t>
            </w:r>
          </w:p>
        </w:tc>
      </w:tr>
    </w:tbl>
    <w:p>
      <w:pPr>
        <w:spacing w:after="160" w:before="0"/>
      </w:pPr>
    </w:p>
    <w:p>
      <w:pPr>
        <w:pStyle w:val="Heading2"/>
      </w:pPr>
      <w:r>
        <w:t xml:space="preserve">Clientes, recurrencia y poder de precios</w:t>
      </w:r>
    </w:p>
    <w:p>
      <w:pPr>
        <w:spacing w:after="100"/>
      </w:pPr>
      <w:r>
        <w:t xml:space="preserve">Promotores y constructoras en el equipo nuevo; propietarios y administradores de edificios en el mantenimiento y la modernización. No hay concentración de clientes publicada. El poder de precios está demostrado: el margen EBIT pasó del 7,9 % de 2022 al 12,6 % de 2025 con las ventas casi planas en francos (de 11.346 a 10.947 M) [4, 16]. Para 2026 la empresa espera 35 M de inflación de costes y 15 M de aranceles, que pretende compensar con precios y eficiencia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11.313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5.794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en moneda local; −1,6 % en francos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equipo nuevo en China resta; modernización y servicio crecen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 visibilidad al segundo semestre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 (2025); 13,5 %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11,3 % en 2024, 12,6 % en 2025 y 13,2 % en el 1S26 [1,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las operaciones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617 M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(2025); +1,4 %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francos, −2,6 % en 2025 y −2,9 % en el 1S26 por la divisa [1, 3,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ascensores, escaleras y pasillos mecánicos: equipo nuevo, mantenimiento y modernización. Roland Berger lo estima en ≈110.000 M USD en 2025 y ≈133.000 M USD en 2030 [9]; otros estudios dan 85.000-100.000 M USD con perímetros más estrechos [10]. Usamos Roland Berger, que incluye el servicio, donde se gana el dinero. Ficha sectorial corta en la carpeta del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110.000 M USD en 2025 (Roland Berger, primavera de 2026)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es de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equipo nuevo en China sigue cayendo en 2026 y resta al crecimiento de Schindler y de KONE [2,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de la base instalada (modernización)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modernización es el segmento que más crece (≈7 % anual según Roland Berger) y empuja los pedidos de Schindler en 2026 [2,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de la base instalada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que se renuevan cada año con subidas de precio indexadas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construcción no residencial en Europa y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cita las bajadas de tipos lentas como lastre para el equipo nuevo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del sector (KONE-TKE)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compra TKE por 29.400 M EUR de valor empresa; cierre como pronto en el 2T27 [14,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(Otis, KONE, Schindler, TKE) y fabricantes chinos y japoneses; guerra de precios en el equipo nuevo en China; independientes en el mantenimiento local.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constructoras negocian fuerte el equipo nuevo; en el mantenimiento el cliente cambia poco porque los equipos llevan piezas y software propios.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y electrónica; la inflación de 2022 bajó el margen EBIT de Schindler al 7,9 % y se recuperó con precios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una red densa de técnicos y homologar los equipos; los nuevos entran por el equipo nuevo en Asia, no por el servicio.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para el transporte vertical en edificios altos.</w:t>
            </w:r>
          </w:p>
        </w:tc>
      </w:tr>
    </w:tbl>
    <w:p>
      <w:pPr>
        <w:spacing w:after="160" w:before="0"/>
      </w:pPr>
    </w:p>
    <w:p>
      <w:pPr>
        <w:pStyle w:val="Heading2"/>
      </w:pPr>
      <w:r>
        <w:t xml:space="preserve">Ciclo</w:t>
      </w:r>
    </w:p>
    <w:p>
      <w:pPr>
        <w:spacing w:after="100"/>
      </w:pPr>
      <w:r>
        <w:t xml:space="preserve">El equipo nuevo está en contracción por China y por los tipos; el servicio y la modernización siguen en expansión (cartera de Schindler +7,7 % a junio) [2]. En 2022 el golpe para Schindler vino de los costes (margen EBIT del 7,9 %), no del volumen (ventas +1 %) [16]; en 2020 el beneficio total bajó de 929 a 774 M [17].</w:t>
      </w:r>
    </w:p>
    <w:p>
      <w:pPr>
        <w:pStyle w:val="Heading2"/>
      </w:pPr>
      <w:r>
        <w:t xml:space="preserve">Regulación</w:t>
      </w:r>
    </w:p>
    <w:p>
      <w:pPr>
        <w:spacing w:after="100"/>
      </w:pPr>
      <w:r>
        <w:t xml:space="preserve">Normas de seguridad de ascensores (EN 81 en Europa) que obligan a revisiones y empujan la modernización. Lo que más pesa hoy es la competencia: la combinación KONE-TKE necesita autorización en la UE, el Reino Unido y EE. UU., y Schindler ha dicho que recurrirá a las autoridades [18, 19]. Aranceles en EE. UU.: ≈15 M de coste en 2026 para Schindler [2].</w:t>
      </w:r>
    </w:p>
    <w:p>
      <w:pPr>
        <w:pStyle w:val="Heading2"/>
      </w:pPr>
      <w:r>
        <w:t xml:space="preserve">Tendencias y disrupción</w:t>
      </w:r>
    </w:p>
    <w:p>
      <w:pPr>
        <w:spacing w:after="100"/>
      </w:pPr>
      <w:r>
        <w:t xml:space="preserve">Conectividad y mantenimiento predictivo (más contratos de servicio), descarbonización de edificios que acelera la modernización, plataformas modulares de producto (Schindler atribuye a la suya el crecimiento del equipo nuevo fuera de China) y competencia de fabricantes chinos fuera de China [2]. La consolidación KONE-TKE puede dar a Schindler clientes y técnicos durante la integración y activos que las autoridades obliguen a vender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cuatro grandes fabricantes mundiales de ascensores y escaleras, con ≈11.000 M CHF de ventas; cuota mundial n. d. (≈10 % del mercado de Roland Berger, estimación propia: 10.947 M CHF ≈ 13.500 M USD sobre 110.000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Otis Worldwide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por base instalada; guía de ventas 2026 de 15.100-15.300 M USD, recortada en julio; servicio orgánico +9 % en el 2T26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KNEBV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11.245 M EUR en 2025 (≈10.460 M CHF a 0,93) y margen EBIT ajustado del 12,2 %; compra TKE [14,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 Elevator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 Advent y Cinven; ventas ≈9.300 M EUR; la compra KONE en una operación de 29.400 M EUR de valor empresa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Fujitec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Excluida de bolsa tras la OPA de EQT (≈2.700 M USD)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efectos de red en sentido estricto; la conectividad de los equipos da algo de datos propios.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mantenimiento se queda casi siempre con el fabricante; contratos renovados cada año con subidas de precio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reconocida y plataforma modular propia, pero el equipo nuevo se compra sobre todo por precio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ajustado del 13,3 % en 2025 frente al 12,2 % de KONE [16,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densidad de rutas de técnicos por ciudad da economías de escala locales; KONE espera 700 M de sinergias con TKE sobre todo por eso [14].</w:t>
            </w:r>
          </w:p>
        </w:tc>
      </w:tr>
    </w:tbl>
    <w:p>
      <w:pPr>
        <w:spacing w:after="160" w:before="0"/>
      </w:pPr>
    </w:p>
    <w:p>
      <w:pPr>
        <w:pStyle w:val="Heading2"/>
      </w:pPr>
      <w:r>
        <w:t xml:space="preserve">Amenazas</w:t>
      </w:r>
    </w:p>
    <w:p>
      <w:pPr>
        <w:spacing w:after="100"/>
      </w:pPr>
      <w:r>
        <w:t xml:space="preserve">La amenaza principal es la combinación de KONE con TK Elevator (29.400 M EUR de valor empresa), que crearía un rival con ≈20.500 M EUR de ventas, casi el doble que Schindler [14]. El consejero delegado la llamó «baño de sangre» para el sector y anunció que recurrirá a las autoridades de competencia, aunque luego vio oportunidades de captar clientes y técnicos durante la integración [15, 29]. Probabilidad de que dañe el foso de servicio en 3-5 años: baja; el riesgo es de escala en compras e I+D. Los fabricantes chinos presionan el equipo nuevo fuera de China (probabilidad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-0,6 %</w:t>
      </w:r>
      <w:r>
        <w:t xml:space="preserve">, EBITDA </w:t>
      </w:r>
      <w:r>
        <w:rPr>
          <w:b/>
          <w:bCs/>
        </w:rPr>
        <w:t xml:space="preserve">n.d.</w:t>
      </w:r>
      <w:r>
        <w:t xml:space="preserve">, BPA </w:t>
      </w:r>
      <w:r>
        <w:rPr>
          <w:b/>
          <w:bCs/>
        </w:rPr>
        <w:t xml:space="preserve">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en francos bajaron de 11.236 M en 2021 a 10.947 M en 2025 (−0,6 % anual) [16]: crecimiento en moneda local del 1-2 % anual, comido por el franco fuerte (431 M de efecto divisa en 2025 [4]) y por la caída del equipo nuevo en China. La historia del margen es la de la década: el EBIT cayó al 7,9 % en 2022 por la inflación de materiales y subió al 11,3 % en 2024 y al 12,6 % en 2025 (ajustado 13,3 %) por precios, mezcla de servicio y el plan de eficiencia [3, 4, 16]. El beneficio atribuido pasó de 610 M en 2022 a 1.015 M en 2025 y el BPA de 5,66 a 9,48 CHF [16, 42, 43]. En el 1S26, ventas de 5.329 M (+1,4 % en moneda local), EBIT de 706 M (13,2 %) y BPA de 4,82 CHF [1, 50].</w:t>
      </w:r>
    </w:p>
    <w:p>
      <w:pPr>
        <w:pStyle w:val="Heading2"/>
      </w:pPr>
      <w:r>
        <w:t xml:space="preserve">Ajustes y partidas no recurrentes</w:t>
      </w:r>
    </w:p>
    <w:p>
      <w:pPr>
        <w:spacing w:after="100"/>
      </w:pPr>
      <w:r>
        <w:t xml:space="preserve">Schindler publica un EBIT ajustado que excluye reestructuraciones y partidas no recurrentes: 12,0 % frente al 11,3 % publicado en 2024 (≈80 M de diferencia), 13,3 % frente al 12,6 % en 2025 (≈80 M) y 13,5 % frente al 13,2 % en el 1S26 [1, 3, 4]. Usamos las cifras publicadas en la cuenta y en el DCF; los costes de reestructuración se repiten cada año y no los tratamos como no recurrentes. Las cifras de 2021-2022 son de Stock Analysis y pueden diferir algo de las publicadas.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1S26 (21-jul) los pedidos crecieron un 2,9 % en moneda local hasta 5.794 M y las ventas un 1,4 % hasta 5.329 M; el margen EBIT subió 90 puntos básicos hasta el 13,2 % (ajustado 13,5 %; 13,9 % en el 2T) y la guía de 2026 (ventas +bajo-medio un dígito en moneda local, margen ≈13 %) se confirmó [1, 2]. En el 2T las ventas cayeron un 0,7 % en francos hasta 2.740 M: algo por encima del consenso en pedidos y EBIT, algo por debajo en ventas [54]. La dirección espera acelerar en el segundo semestre con modernización y servicio y con menos lastre del equipo nuevo, y avisó de 35 M de inflación de costes y 15 M de aranceles [2]. Lo que no despejó: cuándo toca suelo China y por qué las ventas no aceleran pese a la cartera (+7,7 %). La acción cayó un 4,8 % ese día [33]. El día del inversor pasó del 3-jun al 19-nov-2026, donde se esperan objetivos nuevos a medio plazo [28].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caja neta ha oscilado entre 2.400 y 3.600 M en cinco años: bajó en 2022 (flujo operativo de 688 M) y subió hasta 3.586 M en 2025 [6, 7]. En el 1S26 bajó a ≈2.990 M tras el dividendo de 6,80 CHF (≈720 M) y la recompra. El balance es una opción: con 2.990 M de caja neta (≈11 % de la capitalización), Schindler puede ampliar la recompra (hasta 700 M en curso [26]) o comprar activos que las autoridades obliguen a vender a KONE y TKE [15].</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5.507</w:t>
      </w:r>
      <w:r>
        <w:t xml:space="preserve">, conversión </w:t>
      </w:r>
      <w:r>
        <w:rPr>
          <w:b/>
          <w:bCs/>
        </w:rPr>
        <w:t xml:space="preserve">129 %</w:t>
      </w:r>
      <w:r>
        <w:t xml:space="preserve"> del beneficio neto; adquisiciones 209, dividendos 1.295, recompras 267.</w:t>
      </w:r>
    </w:p>
    <w:p>
      <w:pPr>
        <w:spacing w:after="100"/>
      </w:pPr>
      <w:r>
        <w:t xml:space="preserve">El flujo operativo fue de 1.314 M en 2021, 688 M en 2022, 1.271 M en 2023, 1.595 M en 2024 y 1.490 M en 2025, con un capex de solo 96-117 M (≈1 % de las ventas) [7]: el negocio casi no necesita inversión y convierte más del 100 % del beneficio en caja en un año normal. 2022 fue anómalo por el acopio de existencias con la inflación. Con los pagos de arrendamiento (152-160 M) la inversión de mantenimiento ronda el 2,5 % de las ventas (estimación propia). El FCF de 2025 (1.385 M según Stock Analysis) pagó 643 M de dividendos, 231 M de recompras y 158 M de compras de minoritarios [7, 8].</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No hemos podido leer el informe del auditor ni las notas de reconocimiento de ingresos de los contratos de equipo nuevo, así que la lectura es limitada. El motor da un Altman Z de 3,85 (zona segura) y un Piotroski de 6; el Beneish no se puede calcular sin el detalle de clientes y gastos. Las señales que vemos son menores: el hundimiento del flujo operativo de 2022, que se revirtió, y las compras de minoritarios que no pasan por el FCF. La diferencia entre EBIT publicado y ajustado (≈0,7 puntos) es recurrente y la tratamos como coste. Las familias de control y la ausencia de deuda reducen el incentivo a maquillar cifras, pero eso no sustituye a leer las cuentas.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de 2022 hundido (688 M) con beneficio de 610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inflación de materiales y de acopio de existencias; se recuperó en 2023-2024 (1.271 y 1.595 M)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minoritarios de 158 M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caja que no pasa por el FCF ni por las adquisiciones de negocio [8].</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6,1 %.</w:t>
      </w:r>
    </w:p>
    <w:p>
      <w:pPr>
        <w:spacing w:after="100"/>
      </w:pPr>
      <w:r>
        <w:t xml:space="preserve">Schindler crea valor con mucha holgura: el ROIC calculado del 65,4 % en 2025 (55,1 % en 2024) supera en ≈59 puntos al WACC del 6,08 %, aunque está muy inflado porque no tenemos los anticipos de clientes, el fondo de comercio ni los minoritarios para medir bien el capital invertido; con el ROE (19,9 %, lastrado por 2.990 M de caja neta) la diferencia sigue siendo de más de 13 puntos. Lo mueve el margen (EBIT del 12,6 %) y una rotación del capital operativo muy alta: el servicio necesita poco capital y el equipo nuevo se cobra por adelantado. El ROIC incremental no significa nada con un capital tan pequeño. Frente a KONE (ROIC del motor del 43,5 % con el mismo problema de balance) Schindler está en la misma liga, con algo más de margen [41].</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3.703 M a 30-jun-2026 (1.893 M de caja y 1.810 M de inversiones) frente a una deuda de 717 M que incluye arrendamientos: caja neta ≈2.990 M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localizado (la empresa no tiene bonos en circulación relevantes según el balance).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Sin deuda financiera relevante: la deuda de 717 M de junio de 2026 incluye arrendamientos, frente a 3.703 M de caja e inversiones a corto [6]. No tenemos el desglose de anticipos de clientes, pensiones (Suiza tiene planes de prestación definida que suelen estar en superávit), provisiones ni minoritarios; estos últimos los valoramos en ≈700 M (≈58 M de beneficio atribuido a minoritarios × 12, estimación propia). En 2025 Schindler pagó 158 M por comprar minoritarios [8].</w:t>
      </w:r>
    </w:p>
    <w:p>
      <w:pPr>
        <w:pStyle w:val="Heading1"/>
      </w:pPr>
      <w:r>
        <w:t xml:space="preserve">12. Asignación de capital</w:t>
      </w:r>
    </w:p>
    <w:p>
      <w:pPr>
        <w:pStyle w:val="Confianza"/>
        <w:spacing w:after="100"/>
      </w:pPr>
      <w:r>
        <w:t xml:space="preserve">Confianza: Media</w:t>
      </w:r>
    </w:p>
    <w:p>
      <w:pPr>
        <w:spacing w:after="100"/>
      </w:pPr>
      <w:r>
        <w:t xml:space="preserve">Dividendo de 6,00 CHF ordinario más 0,80 extraordinario por 2025 (payout ≈72 % del BPA de 9,48), el más alto desde el cambio de siglo [27]; 6,00 CHF por 2024 (payout 68 %) [3]. Recompra de nominativas y bonos de participación iniciada en 2024 y ampliada a 700 M en junio de 2026, a terminar como tarde en noviembre, con amortización en la próxima junta [26]. Prioridades: dividendo, recompra y compras pequeñas de minoritarios y de empresas de servicio.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Participaciones minoritarias en filiales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beneficio atribuido; detalle n. d.</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acciones y bonos de participación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amortización prevista en la junta de 2027</w:t>
            </w:r>
          </w:p>
        </w:tc>
      </w:tr>
    </w:tbl>
    <w:p>
      <w:pPr>
        <w:spacing w:after="160" w:before="0"/>
      </w:pPr>
    </w:p>
    <w:p>
      <w:pPr>
        <w:spacing w:after="100"/>
      </w:pPr>
      <w:r>
        <w:t xml:space="preserve">Asignación prudente: en cinco años el FCF acumulado se ha ido a dividendos, recompras y caja, sin compras grandes ni deterioros conocidos. El coste es la caja ociosa: 2.990 M de caja neta que rinde poco con tipos suizos cerca del 0,5 % y que deprime el ROE (19,9 % en 2025) frente a un ROIC muy alto. La recompra de 700 M (≈2,5 % de la capitalización) es un paso; Goldman Sachs cree que hay poco margen para más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8"/>
        <w:gridCol w:w="1527"/>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Paolo Compagna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(CEO)</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ejecutivo durante la mejora de margen de 2025-2026; ha liderado la oposición pública a la combinación KONE-TKE [18, 29].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margen EBIT del 13 % (desde el 10,3 %) [25]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ajustado del 13,3 % en 2025 (publicado 12,6 %)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+bajo-medio un dígito en moneda local; margen EBIT ≈13 %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+1,4 % en moneda local y margen del 13,2 %; guía confirmada en julio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razonable: la dirección fijó en 2024 un objetivo de margen EBIT del 13 % y lo alcanzó en ajustado en 2025 (13,3 %) y casi en publicado en el 1S26 (13,2 %) [1, 4, 25]. La guía de ventas de 2026 (+bajo-medio un dígito en moneda local) va justa con un +1,4 % en el primer semestre [2]. La familia de control da estabilidad; no hemos podido leer el informe de gobierno para ver el plan de sucesión ni la composición del comité de dirección.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de 13 (10 sin dato)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Familias Schindler y Bonnard (pacto de accionistas)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68,6 % de los votos en 2023; 46,64 M de nominativas a 31-dic-2024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de remuneración de 2025 ni las votaciones de la junta (hueco registrado). Lo que importa para el minoritario: los bonos de participación no votan, así que la junta la deciden las familias de control.</w:t>
      </w:r>
    </w:p>
    <w:p>
      <w:pPr>
        <w:pStyle w:val="Heading2"/>
      </w:pPr>
      <w:r>
        <w:t xml:space="preserve">Operaciones vinculadas, estructura de control y defensas</w:t>
      </w:r>
    </w:p>
    <w:p>
      <w:pPr>
        <w:spacing w:after="100"/>
      </w:pPr>
      <w:r>
        <w:t xml:space="preserve">Las familias Schindler y Bonnard, con sus partes vinculadas, tenían 46,64 M de nominativas a 31-dic-2024, el 69,5 % de los votos (68,6 % un año antes), unidas por un pacto de accionistas [23, 51]; con ≈107,5 M de títulos en total, eso es ≈43 % del capital económico (estimación propia [30]). Los bonos de participación (≈40,7 M) no tienen voto [52]. Es un control de hecho blindado: no habrá OPA sin las familias, y el minoritario depende de que su interés (dividendo y valor a largo plazo) coincida con el suyo, como ha pasado históricamente.</w:t>
      </w:r>
    </w:p>
    <w:p>
      <w:pPr>
        <w:pStyle w:val="Heading2"/>
      </w:pPr>
      <w:r>
        <w:t xml:space="preserve">Señales de alerta</w:t>
      </w:r>
    </w:p>
    <w:p>
      <w:pPr>
        <w:pStyle w:val="ListParagraph"/>
        <w:numPr>
          <w:ilvl w:val="0"/>
          <w:numId w:val="2"/>
        </w:numPr>
        <w:spacing w:after="60"/>
      </w:pPr>
      <w:r>
        <w:t xml:space="preserve">Doble línea cotizada: los bonos de participación (SCHP) no votan; el control familiar del 69,5 % de los votos con ≈43 % del capital (estimación propia: 46,64 M de nominativas sobre ≈107,5 M de títulos) deja al minoritario sin voz en la junta [23, 30].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(11-feb-2026, confirmada el 21-jul): ventas +bajo-medio un dígito en moneda local y margen EBIT ≈13 %, con aceleración en el segundo semestre por modernización y servicio, 35 M de inflación de costes y 15 M de aranceles [2, 4]. Objetivo a medio plazo anterior (feb-2024): margen EBIT del 13 % [25]. El día del inversor del 19-nov-2026 traerá objetivos nuevos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 MarketScreener [31,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1.170 M ÷ 106,5 M de acciones)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(beneficio 1.250 M ÷ 106,5 M de acciones)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13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233,00 – 333,00</w:t>
            </w:r>
          </w:p>
        </w:tc>
      </w:tr>
    </w:tbl>
    <w:p>
      <w:pPr>
        <w:spacing w:after="160" w:before="0"/>
      </w:pPr>
    </w:p>
    <w:p>
      <w:pPr>
        <w:pStyle w:val="Heading2"/>
      </w:pPr>
      <w:r>
        <w:t xml:space="preserve">Revisiones de estimaciones</w:t>
      </w:r>
    </w:p>
    <w:p>
      <w:pPr>
        <w:spacing w:after="100"/>
      </w:pPr>
      <w:r>
        <w:t xml:space="preserve">Tendencia a la baja: tras el 1S26 los analistas recortaron el BPA de 2026 de 10,12 a 10,03 CHF y algo las ventas [31]; Goldman Sachs pasó a Vender el 7-sep con objetivo de 233 CHF (desde 286) por China, la lentitud de las bajadas de tipos y el poco margen para más recompras [13]. El objetivo medio de 24 analistas ronda los 298 CHF (11 comprar, 13 mantener) [45]; los tres de AWP daban 309,33 de media (273-333) a finales de julio [46]. MarketScreener da un beneficio de 1.080, 1.170 y 1.250 M para 2026-2028 (margen EBIT del 13,5 %, 13,8 % y 14,1 %) [32]; el BPA de 2027e y 2028e es nuestra división por 106,5 M de acciones. Solo una fuente con estimaciones a tres años.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El PER de los últimos 12 meses al cierre del año ha estado entre 25 y 36 veces (2022 excluido por el BPA hundido) y el adelantado (precio de cierre ÷ BPA del año siguiente) entre 21,6 y 31,5 veces: mediana de 24,2 desde 2021 [47, 48]. Hoy el PER adelantado es de 23,8 veces (260,40 ÷ nuestro BPA de 2027e de 10,95), en línea con su mediana y por debajo del 31,5 de finales de 2025, cuando la acción cotizaba a ≈320 CHF (estimación propia a partir de la caída del año publicada [13, 49]). No ha cambiado nada estructural en el negocio; lo que ha cambiado es la expectativa de crecimiento (China, franco) y la llegada de un rival más grande. Precios de cierre de 2021-2023 derivados del PER de Wisesheets por el BPA publicado (estimación propia).</w:t>
      </w:r>
    </w:p>
    <w:p>
      <w:pPr>
        <w:pStyle w:val="Heading1"/>
      </w:pPr>
      <w:r>
        <w:t xml:space="preserve">18. Comparables cotizados</w:t>
      </w:r>
    </w:p>
    <w:p>
      <w:pPr>
        <w:pStyle w:val="Confianza"/>
        <w:spacing w:after="100"/>
      </w:pPr>
      <w:r>
        <w:t xml:space="preserve">Confianza: Baja</w:t>
      </w:r>
    </w:p>
    <w:p>
      <w:pPr>
        <w:spacing w:after="100"/>
      </w:pPr>
      <w:r>
        <w:t xml:space="preserve">Los dos fabricantes de ascensores cotizados comparables en tamaño y modelo (KONE y Otis) y tres industriales nórdicos con mucho servicio recurrente y calidad parecida (ASSA ABLOY, Atlas Copco, Konecranes), los mismos del informe de KONE de hoy [21]. TKE y Fujitec no cotizan; Mitsubishi Electric e Hitachi son conglomerados donde el ascensor pesa poco.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Otis Worldwide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ASSA ABLOY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Konecranes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 / 19,5x / 22,5x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spacing w:after="100"/>
      </w:pPr>
      <w:r>
        <w:t xml:space="preserve">Solo tenemos de todos el PER de los próximos 12 meses: KONE 22,5 veces, Otis 15,2, ASSA ABLOY 19,5, Atlas Copco 24,8 y Konecranes 13,6; mediana 19,5 [21, 55, 56, 57, 58]. Schindler, a 24,1 veces, cotiza con prima del 24 % sobre la mediana y en línea con KONE, el más parecido por modelo y control familiar. La prima se justifica en parte por el margen (13,3 % ajustado frente al 12,2 % de KONE) y por la caja neta, pero no por el crecimiento (1-2 % en moneda local). Otis, con más peso de servicio, cotiza muy por debajo tras recortar su guía. Peso bajo (20 %) por lo incompleto de los datos.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TK Elevator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29.400 M EUR (≈27.340 M CHF a 0,93); EV/ventas ≈3,2 veces y EV/EBIT ajustado ≈22 veces [14,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Fujitec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(BPEA Fund IX)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de ≈2.700 M USD por el capital [22].</w:t>
            </w:r>
          </w:p>
        </w:tc>
      </w:tr>
    </w:tbl>
    <w:p>
      <w:pPr>
        <w:spacing w:after="160" w:before="0"/>
      </w:pPr>
    </w:p>
    <w:p>
      <w:pPr>
        <w:spacing w:after="160" w:before="0"/>
      </w:pPr>
    </w:p>
    <w:p>
      <w:pPr>
        <w:spacing w:after="100"/>
      </w:pPr>
      <w:r>
        <w:t xml:space="preserve">La única operación grande reciente es la compra de TKE por KONE: 29.400 M EUR de valor empresa, ≈3,2 veces las ventas y ≈22 veces el EBIT ajustado [14, 21]. Aplicado a Schindler (EBIT de 1.384 M), ese múltiplo daría ≈30.400 M de valor empresa, un 19 % más que el de hoy: el valor de control del sector está por encima del precio de bolsa. Pero Schindler no es opable: las familias controlan el 69,5 % de los votos. Peso 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En francos: −1 % en 2026e (≈+2 % en moneda local, como el +1,4 % del 1S26 con la aceleración que espera la empresa, y ≈−3 % de divisa, como el −4,3 % de diferencia del 1S26) [1]; después, 3,0-3,5 % en 2027e-2030e (≈2 % de precio en servicio y modernización y 1-1,5 % de volumen con la cartera +7,7 % y la recuperación lenta del equipo nuevo) [2], y bajando al 1 % del terminal. El consenso de beneficio de MarketScreener crece un 7-8 % anual en 2027-2028 [32]. Es por encima de la historia en francos (−0,6 % anual en 2021-2025) porque suponemos un franco estable.</w:t>
      </w:r>
    </w:p>
    <w:p>
      <w:pPr>
        <w:keepNext/>
        <w:spacing w:after="100"/>
      </w:pPr>
      <w:r>
        <w:rPr>
          <w:b/>
          <w:bCs/>
        </w:rPr>
        <w:t xml:space="preserve">Márgenes.</w:t>
      </w:r>
    </w:p>
    <w:p>
      <w:pPr>
        <w:spacing w:after="100"/>
      </w:pPr>
      <w:r>
        <w:t xml:space="preserve">EBIT del 13,2 % en 2026e (guía ≈13 %; 13,2 % en el 1S26) y del 14,3 % a partir de 2029e, con amortización del 2,9 %: margen EBITDA del 16,1 % al 17,2 % [1, 4]. El consenso da un margen EBIT del 14,1 % en 2028e [32]; nosotros, 14,1 %. El 14,3 % final queda por debajo del de Otis y supone mantener el plan de eficiencia; no incluye la mejora que pueda anunciar el día del inversor.</w:t>
      </w:r>
    </w:p>
    <w:p>
      <w:pPr>
        <w:keepNext/>
        <w:spacing w:after="100"/>
      </w:pPr>
      <w:r>
        <w:rPr>
          <w:b/>
          <w:bCs/>
        </w:rPr>
        <w:t xml:space="preserve">Inversión y circulante.</w:t>
      </w:r>
    </w:p>
    <w:p>
      <w:pPr>
        <w:spacing w:after="100"/>
      </w:pPr>
      <w:r>
        <w:t xml:space="preserve">Capex del 2,5 % de las ventas (≈1 % del estado de flujos y ≈1,5 % de pagos de arrendamiento) hasta 2032e y del 2,9 % (igual a la amortización) al final [7, 8]. Circulante neto 0 %: el equipo nuevo se cobra por adelantado y el balance disponible no da el desglose de anticipos; con el circulante negativo real, el DCF sería algo mayor.</w:t>
      </w:r>
    </w:p>
    <w:p>
      <w:pPr>
        <w:keepNext/>
        <w:spacing w:after="100"/>
      </w:pPr>
      <w:r>
        <w:rPr>
          <w:b/>
          <w:bCs/>
        </w:rPr>
        <w:t xml:space="preserve">Coste del capital.</w:t>
      </w:r>
    </w:p>
    <w:p>
      <w:pPr>
        <w:spacing w:after="100"/>
      </w:pPr>
      <w:r>
        <w:t xml:space="preserve">Todo en francos. Tasa libre del 0,54 % (bono de la Confederación a 10 años del 8-oct-2026, del informe de Roche de este repositorio) [40]; beta de 0,85 (estimación propia: negocio de servicio defensivo con equipo nuevo cíclico; sin serie de precios para calcularla), prima de mercado del 5,5 % y 1 punto adicional, como en los informes de Roche y Givaudan, porque el bono suizo es anormalmente bajo y Schindler vende en todo el mundo. Coste de la deuda del 2 % y un 3 % de deuda. WACC del 6,08 %. Con la prima implícita del mercado (4,2 %) [39], el WACC baja al 5,0 % y el DCF sube a 322 CHF: la valoración depende mucho de la tasa.</w:t>
      </w:r>
    </w:p>
    <w:p>
      <w:pPr>
        <w:keepNext/>
        <w:spacing w:after="100"/>
      </w:pPr>
      <w:r>
        <w:rPr>
          <w:b/>
          <w:bCs/>
        </w:rPr>
        <w:t xml:space="preserve">Valor terminal.</w:t>
      </w:r>
    </w:p>
    <w:p>
      <w:pPr>
        <w:spacing w:after="100"/>
      </w:pPr>
      <w:r>
        <w:t xml:space="preserve">Gordon con un crecimiento del 1,0 % en francos (inflación suiza ≈0,5-1 % más algo de crecimiento real), como en los demás informes suizos del repositorio. Está por encima de la tasa libre menos medio punto, pero esa tasa (0,54 %) incluye una prima de refugio que compensamos con el punto adicional del WACC. El valor terminal pesa el 64 % del valor. Múltiplo de salida de referencia de 14 veces el EBITDA, el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266,89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365,31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M (-2 % del NOPAT)</w:t>
            </w:r>
          </w:p>
        </w:tc>
      </w:tr>
    </w:tbl>
    <w:p>
      <w:pPr>
        <w:spacing w:after="160" w:before="0"/>
      </w:pPr>
    </w:p>
    <w:p>
      <w:pPr>
        <w:spacing w:after="100"/>
      </w:pPr>
      <w:r>
        <w:t xml:space="preserve">La proyección apenas necesita inversión neta de la amortización (reinversión acumulada de -334 M, con un capex bruto medio del 2,6 % de las ventas). En un negocio de activos ligeros, el crecimiento medio del 2,2 %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≈2 % y volumen plano en moneda local (+1,4 % en el 1S26 con la guía de +bajo-medio un dígito); −3 % de divisa por el franco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2 % (contratos de servicio indexados) y volumen 1 % (modernización y cartera +7,7 %) [2,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con el equipo nuevo estabilizado en China (Roland Berger no espera mejora antes de 2027)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mundial +3,9 % anual hasta 2030 (Roland Berger): crecemos menos que el mercado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2 % y volumen 1 %; cuota estable o ligeramente a la baja frente a KONE-TKE.</w:t>
            </w:r>
          </w:p>
        </w:tc>
      </w:tr>
    </w:tbl>
    <w:p>
      <w:pPr>
        <w:spacing w:after="160" w:before="0"/>
      </w:pPr>
    </w:p>
    <w:p>
      <w:pPr>
        <w:spacing w:after="100"/>
      </w:pPr>
      <w:r>
        <w:t xml:space="preserve">Sí. La proyección (2,2 % anual de media) no necesita capital: la reinversión neta acumulada es negativa y el motor no puede hacer la prueba de financiación, así que la hacemos con el poder de precios y la cuota. El poder de precios está demostrado: el margen EBIT subió del 7,9 % de 2022 al 12,6 % de 2025 con las ventas casi planas en francos [4, 16]. El crecimiento proyectado (≈1-1,5 puntos de volumen y 2 de precio) es menor que el del mercado mundial (≈3,9 % anual según Roland Berger) [9], así que implica perder algo de cuota, no ganarla. El riesgo no es la calidad sino la escala del nuevo KONE-TKE y China. No hace falta rebajar 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(base: 2,6 %)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 (base: 17,2 %)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(WACC: 6,1 %)</w:t>
            </w:r>
          </w:p>
        </w:tc>
      </w:tr>
    </w:tbl>
    <w:p>
      <w:pPr>
        <w:spacing w:after="160" w:before="0"/>
      </w:pPr>
    </w:p>
    <w:p>
      <w:pPr>
        <w:spacing w:after="100"/>
      </w:pPr>
      <w:r>
        <w:t xml:space="preserve">El DCF da 282,97 CHF por acción, un 8,7 % por encima del precio de 260,40 CHF, con el 64 % del valor en el terminal. El DCF inverso dice que el precio descuenta un crecimiento del 1,3 % anual en 2027e-2035e (nuestro base: 2,6 %) o un margen EBITDA del 15,9 % (base: 17,2 %), es decir, una rentabilidad anual del 6,6 % frente a nuestro WACC del 6,08 %. Es conservador frente a la guía y frente al mercado (3,9 % anual hasta 2030), pero no frente a la historia en francos: Schindler ha encogido un 0,6 % anual desde 2021 por la divisa. El precio supone, en la práctica, que el franco seguirá comiendo el crecimiento en moneda local o que el margen no pasará del 13 %. Con la prima de riesgo que hoy pide el mercado (4,2 %, WACC del 5,0 %), el valor sube a 322 CHF: la diferencia es de tasa, no de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sigue cayendo, el franco se aprecia otro 3-4 % al año y KONE-TKE gana contratos de mantenimiento con precio: ventas planas en francos y margen EBIT estancado en ≈13 %, como en 2025-2026. Ya le pasó entre 2021 y 2025 (ventas −0,6 % anual en francos).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2-3 % en moneda local con modernización y servicio, franco estable y margen EBIT que sube al 14,3 % por eficiencia y mezcla, en línea con el consenso.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del equipo nuevo fuera de China con la plataforma modular, objetivos de margen más altos en el día del inversor (≈15 %) y ganancia de clientes durante la integración de KONE-TKE.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CHF) · precio actual 26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277,86 CHF (+6,7 %).</w:t>
      </w:r>
    </w:p>
    <w:p>
      <w:pPr>
        <w:spacing w:after="100"/>
      </w:pPr>
      <w:r>
        <w:t xml:space="preserve">La asimetría del valor intrínseco es aceptable: el alcista (312,26 CHF) gana un 19,9 % y el bajista (233,25) pierde un 10,4% (1,91 veces). A 12 meses, con la regla de múltiplos, el reparto es peor: alcista +27,8 % y bajista −20,1 % (1,14 veces), porque el bajista aplica un PER de 19,2 veces (base × 0,80), el de los comparables. La mayor parte del riesgo está en el múltiplo, no en el beneficio.</w:t>
      </w:r>
    </w:p>
    <w:p>
      <w:pPr>
        <w:pStyle w:val="Heading1"/>
      </w:pPr>
      <w:r>
        <w:t xml:space="preserve">22. Suma de partes</w:t>
      </w:r>
    </w:p>
    <w:p>
      <w:pPr>
        <w:pStyle w:val="Confianza"/>
        <w:spacing w:after="100"/>
      </w:pPr>
      <w:r>
        <w:t xml:space="preserve">Confianza: Media</w:t>
      </w:r>
    </w:p>
    <w:p>
      <w:pPr>
        <w:spacing w:after="100"/>
      </w:pPr>
      <w:r>
        <w:t xml:space="preserve">No aplica: Schindler publica un solo segmento y servicio, modernización y equipo nuevo comparten red y costes.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CHF) · precio actual 26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266,90 CHF (+2,5 % sobre 260,40).</w:t>
      </w:r>
    </w:p>
    <w:p>
      <w:pPr>
        <w:spacing w:after="100"/>
      </w:pPr>
      <w:r>
        <w:t xml:space="preserve">El DCF pesa el 50 % porque es un negocio previsible con poca inversión, los escenarios el 30 % y los comparables el 20 % por lo incompleto de sus datos; las transacciones, 0 (las familias controlan los votos). El valor intrínseco ponderado es de 266,90 CHF (+2,5 %). La dispersión es grande: el PER de los comparables da 163,93-242,66 CHF porque el sector cotiza a menos múltiplo que Schindler, y el DCF con la prima del mercado da 322 CHF. El método más fiable es el DCF, y su resultado depende sobre todo de la tasa de descuento con un bono suizo al 0,54 %.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(23.8x) a mitad de camino hacia la mediana de 5 años (24.2x)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r>
    </w:tbl>
    <w:p>
      <w:pPr>
        <w:spacing w:after="160" w:before="0"/>
      </w:pPr>
    </w:p>
    <w:p>
      <w:pPr>
        <w:spacing w:after="100"/>
      </w:pPr>
      <w:r>
        <w:rPr>
          <w:b/>
          <w:bCs/>
        </w:rPr>
        <w:t xml:space="preserve">Objetivo a 12 meses (ponderado):</w:t>
      </w:r>
      <w:r>
        <w:t xml:space="preserve"> 272,22 CHF · rentabilidad +6,8 % (base +9,9 %) · señal Mantener.</w:t>
      </w:r>
    </w:p>
    <w:p>
      <w:pPr>
        <w:keepNext/>
        <w:spacing w:after="100"/>
      </w:pPr>
      <w:r>
        <w:rPr>
          <w:b/>
          <w:bCs/>
        </w:rPr>
        <w:t xml:space="preserve">Frente al consenso (solo contraste).</w:t>
      </w:r>
    </w:p>
    <w:p>
      <w:pPr>
        <w:spacing w:after="100"/>
      </w:pPr>
      <w:r>
        <w:t xml:space="preserve">Nuestro BPA coincide con el consenso: 10,15 frente a 10,03 CHF en 2026e, 10,95 frente a 10,99 en 2027e y 11,67 frente a 11,74 en 2028e (beneficio de 1.243 M frente a 1.250 M de MarketScreener) [31, 32]. Nuestro precio base (280,08 CHF) queda un 6,0 % por debajo del objetivo medio de 24 analistas (≈298) [45] porque usamos el PER actual de 23,8 veces a mitad de camino hacia la mediana (24,2) y no la media larga ni las primas de 2025. El objetivo de Goldman Sachs (233) queda cerca de nuestro bajista [13].</w:t>
      </w:r>
    </w:p>
    <w:p>
      <w:pPr>
        <w:keepNext/>
        <w:spacing w:after="100"/>
      </w:pPr>
      <w:r>
        <w:rPr>
          <w:b/>
          <w:bCs/>
        </w:rPr>
        <w:t xml:space="preserve">Del valor intrínseco al objetivo a 12 meses.</w:t>
      </w:r>
    </w:p>
    <w:p>
      <w:pPr>
        <w:spacing w:after="100"/>
      </w:pPr>
      <w:r>
        <w:t xml:space="preserve">El objetivo a 12 meses (272,22 CHF) queda un 2,0 % por encima del valor intrínseco (266,90 CHF): las dos medidas dicen lo mismo, que Schindler cotiza cerca de su valor y que la rentabilidad esperada es la del dividendo (2,3 %) más el crecimiento del BPA (≈7 % anual con la recompra). Para que la rentabilidad supere el 15 % haría falta un catalizador que hoy no vemos con fecha: objetivos de margen claramente mejores el 19-nov o una caída del precio por debajo de 241,93 CHF.</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nueve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modernización y margen frente a la guía (≈13 %); el 1S26 fue del 13,2 %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nuevos a medio plazo: un margen EBIT del 15 % sería el principal catalizador al alza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recompra de hasta 700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programa nuevo con 2.990 M de caja neta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China estabilizada; dividendo ordinario ≥6 CHF</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4T26-2T27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de competencia sobre KONE-TKE (UE, Reino Unido,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Remedios con desinversiones podrían dar activos a Schindler; un cierre limpio crea un rival de doble tamaño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(bajista a 12 meses: PER de 19,2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dividendo del 2,3 %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KONE y Otis; reacción a los resultados del 22-oct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el equipo nuevo sigue cayendo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y modernización ya pesan más; cartera +7,7 %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equipo nuevo en China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de BPA por año de apreciación como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el margen no se ve afectado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en francos y en moneda local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KONE-TKE gana escala y precio en el servicio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larga y remedios de competencia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pérdida de contratos de mantenimiento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costes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(50 M de costes en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indexados en el servicio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2S26 por debajo del 13 %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minoritario sin voto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dividendo y de ausencia de operaciones vinculadas relevantes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las familias o cambios en el pacto</w:t>
            </w:r>
          </w:p>
        </w:tc>
      </w:tr>
    </w:tbl>
    <w:p>
      <w:pPr>
        <w:spacing w:after="160" w:before="0"/>
      </w:pPr>
    </w:p>
    <w:p>
      <w:pPr>
        <w:pStyle w:val="Heading2"/>
      </w:pPr>
      <w:r>
        <w:t xml:space="preserve">Pre-mortem</w:t>
      </w:r>
    </w:p>
    <w:p>
      <w:pPr>
        <w:spacing w:after="100"/>
      </w:pPr>
      <w:r>
        <w:t xml:space="preserve">Octubre de 2029: la acción ha perdido un 40 %. El equipo nuevo en China no tocó suelo hasta 2028 y KONE, ya combinada con TKE tras vender algunos negocios europeos, usó su escala para ganar contratos de mantenimiento con precio en Europa y EE. UU. Schindler mantuvo el margen EBIT en el 13 %, pero las ventas en francos siguieron bajando un 1 % anual por la divisa y el BPA se estancó en ≈10 CHF pese a la recompra. El mercado dejó de pagar 24 veces por un negocio que no crecía y lo llevó a las 15-16 veces de Otis: precio de ≈155 CHF. El indicador que lo habría anticipado: dos trimestres seguidos de pedidos de servicio y modernización por debajo del 3 % en moneda local con la cartera estancada, y el día del inversor de noviembre de 2026 sin un objetivo de margen por encima del 14 %.</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objetivo de margen EBIT a medio plazo dará el día del inversor y con qué palancas (plataforma modular, compras, servicio)?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15 % movería el BPA de 2028e un 6 % y 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con 2.990 M de caja neta cuando termine la recompra de 700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ociosa pesa el 11 % de la capitalización y rinde casi nada en francos.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 hoy China en ventas y pedidos y cuál es el margen del servicio allí?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origen del bajista y no lo publica en la información que hemos podido leer.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KONE-TKE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activos o carteras de servicio estaría dispuesta a comprar si las autoridades exigen desinversiones?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Sería el uso de la caja con más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importe de los anticipos de clientes, los minoritarios y el superávit de pensiones?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Cambian el ROIC, el puente de valor y el circulante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la tasa de pérdida de contratos de mantenimiento y la subida media de precios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prueba del poder de precios que sostiene el caso base.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Vermögenszentrum (noticias y comentarios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«sólidos pero sin brillo»; la acción cayó un 4,8 % y se esperaban recortes de ventas [33,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alcista se apoya en la plataforma modular y la eficiencia; la bajista, en China y en un múltiplo alto para un crecimiento del 1-2 %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wallstreet-online (foro)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poco activo; se comenta la caída tras la rebaja de Goldman y la falta de crecimiento en francos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ve como valor defensivo de dividendo; dudas sobre si la recompra compensa el estancamiento de ventas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Midas y Elevator World (comentarios sobre KONE-TKE)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ven a Schindler perdiendo escala frente al nuevo líder; otros, ganando clientes y técnicos durante la integración [15,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el equipo nuevo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equipo nuevo en China resta y las ventas en moneda local solo crecen un 1,4 % [1]; pero la cartera sube un 7,7 %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las ventas en francos bajaron un 2,6 % en 2025 y un 2,9 % en el 1S26 [1, 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eficiencia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margen EBIT ajustado del 13,5 % en el 1S26 frente al 12,0 % de 2024 [1,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KONE-TKE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cierre no llega antes del 2T27 y la revisión será larga [19]; efecto sobre Schindler incierto.</w:t>
            </w:r>
          </w:p>
        </w:tc>
      </w:tr>
    </w:tbl>
    <w:p>
      <w:pPr>
        <w:spacing w:after="160" w:before="0"/>
      </w:pPr>
    </w:p>
    <w:p>
      <w:pPr>
        <w:spacing w:after="100"/>
      </w:pPr>
      <w:r>
        <w:t xml:space="preserve">El sentimiento de los particulares es negativo y empeora: la acción cae ≈19 % desde finales de 2025 y los comentarios hablan de China, del franco y de un múltiplo alto para un crecimiento del 1-2 % [33, 34, 36]. Coincide con la rebaja de Goldman Sachs y con la tendencia de las estimaciones, así que no contradice al consenso; tampoco es capitulación (nadie habla de vender un negocio de servicio sin deuda). Lo que no recogíamos: la duda de si la recompra compensa el estancamiento de ventas [37]. Para la decisión aporta poco: el riesgo que ven ya está en nuestro bajista.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Fuentes: 58 (10 primarias); citas distintas en el texto: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-6,0 %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2026-10-02, 8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desglose por regiones del informe anual 2025; 2) presentación de resultados 2025; 3) prensa y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2021-2022 (EBITDA, impuestos, minoritarios, DPA)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2021-2022 (solo notas sueltas en la búsqueda); 2) Stock Analysis y TipRanks; 3) prensa de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circulante, anticipos de clientes, fondo de comercio, minoritarios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consolidado 2025 (no abre); 2) Stock Analysis y Fintel (solo totales); 3) informe semestral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 informe de gobierno;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Schindler; 2) Roland Berger;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y materialidad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 MSCI y 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remuneración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gobierno y de remuneración 2025 (no abren); 2) actas de la junta 2026;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(anónimas, no accesibles); 2) prensa;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presidente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Schindler; 2) informe anual;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Investing e Yahoo en la búsqueda (sin series); 3) prensa (solo variaciones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máximo y mínimo de 52 semanas,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2) Investing; 3) cash.ch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e Investing; 2) easybank y cash.ch; 3) derivar del PER de Wisesheets (sin el dato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PER adelantado de 2024 se calcula con el PER de la nominativa)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EV/EBITDA, márgenes y ROIC de cada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Yahoo y Stock Analysis en la búsqueda; 3) informe de KONE del repositorio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Seeking Alpha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en Reddit; 2) Seeking Alpha (SHLAF/SHLRF); 3) Stocktwits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(sin debate apreciable sobre Schindler)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 SIX (sin red); 2) Investing, eToro y cash.ch en la búsqueda (último cierre fechado 2-oct); 3) prensa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2025; 2) MSCI y Sustainalytics; 3) prensa de controversias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Schindler: Continued margin expansion (resultados del 1S26: pedidos 5.794 M, ventas 5.329 M, EBIT 706 M, 13,2 %; ajustado 13,5 %; beneficio 542 M; flujo operativo 617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Schindler Holding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https://uk.marketscreener.com/news/continued-margin-expansion-ce7f51dbde89f62c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Schindler (SCHN) Q2 2026 earnings summary (cartera 8.410 M, +7,7 %; guía 2026; inflación de costes 35 M y aranceles 15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https://quartr.com/events/schindler-holding-ag-schn-q2-2026_oqgDf4x4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Foundations for profitable growth (2024: ventas 11.236 M, EBIT 1.266 M, 11,3 %; ajustado 12,0 %; beneficio 1.010 M; dividendo 6,00 CHF, payout 68 %).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https://script.finanzen.ch/nachrichten/aktien/foundations-for-profitable-growth-1034345310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significantly increases profit last year (pedidos 11.313 M; margen ajustado 13,3 %; flujo operativo 1.490 M; guía 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https://www.bluewin.ch/en/news/schindler-significantly-increases-profit-last-year-li.3091759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voit son bénéfice net augmenter en 2025 (ventas 10.947 M, −2,6 %; EBIT +9,3 %).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Swissinfo (Keystone-ATS)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https://www.swissinfo.ch/fre/schindler-voit-son-b%c3%a9n%c3%a9fice-net-augmenter-en-2025/90924401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(SWX:SCHN) Balance sheet (caja, inversiones a corto, deuda, patrimonio 2021-2025 y jun-2026).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https://stockanalysis.com/quote/swx/SCHN/financials/balance-sheet/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(SWX:SCHN) Cash flow statement (flujo operativo y capex 2021-2025; FCF 2025 1.385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https://stockanalysis.com/quote/swx/SCHN/financials/cash-flow-statement/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cash flow statement 2025 (dividendos 643 M; autocartera 231 M; arrendamientos 160 M; minoritarios 158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(Annual Report 2025)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https://reports.schindler.com/en/2025/report/financial-statements/consolidated-financial-statements/consolidated-cash-flow-statement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Market Outlook 2030 – Spring 2026 update (≈110.000 M USD en 2025; ≈133.000 M USD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Roland Berger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https://www.rolandberger.com/en/Insights/Publications/Elevator-Market-Outlook-2030-Spring-2026-update.html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and escalator market 2026-2030.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https://www.researchandmarkets.com/reports/5632853/elevator-and-escalator-market-2026-2030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of KONE Corporation for January–June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https://news.cision.com/kone-oyj/r/half-year-financial-report-of-kone-corporation-for-january-june-2026,c4376661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 GF Value y modelo de negocio (servicio con contratos que se renuevan cada año con subidas de precio).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https://www.gurufocus.com/term/common-stock/MEX:SCHP 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Goldman Sachs stuft Schindler-Aktie auf Sell ab und senkt Kursziel auf 233 CHF (7-sep-2026; −16,45 % en el año a 267,20).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https://goldesel.de/aktien/news/goldman-sachs-stuft-schindler-aktie-auf-sell-ab-und-senkt-kursziel-auf-233-chf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information: KONE and TKE to combine (valor empresa de TKE 29.400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https://www.kone.com/global/en/newsroom/releases/2026/inside-information--kone-and-tke-to-combine--creating-a-world-class-company-in-the-elevator-and-escalator-industry-2026-04-29.html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sees opportunities in KONE-TKE merger.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https://elevatorworld.com/zh-CN/news/daily-news/schindler-sees-opportunities-in-kone-tke-merger/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(SWX:SCHN) Income statement (ventas, resultado de explotación y beneficio 2021-2025).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https://stockanalysis.com/quote/swx/SCHN/financials/income-statement/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LIFTjournal 2-2021 (beneficio neto 2020 de 774 M frente a 929 M en 2019).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LIFTjournal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https://flippingbook.verlagsanstalt-handwerk.de/lift-journal/2021/lift_0221fb/29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würden gegen Fusion von Kone und TKE Kartellbehörden anrufen (24-mar-2026).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https://www.cash.ch/news/top-news/schindler-wurden-gegen-fusion-von-kone-und-tke-kartellbehorden-anrufen-921880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expects long review of the Kone-TK merger.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https://www.bluewin.ch/en/news/schindler-expects-long-review-of-the-kone-tk-merger-3212160.html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(OTIS)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https://quartr.com/events/otis-worldwide-corporation-otis-q2-2026_332Pc4fK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KONE (14-oct-2026): comparables, sector y transacciones del mismo sector (Roland Berger, Otis, ASSA ABLOY, Atlas Copco, Konecranes, KONE-TKE).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informes/kone-2026-10-14/datos.json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to take Fujitec private in $2.7bn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 Worldwide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https://www.financierworldwide.com/eqt-to-take-fujitec-private-in-27bn-deal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26 Related parties (familias Schindler y Bonnard: 46.640.198 nominativas, 69,5 % de los votos a 31-dic-2024).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(Annual Report 2024)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https://reports.schindler.com/en/2024/report/financial-statements/consolidated-financial-statements/notes-to-the-consolidated-financial-statements/26-related-parties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25 Related parties (pacto de accionistas de las familias; 69,2 % de los votos en 2021).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(Annual Report 2021)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https://reports.schindler.com/en/2021/report/financial-statements/consolidated-financial-statements/notes-to-the-consolidated-financial-statements/25-related-parties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Schindler-Papiere dank neuen Zielen und Dividende deutlich fester (objetivo a medio plazo: margen EBIT del 13 % desde el 10,3 %).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https://www.cash.ch/news/schindler-papiere-dank-neuen-zielen-und-dividende-deutlich-fester-683429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Ltd. increases ongoing share buyback program to up to CHF 700 million (18-jun-2026; acaba como tarde en nov-2026; amortización en la próxima junta).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(gettex)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https://www.gettex.de/en/news-overview/newsdetail/schindler-holding-ltd-increases-ongoing-share-buyback-program-to-up-to-chf-700-million/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Gewinn nimmt Lift nach oben, Aktie rauscht in Keller (beneficio 1.073 M, EBIT 1.384 M, dividendo 6,00 + 0,80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https://www.cash.ch/news/schindler-gewinn-nimmt-lift-nach-oben-aktie-rauscht-in-keller-907859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Schindler-Aktie: Goldman Sachs stuft auf Sell ab (día del inversor movido al 19-nov-2026).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https://goldesel.de/aktien/news/schindler-aktie-goldman-sachs-stuft-auf-sell-ab-und-senkt-kursziel-auf-233-chf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CEO: KONE, TKE merger would be a «bloodbath».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https://elevatorworld.com/news/daily-news/schindler-ceo-kone-tke-merger-would-be-a-bloodbath/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22 Equity and earnings per share (2020: beneficio atribuido 722 M, BPA diluido 6,71 CHF; 107,5 M de acciones y PS).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(Annual Report 2021)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https://reports.schindler.com/en/2021/report/financial-statements/consolidated-financial-statements/notes-to-the-consolidated-financial-statements/22-equity-and-earnings-per-share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update Schindler models after H1 2026 (BPA 2026e ≈10,03 CHF; antes 10,12 con ventas de 11.100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https://www.webull.com/news/15280368606340096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 finances (consenso: beneficio 1.080 / 1.170 / 1.250 M en 2026-2028; margen EBIT 13,5 / 13,8 / 14,1 %).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https://uk.marketscreener.com/quote/stock/SCHINDLER-HOLDING-AG-41754375/finances/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Schindler-Aktien brechen nach Zahlen ein (PS −4,8 % a 256,60 CHF el 21-jul).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https://www.vermoegenszentrum.ch/boersen-und-maerkte/news/schindler-aktien-brechen-nach-zahlen-ein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strebt im Gesamtjahr weiterhin Wachstum an – Aktie unter Druck (reacción del mercado y comentarios).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https://www.vermoegenszentrum.ch/boersen-und-maerkte/news/schindler-strebt-im-gesamtjahr-weiterhin-wachstum-aktie-unter-druck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and modular platforms will improve operational efficiency (narrativa de la comunidad sobre Schindler).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https://simplywall.st/community/narratives/ch/capital-goods/vtx-schn/schindler-holding-shares/ai-and-modular-platforms-will-improve-operational-efficiency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Aktie – foro y comentarios.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https://www.wallstreet-online.de/aktien/schindler-holding-aktie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Par Shs – comunidad getquin.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https://app.getquin.com/pt/estoque/CH0024638196/schindler-holding-par-shs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CEO’su Kone-TK Elevator birleşmesini fırsat olarak değerlendirdi (comentarios).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https://www.getmidas.com/midasin-kulaklari/schindler-ceosu-kone-tk-elevator-birlesmesini-musteri-ve-yetenek-kazanimi-icin-firsat-olarak-degerlendirdi-p-616041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 la Confederación a 10 años (0,54 % el 8-oct-2026), tomado del informe de Roche del 14-oct-2026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(SNB)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informes/roche-2026-10-14/datos.json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KONE (14-oct-2026): PER adelantado, DCF y revisión a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informes/kone-2026-10-14/revision-12m-2026-10-14.md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(CH:SCHP) income statement (BPA diluido 2021-2024; amortizaciones 2023-2024).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https://www.tipranks.com/stocks/ch:schp/financials/income-statement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(SHLRF) – BPA 2025 de 9,48 CHF.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https://www.roic.ai/quote/SHLRF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Ps (SCHP) historical data (cierre de 260,40 CHF el 2-oct-2026).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https://www.investing.com/equities/schindler-ps-historical-data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CH0024638196 Kursziel (24 analistas: 11 comprar, 13 mantener; objetivo medio ≈298 CHF).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https://aktien.guide/kursziel/Schindler-CH0024638196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 Kursziele (3 analistas AWP: media 309,33, mín. 273, máx. 333 CHF; 31-jul-2026).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https://www.cash.ch/aktien/schindler-holding-ag-n-2463821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(SHLAF, bono de participación) – PE ratio anual 2019-2023.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Wisesheets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https://wisesheets.io/pe-ratio/SHLAF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Group (SCHN.SW) – P/E ratio history (2024 27,4x; 2025 29,7x).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companiesmarketcap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https://companiesmarketcap.com/schindler-group/pe-ratio/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steigert Halbjahresmargen (PS a 288,2 el 20-jul-2026, casi −10 % en el año).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https://goldesel.de/aktien/news/schindler-steigert-halbjahresmargen-ebit-marge-132-und-gewinn-542-mio-chf-guidance-bestatigt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H1 net attributable profit rises; backs FY26 outlook (beneficio atribuido 514 M; BPA 4,82 CHF).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(Dow Jones)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https://www.vermoegenszentrum.ch/en/stock-exchange-and-markets/news/schindler-holding-h1-net-attributable-profit-rises-backs-fy26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25 Related parties 2023 (familias: 68,6 % de los votos).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(Annual Report 2023)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https://reports.schindler.com/en/2023/report/financial-statements/consolidated-financial-statements/notes-to-the-consolidated-financial-statements/25-related-parties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SCHP – perfil del valor (≈40,7 M de bonos de participación de 0,10 CHF, sin voto).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(graph.swiss)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https://demo.graph.swiss/profile/XSWX/SCHP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Ps (SCHP) – próximos resultados 22/10/2026.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https://uk.investing.com/equities/schindler-ps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reports slight decline in the second quarter (ventas del 2T26 2.740 M, −0,7 %).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https://www.bluewin.ch/en/news/schindler-reports-slight-decline-in-the-second-quarter-li.3536146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 dividend tracker y múltiplos (PER adelantado 15,2x)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DripCalc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https://www.dripcalc.com/stocks/OTIS/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(ASAZY) – PER adelantado 19,5x (22-sep-2026)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https://ca.finance.yahoo.com/quote/ASAZY/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(ATLFF) – PER adelantado 24,8x (22-sep-2026)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https://uk.finance.yahoo.com/quote/ATLFF/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Konecranes (KCR.HE) – PER adelantado 13,6x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Snowball Analytics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https://snowball-analytics.com/public/asset/KCR.HE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76,1 %</w:t>
      </w:r>
      <w:r>
        <w:t xml:space="preserve"> · Secciones con menos del 60 % de campos cubiertos: </w:t>
      </w:r>
      <w:r>
        <w:rPr>
          <w:b/>
          <w:bCs/>
        </w:rPr>
        <w:t xml:space="preserve">gobierno, bolsa, esg, calidad</w:t>
      </w:r>
      <w:r>
        <w:t xml:space="preserve"> · Generado el 14 oct 2026.</w:t>
      </w:r>
    </w:p>
    <w:p>
      <w:pPr>
        <w:pStyle w:val="Nota"/>
        <w:spacing w:after="100"/>
      </w:pPr>
      <w:r>
        <w:t xml:space="preserve">Análisis hecho desde la nube con la red limitada a la búsqueda web: la web de Schindler, la SIX y los proveedores de datos no se pudieron abrir, así que las cifras salen de los extractos de búsqueda de los comunicados de Schindler (sindicados en MarketScreener, finanzen.ch y la prensa suiza), de las notas del informe anual que aparecen en la búsqueda y de Stock Analysis, TipRanks y roic.ai, cruzadas cuando fue posible; lo que no cuadró está en null y en los huecos. Línea cotizada: bonos de participación sin voto (SCHP) de la SIX, la más líquida y la que compra un minoritario; la nominativa (SCHN) tiene el mismo derecho económico y cotiza algo más barata [52]. Acciones: 106,5 M de títulos (nominativas y bonos de participación), estimación propia a partir del beneficio atribuido (514 M) y el BPA (4,82 CHF) del 1S26 [50]; la recompra en curso (hasta 700 M, hasta noviembre de 2026) las bajará algo más. Precio: 260,40 CHF, cierre del 2-oct-2026 (Investing), el último que hemos podido fechar; no hemos confirmado el del 13-oct [44]. Balance de un agregador (Stock Analysis) sin desglose de circulante, anticipos, fondo de comercio ni minoritarios: el ROIC del motor sale inflado. Amortización de 2025 estimada (320 M, 2,9 % de las ventas, como en 2023-2024). Próximos resultados: 22-oct-2026 (nueve meses) [53].</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Schindler Holding AG (SCHP)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260,40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(233,00 – 333,00)</c:v>
                </c:pt>
                <c:pt idx="1">
                  <c:v>Comparables: PER NTM (163,93 – 242,66)</c:v>
                </c:pt>
                <c:pt idx="2">
                  <c:v>DCF (WACC y g ± 0,5) (247,05 – 336,15)</c:v>
                </c:pt>
                <c:pt idx="3">
                  <c:v>Escenarios (bajista – alcista) (233,25 – 312,26)</c:v>
                </c:pt>
                <c:pt idx="4">
                  <c:v>DCF con la prima implícita del mercado (4,2 %)</c:v>
                </c:pt>
                <c:pt idx="5">
                  <c:v>Precio actual (260,40)</c:v>
                </c:pt>
              </c:strCache>
            </c:strRef>
          </c:cat>
          <c:val>
            <c:numRef>
              <c:f>Hoja1!$B$2:$B$7</c:f>
              <c:numCache>
                <c:formatCode>#,##0</c:formatCode>
                <c:ptCount val="6"/>
                <c:pt idx="0">
                  <c:v>233</c:v>
                </c:pt>
                <c:pt idx="1">
                  <c:v>163.93</c:v>
                </c:pt>
                <c:pt idx="2">
                  <c:v>247.05</c:v>
                </c:pt>
                <c:pt idx="3">
                  <c:v>233.25</c:v>
                </c:pt>
                <c:pt idx="4">
                  <c:v>316</c:v>
                </c:pt>
                <c:pt idx="5">
                  <c:v>259.1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(233,00 – 333,00)</c:v>
                </c:pt>
                <c:pt idx="1">
                  <c:v>Comparables: PER NTM (163,93 – 242,66)</c:v>
                </c:pt>
                <c:pt idx="2">
                  <c:v>DCF (WACC y g ± 0,5) (247,05 – 336,15)</c:v>
                </c:pt>
                <c:pt idx="3">
                  <c:v>Escenarios (bajista – alcista) (233,25 – 312,26)</c:v>
                </c:pt>
                <c:pt idx="4">
                  <c:v>DCF con la prima implícita del mercado (4,2 %)</c:v>
                </c:pt>
                <c:pt idx="5">
                  <c:v>Precio actual (260,40)</c:v>
                </c:pt>
              </c:strCache>
            </c:strRef>
          </c:cat>
          <c:val>
            <c:numRef>
              <c:f>Hoja1!$C$2:$C$7</c:f>
              <c:numCache>
                <c:formatCode>#,##0</c:formatCode>
                <c:ptCount val="6"/>
                <c:pt idx="0">
                  <c:v>100</c:v>
                </c:pt>
                <c:pt idx="1">
                  <c:v>78.72999999999999</c:v>
                </c:pt>
                <c:pt idx="2">
                  <c:v>89.09999999999997</c:v>
                </c:pt>
                <c:pt idx="3">
                  <c:v>79.00999999999999</c:v>
                </c:pt>
                <c:pt idx="4">
                  <c:v>83.80000000000001</c:v>
                </c:pt>
                <c:pt idx="5">
                  <c:v>2.599999999999966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Ascensores y escaleras (grupo)</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11236</c:v>
                </c:pt>
                <c:pt idx="1">
                  <c:v>11346</c:v>
                </c:pt>
                <c:pt idx="2">
                  <c:v>11494</c:v>
                </c:pt>
                <c:pt idx="3">
                  <c:v>11236</c:v>
                </c:pt>
                <c:pt idx="4">
                  <c:v>10947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Ascensores y escaleras (grupo)</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110</c:v>
                </c:pt>
                <c:pt idx="1">
                  <c:v>133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Schindler</c:v>
                </c:pt>
                <c:pt idx="1">
                  <c:v>Otis Worldwide</c:v>
                </c:pt>
                <c:pt idx="2">
                  <c:v>KONE</c:v>
                </c:pt>
                <c:pt idx="3">
                  <c:v>TK Elevator</c:v>
                </c:pt>
                <c:pt idx="4">
                  <c:v>Fujitec</c:v>
                </c:pt>
              </c:strCache>
            </c:strRef>
          </c:cat>
          <c:val>
            <c:numRef>
              <c:f>Hoja1!$B$2:$B$6</c:f>
              <c:numCache>
                <c:formatCode>0.0"%"</c:formatCode>
                <c:ptCount val="5"/>
                <c:pt idx="0">
                  <c:v>12.6</c:v>
                </c:pt>
                <c:pt idx="2">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2</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11236</c:v>
                </c:pt>
                <c:pt idx="1">
                  <c:v>11346</c:v>
                </c:pt>
                <c:pt idx="2">
                  <c:v>11494</c:v>
                </c:pt>
                <c:pt idx="3">
                  <c:v>11236</c:v>
                </c:pt>
                <c:pt idx="4">
                  <c:v>10947</c:v>
                </c:pt>
                <c:pt idx="5">
                  <c:v>10838</c:v>
                </c:pt>
                <c:pt idx="6">
                  <c:v>11163</c:v>
                </c:pt>
                <c:pt idx="7">
                  <c:v>11553</c:v>
                </c:pt>
                <c:pt idx="8">
                  <c:v>11958</c:v>
                </c:pt>
                <c:pt idx="9">
                  <c:v>12316</c:v>
                </c:pt>
                <c:pt idx="10">
                  <c:v>12686</c:v>
                </c:pt>
                <c:pt idx="11">
                  <c:v>13003</c:v>
                </c:pt>
                <c:pt idx="12">
                  <c:v>13263</c:v>
                </c:pt>
                <c:pt idx="13">
                  <c:v>13462</c:v>
                </c:pt>
                <c:pt idx="14">
                  <c:v>13597</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2">
                  <c:v>1529</c:v>
                </c:pt>
                <c:pt idx="3">
                  <c:v>1596</c:v>
                </c:pt>
                <c:pt idx="4">
                  <c:v>1704</c:v>
                </c:pt>
                <c:pt idx="5">
                  <c:v>1745</c:v>
                </c:pt>
                <c:pt idx="6">
                  <c:v>1853</c:v>
                </c:pt>
                <c:pt idx="7">
                  <c:v>1964</c:v>
                </c:pt>
                <c:pt idx="8">
                  <c:v>2057</c:v>
                </c:pt>
                <c:pt idx="9">
                  <c:v>2118</c:v>
                </c:pt>
                <c:pt idx="10">
                  <c:v>2182</c:v>
                </c:pt>
                <c:pt idx="11">
                  <c:v>2237</c:v>
                </c:pt>
                <c:pt idx="12">
                  <c:v>2281</c:v>
                </c:pt>
                <c:pt idx="13">
                  <c:v>2315</c:v>
                </c:pt>
                <c:pt idx="14">
                  <c:v>2339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13.3</c:v>
                </c:pt>
                <c:pt idx="3">
                  <c:v>14.2</c:v>
                </c:pt>
                <c:pt idx="4">
                  <c:v>15.6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10.3</c:v>
                </c:pt>
                <c:pt idx="1">
                  <c:v>7.9</c:v>
                </c:pt>
                <c:pt idx="2">
                  <c:v>10.3</c:v>
                </c:pt>
                <c:pt idx="3">
                  <c:v>11.3</c:v>
                </c:pt>
                <c:pt idx="4">
                  <c:v>12.6</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7.4</c:v>
                </c:pt>
                <c:pt idx="1">
                  <c:v>5.4</c:v>
                </c:pt>
                <c:pt idx="2">
                  <c:v>7.5</c:v>
                </c:pt>
                <c:pt idx="3">
                  <c:v>8.5</c:v>
                </c:pt>
                <c:pt idx="4">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-2.9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1200</c:v>
                </c:pt>
                <c:pt idx="1">
                  <c:v>571</c:v>
                </c:pt>
                <c:pt idx="2">
                  <c:v>1175</c:v>
                </c:pt>
                <c:pt idx="3">
                  <c:v>1336</c:v>
                </c:pt>
                <c:pt idx="4">
                  <c:v>1225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828</c:v>
                </c:pt>
                <c:pt idx="1">
                  <c:v>610</c:v>
                </c:pt>
                <c:pt idx="2">
                  <c:v>866</c:v>
                </c:pt>
                <c:pt idx="3">
                  <c:v>950</c:v>
                </c:pt>
                <c:pt idx="4">
                  <c:v>1015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51.2</c:v>
                </c:pt>
                <c:pt idx="1">
                  <c:v>36</c:v>
                </c:pt>
                <c:pt idx="2">
                  <c:v>45.3</c:v>
                </c:pt>
                <c:pt idx="3">
                  <c:v>55.1</c:v>
                </c:pt>
                <c:pt idx="4">
                  <c:v>65.4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6.1</c:v>
                </c:pt>
                <c:pt idx="1">
                  <c:v>6.1</c:v>
                </c:pt>
                <c:pt idx="2">
                  <c:v>6.1</c:v>
                </c:pt>
                <c:pt idx="3">
                  <c:v>6.1</c:v>
                </c:pt>
                <c:pt idx="4">
                  <c:v>6.1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18.7</c:v>
                </c:pt>
                <c:pt idx="1">
                  <c:v>13.7</c:v>
                </c:pt>
                <c:pt idx="2">
                  <c:v>18.9</c:v>
                </c:pt>
                <c:pt idx="3">
                  <c:v>19.5</c:v>
                </c:pt>
                <c:pt idx="4">
                  <c:v>19.9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2">
                  <c:v>-1.87</c:v>
                </c:pt>
                <c:pt idx="3">
                  <c:v>-2.04</c:v>
                </c:pt>
                <c:pt idx="4">
                  <c:v>-2.1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3">
                  <c:v>51</c:v>
                </c:pt>
                <c:pt idx="4">
                  <c:v>158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3">
                  <c:v>607</c:v>
                </c:pt>
                <c:pt idx="4">
                  <c:v>688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3">
                  <c:v>65</c:v>
                </c:pt>
                <c:pt idx="4">
                  <c:v>202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Familias Schindler y Bonnard (pacto de accionistas)</c:v>
                </c:pt>
              </c:strCache>
            </c:strRef>
          </c:cat>
          <c:val>
            <c:numRef>
              <c:f>Hoja1!$B$2</c:f>
              <c:numCache>
                <c:formatCode>0.0"%"</c:formatCode>
                <c:ptCount val="1"/>
                <c:pt idx="0">
                  <c:v>69.5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1173</c:v>
                </c:pt>
                <c:pt idx="1">
                  <c:v>1253</c:v>
                </c:pt>
                <c:pt idx="2">
                  <c:v>1333</c:v>
                </c:pt>
                <c:pt idx="3">
                  <c:v>1399</c:v>
                </c:pt>
                <c:pt idx="4">
                  <c:v>1441</c:v>
                </c:pt>
                <c:pt idx="5">
                  <c:v>1484</c:v>
                </c:pt>
                <c:pt idx="6">
                  <c:v>1521</c:v>
                </c:pt>
                <c:pt idx="7">
                  <c:v>1498</c:v>
                </c:pt>
                <c:pt idx="8">
                  <c:v>1521</c:v>
                </c:pt>
                <c:pt idx="9">
                  <c:v>1536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10100</c:v>
                </c:pt>
                <c:pt idx="1">
                  <c:v>17750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260,40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233.25</c:v>
                </c:pt>
                <c:pt idx="1">
                  <c:v>282.97</c:v>
                </c:pt>
                <c:pt idx="2">
                  <c:v>312.26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260,40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(233,00 – 333,00)</c:v>
                </c:pt>
                <c:pt idx="1">
                  <c:v>Comparables: PER NTM (163,93 – 242,66)</c:v>
                </c:pt>
                <c:pt idx="2">
                  <c:v>DCF (WACC y g ± 0,5) (247,05 – 336,15)</c:v>
                </c:pt>
                <c:pt idx="3">
                  <c:v>Escenarios (bajista – alcista) (233,25 – 312,26)</c:v>
                </c:pt>
                <c:pt idx="4">
                  <c:v>DCF con la prima implícita del mercado (4,2 %)</c:v>
                </c:pt>
                <c:pt idx="5">
                  <c:v>Precio actual (260,40)</c:v>
                </c:pt>
              </c:strCache>
            </c:strRef>
          </c:cat>
          <c:val>
            <c:numRef>
              <c:f>Hoja1!$B$2:$B$7</c:f>
              <c:numCache>
                <c:formatCode>#,##0</c:formatCode>
                <c:ptCount val="6"/>
                <c:pt idx="0">
                  <c:v>233</c:v>
                </c:pt>
                <c:pt idx="1">
                  <c:v>163.93</c:v>
                </c:pt>
                <c:pt idx="2">
                  <c:v>247.05</c:v>
                </c:pt>
                <c:pt idx="3">
                  <c:v>233.25</c:v>
                </c:pt>
                <c:pt idx="4">
                  <c:v>316</c:v>
                </c:pt>
                <c:pt idx="5">
                  <c:v>259.1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(233,00 – 333,00)</c:v>
                </c:pt>
                <c:pt idx="1">
                  <c:v>Comparables: PER NTM (163,93 – 242,66)</c:v>
                </c:pt>
                <c:pt idx="2">
                  <c:v>DCF (WACC y g ± 0,5) (247,05 – 336,15)</c:v>
                </c:pt>
                <c:pt idx="3">
                  <c:v>Escenarios (bajista – alcista) (233,25 – 312,26)</c:v>
                </c:pt>
                <c:pt idx="4">
                  <c:v>DCF con la prima implícita del mercado (4,2 %)</c:v>
                </c:pt>
                <c:pt idx="5">
                  <c:v>Precio actual (260,40)</c:v>
                </c:pt>
              </c:strCache>
            </c:strRef>
          </c:cat>
          <c:val>
            <c:numRef>
              <c:f>Hoja1!$C$2:$C$7</c:f>
              <c:numCache>
                <c:formatCode>#,##0</c:formatCode>
                <c:ptCount val="6"/>
                <c:pt idx="0">
                  <c:v>100</c:v>
                </c:pt>
                <c:pt idx="1">
                  <c:v>78.72999999999999</c:v>
                </c:pt>
                <c:pt idx="2">
                  <c:v>89.09999999999997</c:v>
                </c:pt>
                <c:pt idx="3">
                  <c:v>79.00999999999999</c:v>
                </c:pt>
                <c:pt idx="4">
                  <c:v>83.80000000000001</c:v>
                </c:pt>
                <c:pt idx="5">
                  <c:v>2.599999999999966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