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Sectra AB (publ)</w:t>
      </w:r>
    </w:p>
    <w:p>
      <w:pPr>
        <w:spacing w:after="60"/>
        <w:rPr>
          <w:color w:val="52514E"/>
          <w:sz w:val="22"/>
          <w:szCs w:val="22"/>
        </w:rPr>
      </w:pPr>
      <w:r>
        <w:rPr>
          <w:color w:val="52514E"/>
          <w:sz w:val="22"/>
          <w:szCs w:val="22"/>
        </w:rPr>
        <w:t xml:space="preserve">SECT B · Nasdaq Stockholm (Large Cap) · ISIN SE0022419784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310,20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340,74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+10,3 % (base +17,0 %)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125,24 SEK · mercado 147,27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59.745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Sectra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 B / SE0022419784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(software de imagen médica)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Linköping (Suecia) · 1978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310,20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173,30 – 343,00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59.745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58.454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340,74 SEK</w:t>
      </w:r>
      <w:r>
        <w:t xml:space="preserve"> frente a 310,20 · Rentabilidad a 12 meses </w:t>
      </w:r>
      <w:r>
        <w:rPr>
          <w:b/>
          <w:bCs/>
        </w:rPr>
        <w:t xml:space="preserve">+10,3 % (base +17,0 %)</w:t>
      </w:r>
      <w:r>
        <w:t xml:space="preserve"> · Valor intrínseco 125,24 SEK · con la prima implícita del mercado: 147,27 (-52,5 %) · Alcista / bajista -53,0 % / -77,9 %</w:t>
      </w:r>
    </w:p>
    <w:p>
      <w:pPr>
        <w:spacing w:after="100"/>
      </w:pPr>
      <w:r>
        <w:rPr>
          <w:b/>
        </w:rPr>
        <w:t xml:space="preserve">La recomendación y por qué.</w:t>
      </w:r>
      <w:r>
        <w:t xml:space="preserve"> Mantener, con convicción media. Con nuestro BPA y la regla común de múltiplos, el objetivo a 12 meses es de 356,02 SEK frente a 310,20 SEK (cierre del 9 de octubre): +15,2 % ponderado y +18,2 % en el caso base, con dividendo. Pasa los umbrales de rentabilidad, pero no el de valor real: el valor intrínseco es de 125,24 SEK, un 59,6 % por debajo del precio, así que la regla da Mantener. El objetivo medio de los analistas (340 SEK) queda dentro de nuestro rango (212-481). La razón en una frase: el negocio es excelente y crece, pero el precio solo se sostiene si el mercado sigue pagando más de 80 veces el beneficio. La convicción es media porque las cifras salen de extractos de búsqueda y el PER histórico es una estimación; subiría si el 2T (25 de noviembre) muestra pedidos por encima de 1.500 M y bajaría si el margen operativo cae del 17 %.</w:t>
      </w:r>
    </w:p>
    <w:p>
      <w:pPr>
        <w:spacing w:after="100"/>
      </w:pPr>
      <w:r>
        <w:rPr>
          <w:b/>
        </w:rPr>
        <w:t xml:space="preserve">El negocio.</w:t>
      </w:r>
      <w:r>
        <w:t xml:space="preserve"> Sectra vende PACS de imagen médica (86 % de las ventas) y cifrado para gobiernos [1]. El 69 % de los ingresos es recurrente y los de nube crecen un 75 % [1, 2]. ROIC del 104,6 % frente a un WACC del 8,5 %, sin deuda y con 1.810 M de caja. ¿Sostiene la calidad el crecimiento que proyectamos? En parte: no necesita capital, pero crecer al 10,8 % anual en un mercado del 3,7 % duplicaba su cuota, así que rebajamos el caso base al 7,8 % anual; el poder de precios no está demostrado con datos.</w:t>
      </w:r>
    </w:p>
    <w:p>
      <w:pPr>
        <w:spacing w:after="100"/>
      </w:pPr>
      <w:r>
        <w:rPr>
          <w:b/>
        </w:rPr>
        <w:t xml:space="preserve">Finanzas.</w:t>
      </w:r>
      <w:r>
        <w:t xml:space="preserve"> Ventas de 3.541,7 M en FY2026 (+9,3 %) y margen operativo del 20,1 %; en el 1T FY2027, ventas +25,8 % y resultado +60,9 % [1, 2]. Lo que preocupa: pedidos −46,6 % en el 1T y flujo operativo de 3 M en el trimestre [2].</w:t>
      </w:r>
    </w:p>
    <w:p>
      <w:pPr>
        <w:spacing w:after="100"/>
      </w:pPr>
      <w:r>
        <w:rPr>
          <w:b/>
        </w:rPr>
        <w:t xml:space="preserve">Equipo y gobierno.</w:t>
      </w:r>
      <w:r>
        <w:t xml:space="preserve"> Los fundadores tienen el 18,7 % del capital y el 34 % de los votos con acciones A de diez votos, y en 2026 metieron a dos familiares en el consejo [23, 25]. Alinea intereses, pero resta protección al minoritario y deja la sucesión abierta.</w:t>
      </w:r>
    </w:p>
    <w:p>
      <w:pPr>
        <w:spacing w:after="100"/>
      </w:pPr>
      <w:r>
        <w:rPr>
          <w:b/>
        </w:rPr>
        <w:t xml:space="preserve">Valoración.</w:t>
      </w:r>
      <w:r>
        <w:t xml:space="preserve"> El DCF da 109,32 SEK (138,78 con la prima de riesgo que pide hoy el mercado); los comparables por PER, 174,08, porque Sectra cotiza a 74,7 veces el beneficio de los próximos 12 meses frente a 41,9 de la mediana. El precio descuenta un crecimiento del 22,1 % anual durante diez años, frente al 7,8 % de nuestro caso base: quien compra hoy obtiene un 4,6 % anual. Coincidimos con el consenso en el beneficio de FY2028e (4,43 frente a 4,48); discrepamos en cuánto pagará el mercado por él a largo plazo.</w:t>
      </w:r>
    </w:p>
    <w:p>
      <w:pPr>
        <w:spacing w:after="100"/>
      </w:pPr>
      <w:r>
        <w:rPr>
          <w:b/>
        </w:rPr>
        <w:t xml:space="preserve">Riesgos y catalizadores.</w:t>
      </w:r>
      <w:r>
        <w:t xml:space="preserve"> El riesgo principal es la compresión del múltiplo: con el PER mínimo de cinco años (60) el bajista a 12 meses pierde un 31,1 %. El segundo, que la caída de pedidos sea pérdida de concursos frente a GE-Intelerad o Pro Medicus. Catalizadores: el 2T (25-nov-2026), el congreso RSNA (diciembre) y el cierre de FY2027 (junio). La prensa y los particulares suecos piden esperar por la valoración, frente a los tres bancos que dicen Comprar [50, 53].</w:t>
      </w:r>
    </w:p>
    <w:p>
      <w:pPr>
        <w:spacing w:after="100"/>
      </w:pPr>
      <w:r>
        <w:rPr>
          <w:b/>
        </w:rPr>
        <w:t xml:space="preserve">Qué cambiaría la decisión.</w:t>
      </w:r>
      <w:r>
        <w:t xml:space="preserve"> Compraríamos por debajo de 125,24 SEK y venderíamos por encima de 397,02. Bajaríamos a Vender si los pedidos de 12 meses caen de 5.000 M o el margen operativo trimestral baja del 17 %; subiríamos la convicción si el margen pasa del 22 % con ventas creciendo más del 15 %.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340,74 SEK</w:t>
      </w:r>
      <w:r>
        <w:t xml:space="preserve"> (rentabilidad +10,3 % (base +17,0 %)) · Valor intrínseco: 125,24 SEK (-59,6 % sobre 310,20) · con la prima implícita del mercado: 147,27 (-52,5 %)</w:t>
      </w:r>
    </w:p>
    <w:p>
      <w:pPr>
        <w:spacing w:after="100"/>
      </w:pPr>
      <w:r>
        <w:t xml:space="preserve">Sectra es un proveedor sueco de software de imagen médica con contratos de 5-10 años, el 69 % de los ingresos recurrente y los clientes más satisfechos del sector según KLAS once años seguidos [1, 19]. Gana un 20 % de margen operativo, tiene un ROIC del 104,6 % y 1.810 M de caja sin deuda, y su paso a la nube (Sectra One) ya se nota: ingresos recurrentes de nube +75 % y resultado operativo +61 % en el 1T FY2027 [2].</w:t>
      </w:r>
    </w:p>
    <w:p>
      <w:pPr>
        <w:spacing w:after="100"/>
      </w:pPr>
      <w:r>
        <w:t xml:space="preserve">El precio (310,20 SEK) descuenta un crecimiento del 22,1 % anual durante diez años con un margen EBITDA del 29 %, frente al 16,1 % de los últimos cuatro años y a un mercado que crece un 3,7 % [13]. Cotiza a 96,6 veces el beneficio de 12 meses y a 74,7 el de los próximos, frente a 41,9 de la mediana de los comparables.</w:t>
      </w:r>
    </w:p>
    <w:p>
      <w:pPr>
        <w:spacing w:after="100"/>
      </w:pPr>
      <w:r>
        <w:t xml:space="preserve">El mercado acierta en la calidad y, a nuestro juicio, exagera la duración: para invertir hay que creer que Sectra duplicará con creces su cuota de mercado y que el múltiplo no se normalizará. A 12 meses la inercia del múltiplo da un +15,2 %,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 × 3,54 = 226,56 · 81,6x × 4,43 = 361,49 · 81,7x × 5,06 = 413,40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340,00 (nuestro base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 / -77,9 %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8,5 %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147,27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125,24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125,24 y 380,04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380,04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125,24 SEK: Comprar.</w:t>
      </w:r>
    </w:p>
    <w:p>
      <w:pPr>
        <w:pStyle w:val="ListParagraph"/>
        <w:numPr>
          <w:ilvl w:val="0"/>
          <w:numId w:val="2"/>
        </w:numPr>
        <w:spacing w:after="60"/>
      </w:pPr>
      <w:r>
        <w:t xml:space="preserve">Precio por encima de 397,02 SEK: Vender.</w:t>
      </w:r>
    </w:p>
    <w:p>
      <w:pPr>
        <w:pStyle w:val="ListParagraph"/>
        <w:numPr>
          <w:ilvl w:val="0"/>
          <w:numId w:val="2"/>
        </w:numPr>
        <w:spacing w:after="60"/>
      </w:pPr>
      <w:r>
        <w:t xml:space="preserve">Pedidos de 12 meses por debajo de 5.000 M: Vender.</w:t>
      </w:r>
    </w:p>
    <w:p>
      <w:pPr>
        <w:pStyle w:val="ListParagraph"/>
        <w:numPr>
          <w:ilvl w:val="0"/>
          <w:numId w:val="2"/>
        </w:numPr>
        <w:spacing w:after="60"/>
      </w:pPr>
      <w:r>
        <w:t xml:space="preserve">Margen operativo trimestral por debajo del 17 % dos trimestres: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durante una década y que el múltiplo de 80-100 veces el beneficio se mantenga, como en los últimos años.</w:t>
      </w:r>
    </w:p>
    <w:p>
      <w:pPr>
        <w:keepNext/>
        <w:spacing w:after="100"/>
      </w:pPr>
      <w:r>
        <w:rPr>
          <w:b/>
          <w:bCs/>
        </w:rPr>
        <w:t xml:space="preserve">Lo que creemos nosotros.</w:t>
      </w:r>
    </w:p>
    <w:p>
      <w:pPr>
        <w:spacing w:after="100"/>
      </w:pPr>
      <w:r>
        <w:t xml:space="preserve">El negocio crecerá al 17 % este año y bajará hacia el 3,5 %: la cuota en un mercado del 3,7 % no puede duplicarse dos veces. El beneficio de FY2028e (4,43) coincide con el consenso.</w:t>
      </w:r>
    </w:p>
    <w:p>
      <w:pPr>
        <w:keepNext/>
        <w:spacing w:after="100"/>
      </w:pPr>
      <w:r>
        <w:rPr>
          <w:b/>
          <w:bCs/>
        </w:rPr>
        <w:t xml:space="preserve">Por qué podemos tener razón.</w:t>
      </w:r>
    </w:p>
    <w:p>
      <w:pPr>
        <w:spacing w:after="100"/>
      </w:pPr>
      <w:r>
        <w:t xml:space="preserve">Los pedidos caen dos trimestres seguidos y GE HealthCare ha comprado a un competidor directo; el margen sigue lejos del de Pro Medicus. No discrepamos en las cifras de dos años, sino en la década siguiente.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 de nube +75 %</w:t>
      </w:r>
      <w:r>
        <w:t xml:space="preserve"> en el 1T FY2027 [2].</w:t>
      </w:r>
    </w:p>
    <w:p>
      <w:pPr>
        <w:pStyle w:val="ListParagraph"/>
        <w:numPr>
          <w:ilvl w:val="0"/>
          <w:numId w:val="2"/>
        </w:numPr>
        <w:spacing w:after="60"/>
      </w:pPr>
      <w:r>
        <w:rPr>
          <w:b/>
        </w:rPr>
        <w:t xml:space="preserve">Apalancamiento operativo</w:t>
      </w:r>
      <w:r>
        <w:t xml:space="preserve">: resultado +60,9 % con ventas +25,8 % [2].</w:t>
      </w:r>
    </w:p>
    <w:p>
      <w:pPr>
        <w:pStyle w:val="ListParagraph"/>
        <w:numPr>
          <w:ilvl w:val="0"/>
          <w:numId w:val="2"/>
        </w:numPr>
        <w:spacing w:after="60"/>
      </w:pPr>
      <w:r>
        <w:rPr>
          <w:b/>
        </w:rPr>
        <w:t xml:space="preserve">ROIC del 104,6 %</w:t>
      </w:r>
      <w:r>
        <w:t xml:space="preserve"> y crecimiento sin capital.</w:t>
      </w:r>
    </w:p>
    <w:p>
      <w:pPr>
        <w:pStyle w:val="ListParagraph"/>
        <w:numPr>
          <w:ilvl w:val="0"/>
          <w:numId w:val="2"/>
        </w:numPr>
        <w:spacing w:after="60"/>
      </w:pPr>
      <w:r>
        <w:rPr>
          <w:b/>
        </w:rPr>
        <w:t xml:space="preserve">Caja neta de 1.733 M</w:t>
      </w:r>
      <w:r>
        <w:t xml:space="preserve"> y dividendos extraordinarios.</w:t>
      </w:r>
    </w:p>
    <w:p>
      <w:pPr>
        <w:pStyle w:val="ListParagraph"/>
        <w:numPr>
          <w:ilvl w:val="0"/>
          <w:numId w:val="2"/>
        </w:numPr>
        <w:spacing w:after="60"/>
      </w:pPr>
      <w:r>
        <w:rPr>
          <w:b/>
        </w:rPr>
        <w:t xml:space="preserve">Clientes más satisfechos del sector</w:t>
      </w:r>
      <w:r>
        <w:t xml:space="preserve"> once años seguidos (KLAS) [19].</w:t>
      </w:r>
    </w:p>
    <w:p>
      <w:pPr>
        <w:pStyle w:val="Heading2"/>
      </w:pPr>
      <w:r>
        <w:t xml:space="preserve">En contra</w:t>
      </w:r>
    </w:p>
    <w:p>
      <w:pPr>
        <w:pStyle w:val="ListParagraph"/>
        <w:numPr>
          <w:ilvl w:val="0"/>
          <w:numId w:val="2"/>
        </w:numPr>
        <w:spacing w:after="60"/>
      </w:pPr>
      <w:r>
        <w:rPr>
          <w:b/>
        </w:rPr>
        <w:t xml:space="preserve">PER de 96,6 veces</w:t>
      </w:r>
      <w:r>
        <w:t xml:space="preserve"> el beneficio de 12 meses.</w:t>
      </w:r>
    </w:p>
    <w:p>
      <w:pPr>
        <w:pStyle w:val="ListParagraph"/>
        <w:numPr>
          <w:ilvl w:val="0"/>
          <w:numId w:val="2"/>
        </w:numPr>
        <w:spacing w:after="60"/>
      </w:pPr>
      <w:r>
        <w:rPr>
          <w:b/>
        </w:rPr>
        <w:t xml:space="preserve">Valor intrínseco de 125,24 SEK</w:t>
      </w:r>
      <w:r>
        <w:t xml:space="preserve">, un 59,6 % por debajo del precio.</w:t>
      </w:r>
    </w:p>
    <w:p>
      <w:pPr>
        <w:pStyle w:val="ListParagraph"/>
        <w:numPr>
          <w:ilvl w:val="0"/>
          <w:numId w:val="2"/>
        </w:numPr>
        <w:spacing w:after="60"/>
      </w:pPr>
      <w:r>
        <w:rPr>
          <w:b/>
        </w:rPr>
        <w:t xml:space="preserve">Pedidos −46,6 %</w:t>
      </w:r>
      <w:r>
        <w:t xml:space="preserve"> en el 1T FY2027 [2].</w:t>
      </w:r>
    </w:p>
    <w:p>
      <w:pPr>
        <w:pStyle w:val="ListParagraph"/>
        <w:numPr>
          <w:ilvl w:val="0"/>
          <w:numId w:val="2"/>
        </w:numPr>
        <w:spacing w:after="60"/>
      </w:pPr>
      <w:r>
        <w:rPr>
          <w:b/>
        </w:rPr>
        <w:t xml:space="preserve">GE HealthCare compró Intelerad</w:t>
      </w:r>
      <w:r>
        <w:t xml:space="preserve"> por 2.300 M USD [16].</w:t>
      </w:r>
    </w:p>
    <w:p>
      <w:pPr>
        <w:pStyle w:val="ListParagraph"/>
        <w:numPr>
          <w:ilvl w:val="0"/>
          <w:numId w:val="2"/>
        </w:numPr>
        <w:spacing w:after="60"/>
      </w:pPr>
      <w:r>
        <w:rPr>
          <w:b/>
        </w:rPr>
        <w:t xml:space="preserve">Fundadores con el 34 % de los votos</w:t>
      </w:r>
      <w:r>
        <w:t xml:space="preserve"> y familiares en el consejo [23].</w:t>
      </w:r>
    </w:p>
    <w:p>
      <w:pPr>
        <w:pStyle w:val="Heading2"/>
      </w:pPr>
      <w:r>
        <w:t xml:space="preserve">Qué tiene que pasar para que la tesis funcione</w:t>
      </w:r>
    </w:p>
    <w:p>
      <w:pPr>
        <w:spacing w:after="100"/>
      </w:pPr>
      <w:r>
        <w:t xml:space="preserve">La tesis depende de que los pedidos vuelvan a crecer y de que el margen operativo pase del 22 % en FY2027: es lo que permite al mercado seguir pagando 80 veces el beneficio. La señal de que no se cumple: otro trimestre con pedidos por debajo de 1.000 M y el margen trimestral por debajo del 17 %.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M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 M en el 2T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crecimiento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M (+75 %)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982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Conversión en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 / 74,7x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Sectra nace en 1978 en la Universidad de Linköping (Suecia) como empresa de criptografía y procesado de imagen, fundada por un grupo de investigadores entre los que estaban Torbjörn Kronander (hoy primer ejecutivo) y Jan-Olof Brüer (hoy presidente) [1]. De ahí salen sus dos negocios: el PACS de imagen médica, que es hoy el 86 % de las ventas, y las comunicaciones cifradas para gobiernos y la OTAN [1, 20]. La década de 2020 es la del paso de la licencia a la suscripción en la nube (Sectra One), con un pedido canadiense de 3.100 M SEK en FY2025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Linköping a partir de la investigación universitaria en criptografía e imagen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seguidos como proveedor con los clientes más satisfechos del sector (KLAS)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OTAN amplía el uso del cifrado móvil Tiger y su contrato de soporte cinco años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canadiense de 3.100 M SEK, el mayor de su historia; acuerdo de patentes con 110 M a favor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ventas por encima de 1.000 M; entrada en Brasil con Sectra One Cloud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compra Intelerad (2.300 M USD), competidor directo en PACS en la nube [16].</w:t>
            </w:r>
          </w:p>
        </w:tc>
      </w:tr>
    </w:tbl>
    <w:p>
      <w:pPr>
        <w:spacing w:after="160" w:before="0"/>
      </w:pPr>
    </w:p>
    <w:p>
      <w:pPr>
        <w:pStyle w:val="Heading1"/>
      </w:pPr>
      <w:r>
        <w:t xml:space="preserve">2. Modelo de negocio</w:t>
      </w:r>
    </w:p>
    <w:p>
      <w:pPr>
        <w:spacing w:after="100"/>
      </w:pPr>
      <w:r>
        <w:t xml:space="preserve">Sectra vende software de imagen médica (PACS, archivo neutro, patología digital, cardiología, ortopedia) a hospitales y redes sanitarias de Europa del Norte, Reino Unido, EE. UU., Canadá, Países Bajos y Australia, y sistemas de comunicación cifrada (teléfonos Tiger, Panthon) a gobiernos y a la OTAN [1, 20]. El negocio de imagen (Imaging IT Solutions) fue el 86 % de las ventas de FY2026 (3.057,4 M SEK) y casi todo el resultado operativo (706,8 M) [1]. Vende directamente, con contratos de 5-10 años, y desde 2021 empuja la oferta como servicio en la nube (Sectra One), que cobra por estudio o por suscripción.</w:t>
      </w:r>
    </w:p>
    <w:p>
      <w:pPr>
        <w:pStyle w:val="Heading2"/>
      </w:pPr>
      <w:r>
        <w:t xml:space="preserve">Cómo gana dinero</w:t>
      </w:r>
    </w:p>
    <w:p>
      <w:pPr>
        <w:spacing w:after="100"/>
      </w:pPr>
      <w:r>
        <w:t xml:space="preserve">El 69 % de las ventas es recurrente (2.451,3 M en FY2026: mantenimiento, soporte y suscripciones) y crece más que el total (+18,6 %) [1]. En la nube Sectra cobra más por cliente (incluye infraestructura y operación) pero lo reconoce a lo largo del contrato: al pasar un cliente de licencia a suscripción, el ingreso y el margen bajan los primeros años y suben después. El coste es casi todo personal; el apalancamiento operativo se vio en el 1T FY2027 (ventas +25,8 %, resultado operativo +60,9 %) [1]. Secure Communications depende de pedidos públicos irregulares.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 IT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Secure Communications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Imaging IT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Secure Communications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r>
    </w:tbl>
    <w:p>
      <w:pPr>
        <w:spacing w:after="160" w:before="0"/>
      </w:pPr>
    </w:p>
    <w:p>
      <w:pPr>
        <w:pStyle w:val="Heading2"/>
      </w:pPr>
      <w:r>
        <w:t xml:space="preserve">Clientes, recurrencia y poder de precios</w:t>
      </w:r>
    </w:p>
    <w:p>
      <w:pPr>
        <w:spacing w:after="100"/>
      </w:pPr>
      <w:r>
        <w:t xml:space="preserve">Hospitales públicos y redes regionales con contratos largos (5-10 años) y una retención muy alta: Sectra lleva más de diez años como el proveedor de imagen mejor valorado por los clientes según KLAS [19]. Los pedidos grandes (Canadá, 3.100 M en FY2025) concentran la cartera, que fue de 7.599,5 M contratados en FY2026 [1, 3]. No hay datos publicados de concentración por cliente ni de tasa de bajas en las fuentes leídas; la prensa habla de «churn bajo» [22]. Poder de precios: en la nube cobra más por cliente que con la licencia, pero no publica subidas de tarifa.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2.067,4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2.451,3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 de las ventas del grupo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nube, trimestre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1.000 M en 12 meses móviles por primera vez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8.706,1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7.599,5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incluía un pedido canadiense de 3.100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contratados, trimestre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598 M garantizados; la empresa avisa de que los pedidos varían mucho entre trimestres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24 M (36) de coste de incentivos en acciones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imagen médica (PACS, archivo, visor y flujo de trabajo de radiología y otras especialidades), mundial. Se usa la cifra de Signify Research para el mercado mundial (5.500 M USD en 2023) y la de Arizton para EE. UU. (981 M USD de PACS en 2023) [13,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5.500 M USD en 2023 y 6.600 M USD en 2028e en el mundo (Signify) [13, 14]; EE. UU., solo PACS, 981 M USD en 2023 (Arizton)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SEK (Signify, imagen médica IT mundial; 2022, 2023 y 2028e publicados, el resto interpolado al 3,7 % anual; a 9,969 SEK/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 y a la suscripción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&gt;65 % del mercado de EE. UU. en 2023 [15]; ingresos recurrentes de nube de Sectra +75,3 % en el 1T FY2027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estudios de imagen y escasez de radiólogos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 M de estudios al año en EE. UU. con crecimiento de ~3 % (Pro Medicus)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entrada de grandes fabricantes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HealthCare compra Intelerad por 2.300 M USD, ~8,5 veces ventas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diagnóstico por imagen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visor es la puerta de entrada de la IA, pero puede abaratar el software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sanitarios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públicos con licitaciones largas; pedidos de Sectra −46,6 % en el 1T FY2027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proveedores relevantes en EE. UU. (Sectra, Fujifilm, Philips, Agfa, Intelerad, GE…) [15], con márgenes muy distintos: EBIT del 75 % en Pro Medicus, 23,1 % en Sectra Imaging y 11,2 % en Agfa HealthCare IT [1,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regiones públicas que licitan, pero cambiar de PACS es caro y lento (migración de archivos,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técnico y nube pública (hiperescaladores); ningún proveedor crítico único.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años de referencias clínicas y certificaciones; los que entran lo hacen comprando (GE-Intelerad)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las plataformas de la historia clínica (Epic) podrían absorber parte del visor; sin evidencia de sustitución todavía [17].</w:t>
            </w:r>
          </w:p>
        </w:tc>
      </w:tr>
    </w:tbl>
    <w:p>
      <w:pPr>
        <w:spacing w:after="160" w:before="0"/>
      </w:pPr>
    </w:p>
    <w:p>
      <w:pPr>
        <w:pStyle w:val="Heading2"/>
      </w:pPr>
      <w:r>
        <w:t xml:space="preserve">Ciclo</w:t>
      </w:r>
    </w:p>
    <w:p>
      <w:pPr>
        <w:spacing w:after="100"/>
      </w:pPr>
      <w:r>
        <w:t xml:space="preserve">El mercado crece al 3-5 % anual en valor y no depende del ciclo económico: los estudios de imagen crecen con la demografía [13, 15, 17]. Lo cíclico es el presupuesto público de inversión, que mueve los pedidos de un año a otro. Sectra creció en todos los años de la serie, también en 2020.</w:t>
      </w:r>
    </w:p>
    <w:p>
      <w:pPr>
        <w:pStyle w:val="Heading2"/>
      </w:pPr>
      <w:r>
        <w:t xml:space="preserve">Regulación</w:t>
      </w:r>
    </w:p>
    <w:p>
      <w:pPr>
        <w:spacing w:after="100"/>
      </w:pPr>
      <w:r>
        <w:t xml:space="preserve">Dispositivo médico (MDR en la UE, FDA en EE. UU.) para los módulos de diagnóstico; protección de datos de salud (RGPD, HIPAA) y requisitos de ciberseguridad (NIS2 en la UE) que favorecen a proveedores con certificaciones. Comunicaciones seguras: aprobaciones de la OTAN y de agencias nacionales [20].</w:t>
      </w:r>
    </w:p>
    <w:p>
      <w:pPr>
        <w:pStyle w:val="Heading2"/>
      </w:pPr>
      <w:r>
        <w:t xml:space="preserve">Tendencias y disrupción</w:t>
      </w:r>
    </w:p>
    <w:p>
      <w:pPr>
        <w:spacing w:after="100"/>
      </w:pPr>
      <w:r>
        <w:t xml:space="preserve">Nube y cobro por uso (Sectra, Agfa y Pro Medicus lo confirman) [1, 17, 18]; plataformas únicas de imagen para varias especialidades (patología digital, cardiología); IA en el flujo del radiólogo; consolidación (GE-Intelerad) [16]. Sectra gana con la nube en ingresos recurrentes y gana cuota en EE. UU., Canadá y Brasil [1,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principales proveedores de PACS empresarial en Europa del Norte, Reino Unido y Canadá, y en crecimiento en EE. UU. [1, 3]; líder en satisfacción de clientes (KLAS) [19]. En cifrado, proveedor homologado por la OTAN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 (Visage)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para grandes redes de EE. UU., cobra por estudio; 261,7 M AUD de ventas en FY2026 (a 0,1437 AUD/SEK)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Agfa HealthCare 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Enterprise Imaging; pedidos de nube +38 %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 (con Intelerad)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Intelerad (≈270 M USD de ventas, ~90 % recurrentes) en mar-2026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 (Enterprise Imaging)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histórico de PACS en EE. UU. y Europa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Fujifilm (Synapse)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histórico de PACS en EE. UU.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efecto de red; las referencias clínicas ayudan a ganar concursos.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el archivo de imagen de una región y formar a los radiólogos lleva años; contratos de 5-10 años y 69 % de ingresos recurrentes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como proveedor mejor valorado por los clientes (KLAS) [8]; homologaciones de la OTAN en cifrado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23,1 % en imagen, el doble que Agfa (11,2 %) pero a un tercio del de Pro Medicus (74,9 %) [5,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pocos proveedores por región, pero GE, Philips y Fujifilm son mucho más grandes [3, 4].</w:t>
            </w:r>
          </w:p>
        </w:tc>
      </w:tr>
    </w:tbl>
    <w:p>
      <w:pPr>
        <w:spacing w:after="160" w:before="0"/>
      </w:pPr>
    </w:p>
    <w:p>
      <w:pPr>
        <w:pStyle w:val="Heading2"/>
      </w:pPr>
      <w:r>
        <w:t xml:space="preserve">Amenazas</w:t>
      </w:r>
    </w:p>
    <w:p>
      <w:pPr>
        <w:spacing w:after="100"/>
      </w:pPr>
      <w:r>
        <w:t xml:space="preserve">La principal es que los grandes fabricantes (GE con Intelerad, Philips) empaqueten el PACS en la nube con sus equipos y aprieten el precio en las renovaciones de 2027-2030 [16]. La segunda, que Pro Medicus siga ganando las grandes redes de EE. UU., el mercado donde Sectra quiere crecer [17]. La tercera, la IA: un visor más barato o integrado en la historia clínica. Probabilidad media en cinco años; el coste de cambio protege la base instalada.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FY2022-FY2026: ingresos </w:t>
      </w:r>
      <w:r>
        <w:rPr>
          <w:b/>
          <w:bCs/>
        </w:rPr>
        <w:t xml:space="preserve">16,1 %</w:t>
      </w:r>
      <w:r>
        <w:t xml:space="preserve">, EBITDA </w:t>
      </w:r>
      <w:r>
        <w:rPr>
          <w:b/>
          <w:bCs/>
        </w:rPr>
        <w:t xml:space="preserve">16,6 %</w:t>
      </w:r>
      <w:r>
        <w:t xml:space="preserve">, BPA </w:t>
      </w:r>
      <w:r>
        <w:rPr>
          <w:b/>
          <w:bCs/>
        </w:rPr>
        <w:t xml:space="preserve">15,8 %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Ventas de 1.949 M (FY2022) a 3.541,7 M (FY2026): TCAC del 16,1 %, casi todo orgánico; el salto de FY2024 (+26,1 %) incluye divisa favorable [1, 4]. El margen operativo bajó del 19,7 % (FY2022) al 17,5 % (FY2024) por el paso a la nube (se cobra por suscripción a lo largo del contrato en vez de licencia al instalar) y por la inversión en personal y seguridad; FY2025 (18,9 %) incluye 110 M de un acuerdo de patentes en comunicaciones seguras: sin él, 15,5 % [3]. FY2026 vuelve al 20,1 % y el 1T FY2027 al 19,8 % (15,5 %) con ventas +25,8 % [1, 2]. Los ejercicios cierran el 30 de abril.</w:t>
      </w:r>
    </w:p>
    <w:p>
      <w:pPr>
        <w:pStyle w:val="Heading2"/>
      </w:pPr>
      <w:r>
        <w:t xml:space="preserve">Ajustes y partidas no recurrentes</w:t>
      </w:r>
    </w:p>
    <w:p>
      <w:pPr>
        <w:spacing w:after="100"/>
      </w:pPr>
      <w:r>
        <w:t xml:space="preserve">Cifras reportadas. FY2025 lleva un ingreso no recurrente de 110 M (acuerdo de un litigio de patentes en Secure Communications) dentro del resultado operativo [3]: va en no_recurrentes_en_ebitda con signo negativo. Estimación propia, por no tener las cuentas completas: amortizaciones al 2,7 % de las ventas (diferencia entre el EBITDA de MarketScreener, 23,5 %, y el margen operativo) y resultado antes de impuestos con un tipo del 21,5 % sobre el beneficio publicado; el beneficio neto, el BPA y el resultado operativo son los publicados. BPA de FY2025 = 475,6 M / 192,6 M acciones (cálculo): los agregadores dan 2,92, que no cuadra con el beneficio publicado [1,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1T FY2027 (4-sep-2026): ventas +25,8 % (26,6 % sin divisa) y resultado operativo +60,9 % hasta 191 M (margen del 19,8 %); los ingresos recurrentes de nube crecen un 75,3 % y superan los 1.000 M en 12 meses móviles [2, 8]. La dirección repite que seguirá invirtiendo en personas, tecnología y seguridad aunque pese en el margen a corto plazo, y que el paso al modelo de suscripción sostendrá los ingresos recurrentes [8]. Lo que preocupó: los pedidos contratados cayeron un 46,6 % (699 M frente a 1.310) tras otro trimestre débil (4T FY2026: −46,5 %), y el flujo operativo del trimestre fue de solo 3 M [2, 11]. La empresa insiste en que los pedidos varían mucho entre trimestres por los contratos largos y grandes, sin dar una guía cuantitativa. En el cierre de FY2026 (5-jun-2026) habló de «inversiones a largo plazo que impulsan crecimiento y beneficio» y del primer trimestre por encima de 1.000 M de ventas [1]. Las preguntas de los analistas no están disponibles: no se pudo leer la transcripción.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sin deuda y con caja creciente: de 808,8 M (FY2022) a 1.810 M (FY2026), el 41 % del activo, pese a repartir 2,10 SEK por acción en 2025 [6, 7]. El patrimonio sube de 1.081 a 2.138 M. El circulante es negativo en la práctica: el cliente paga por adelantado y los pasivos (2.336 M) crecen al ritmo de las ventas. El 1T FY2027 consumió caja (flujo operativo de 3 M) por la estacionalidad de la facturación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FY2022-FY2026: FCF </w:t>
      </w:r>
      <w:r>
        <w:rPr>
          <w:b/>
          <w:bCs/>
        </w:rPr>
        <w:t xml:space="preserve">3.038</w:t>
      </w:r>
      <w:r>
        <w:t xml:space="preserve">, conversión </w:t>
      </w:r>
      <w:r>
        <w:rPr>
          <w:b/>
          <w:bCs/>
        </w:rPr>
        <w:t xml:space="preserve">141 %</w:t>
      </w:r>
      <w:r>
        <w:t xml:space="preserve"> del beneficio neto; adquisiciones 0, dividendos 1.040, recompras 0.</w:t>
      </w:r>
    </w:p>
    <w:p>
      <w:pPr>
        <w:spacing w:after="100"/>
      </w:pPr>
      <w:r>
        <w:t xml:space="preserve">La conversión es irregular porque depende del calendario de facturación de contratos grandes: el flujo operativo fue del 196 % del beneficio en FY2022, cayó al 76 % en FY2024 (con 178,5 M de capex, el mayor de la serie, por centros de datos y desarrollo) y se recuperó al 194 % en FY2025 y FY2026 (1.097,3 M) [1, 5]. El informe de FY2026 reexpresa el flujo de FY2025 a 824,9 M frente a 922,4 publicados; no se pudo leer el motivo [1, 3]. El capex normal es pequeño (1-2,5 % de las ventas): la nube de Sectra corre en buena parte sobre proveedores externos. Dividendos estimados como DPA × 192,6 M de acciones; se pagan por un programa de división y amortización de acciones (inlösen) [4].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el informe anual no se pudo comprobar el auditor, la activación de I+D ni las notas. Lo que se ve: el beneficio se convierte en caja de sobra en tres de los cinco años, sin deuda y sin adquisiciones que enturbien las cuentas; el único no recurrente relevante (110 M de patentes en FY2025) lo declaró la propia empresa [3]. La remuneración en acciones es material (24 M en un trimestre, el 13 % del resultado operativo) y se cubre con recompras [2]. El paso a la nube retrasa el reconocimiento de ingresos (suscripción frente a licencia), lo que juega en contra del margen actual, no a favor. Los indicadores del motor se calculan con un balance incompleto: léanse con cautela.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flujo operativo de FY2025 (922,4 → 824,9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Motivo no localizado; puede ser un cambio de clasificación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de FY2025 distinto entre agregadores (2,92) y beneficio publicado (475,6 M ≈ 2,47)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publicado por la empresa [1,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98,5 % · </w:t>
      </w:r>
      <w:r>
        <w:rPr>
          <w:b/>
          <w:bCs/>
        </w:rPr>
        <w:t xml:space="preserve">WACC</w:t>
      </w:r>
      <w:r>
        <w:t xml:space="preserve">: 8,5 %.</w:t>
      </w:r>
    </w:p>
    <w:p>
      <w:pPr>
        <w:spacing w:after="100"/>
      </w:pPr>
      <w:r>
        <w:t xml:space="preserve">Sectra crea valor de forma holgada: ROIC por encima del 55 % todos los años de la serie y del 104,6 % en FY2026, frente a un WACC del 8,5 %. Lo mueve la rotación del capital, no el margen: el capital invertido operativo es pequeño (533 M) porque los clientes pagan por adelantado y la caja (1.810 M) no cuenta [6]. El ROIC bajó al 55-66 % en FY2024-FY2025 por el capex de centros de datos (178,5 M) y la caída del margen durante la transición a la nube, y se recupera en FY2026 [5, 12]. El ROE (27,8 %) es menor porque la caja diluye el patrimonio [9]. Frente a Pro Medicus (ROIC del 110,5 %) está al mismo nivel con un margen tres veces menor [40].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abr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1.810 M a 30-abr-2026, sin deuda bancaria; arrendamientos de 76,5 M (21,0 a corto y 55,5 a largo)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deuda financiera; los pasivos son sobre todo cobros anticipados de clientes (mantenimiento y suscripciones facturados por adelantado) y deudas comerciales, que no se pudieron separar sin el informe anual [6]. Los incentivos en acciones (24 M en el 1T FY2027) se cubren con recompra de acciones B autorizada por la junta de 2026 [1, 2]. No se han localizado litigios relevantes abiertos; el de patentes en comunicaciones seguras se cerró en FY2025 con 110 M a favor [3].</w:t>
      </w:r>
    </w:p>
    <w:p>
      <w:pPr>
        <w:pStyle w:val="Heading1"/>
      </w:pPr>
      <w:r>
        <w:t xml:space="preserve">12. Asignación de capital</w:t>
      </w:r>
    </w:p>
    <w:p>
      <w:pPr>
        <w:pStyle w:val="Confianza"/>
        <w:spacing w:after="100"/>
      </w:pPr>
      <w:r>
        <w:t xml:space="preserve">Confianza: Media</w:t>
      </w:r>
    </w:p>
    <w:p>
      <w:pPr>
        <w:spacing w:after="100"/>
      </w:pPr>
      <w:r>
        <w:t xml:space="preserve">Dividendo ordinario creciente (1,10 SEK en FY2023-FY2025; 1,30 propuesto para FY2026) más uno extraordinario de 1,00 SEK en FY2025 y FY2026, pagados mediante programas de división y amortización de acciones [1, 3, 4]. Autorización de recompra de acciones B solo para cubrir los incentivos. Prioridad declarada: invertir en crecimiento orgánico (nube, seguridad, personal) y mantener caja neta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Asignador prudente: crecimiento orgánico, sin compras relevantes en cinco años, caja neta creciente (1.810 M) y dividendos extraordinarios en lugar de recompras a 90 veces beneficio. La dilución es casi nula (192-193 M de acciones en toda la serie). El riesgo es el contrario: una caja ociosa del 3 % de la capitalización no cambia la tesis.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consejero; cofundador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Sectra en 1978 a partir de la investigación en Linköping. Bajo su mando las ventas pasaron de 1.949 M (FY2022) a 3.541,7 M (FY2026) sin deuda ni compras relevantes [1, 23,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Jan-Olof Brüer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cofundador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presidente, reelegido en la junta de 2026; comparte con Kronander la sociedad Shannon AB (10,7 % de los votos) [23, 25].</w:t>
            </w:r>
          </w:p>
        </w:tc>
      </w:tr>
    </w:tbl>
    <w:p>
      <w:pPr>
        <w:spacing w:after="160" w:before="0"/>
      </w:pPr>
    </w:p>
    <w:p>
      <w:pPr>
        <w:spacing w:after="100"/>
      </w:pPr>
      <w:r>
        <w:t xml:space="preserve">Equipo de fundadores con 40 años en la empresa y alineado como accionista (cada uno ~8 % del capital). La credibilidad descansa en el historial de crecimiento sin sorpresas contables, no en guías: Sectra no publica previsiones anuales. El riesgo es la sucesión: el primer ejecutivo es cofundador y la junta de 2026 metió en el consejo a Joel Kronander y Michael Brüer, de la familia de los fundadores [25]. En marzo de 2026 el primer ejecutivo dijo a la prensa querer «ser como Apple» y mostró sorpresa por la caída de la acción [27].</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Jan-Olof Brüer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Joel Kronander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(antes suplente)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Brüer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(antes suplente)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Torbjörn Kronander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(11,7 %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Jan-Olof Brüer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(11,6 %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conocidos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Frithjof Qvigstad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(7,2 %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Shannon AB (Kronander y Brüer)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de los fundadores (10,7 %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Plan de incentivos a largo plazo en acciones B, cubierto con recompra autorizada por la junta de 2026; coste de 24 M en el 1T FY2027 (36 M un año antes) [1, 25]. No se pudieron leer las métricas ni la remuneración del primer ejecutivo.</w:t>
      </w:r>
    </w:p>
    <w:p>
      <w:pPr>
        <w:pStyle w:val="Heading2"/>
      </w:pPr>
      <w:r>
        <w:t xml:space="preserve">Operaciones vinculadas, estructura de control y defensas</w:t>
      </w:r>
    </w:p>
    <w:p>
      <w:pPr>
        <w:spacing w:after="100"/>
      </w:pPr>
      <w:r>
        <w:t xml:space="preserve">Dos clases: las acciones A tienen diez votos y están en manos de los fundadores, con cláusula de tanteo estatutaria [26]. Kronander, Brüer y su sociedad Shannon suman el 18,7 % del capital y el 34,0 % de los votos; con Qvigstad, el 41 % [23]. Controlan de hecho la junta y el nombramiento del consejo, que en 2026 incorporó a dos familiares [25]. No se han detectado operaciones vinculadas relevantes.</w:t>
      </w:r>
    </w:p>
    <w:p>
      <w:pPr>
        <w:pStyle w:val="Heading2"/>
      </w:pPr>
      <w:r>
        <w:t xml:space="preserve">Señales de alerta</w:t>
      </w:r>
    </w:p>
    <w:p>
      <w:pPr>
        <w:pStyle w:val="ListParagraph"/>
        <w:numPr>
          <w:ilvl w:val="0"/>
          <w:numId w:val="2"/>
        </w:numPr>
        <w:spacing w:after="60"/>
      </w:pPr>
      <w:r>
        <w:t xml:space="preserve">Consejo con familiares de los fundadores incorporados en 2026 (Joel Kronander y Michael Brüer) [25].</w:t>
      </w:r>
    </w:p>
    <w:p>
      <w:pPr>
        <w:pStyle w:val="ListParagraph"/>
        <w:numPr>
          <w:ilvl w:val="0"/>
          <w:numId w:val="2"/>
        </w:numPr>
        <w:spacing w:after="60"/>
      </w:pPr>
      <w:r>
        <w:t xml:space="preserve">Sucesión del primer ejecutivo cofundador sin plan público.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Sectra no publica previsiones anuales. Sus objetivos financieros no se pudieron leer completos en las fuentes accesibles. En el 1T FY2027 (4-sep-2026) la dirección dijo que seguirá invirtiendo en personas, tecnología y seguridad aunque pese en la rentabilidad a corto plazo, y que el paso a la suscripción sostendrá los ingresos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 analistas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370,00</w:t>
            </w:r>
          </w:p>
        </w:tc>
      </w:tr>
    </w:tbl>
    <w:p>
      <w:pPr>
        <w:spacing w:after="160" w:before="0"/>
      </w:pPr>
    </w:p>
    <w:p>
      <w:pPr>
        <w:pStyle w:val="Heading2"/>
      </w:pPr>
      <w:r>
        <w:t xml:space="preserve">Revisiones de estimaciones</w:t>
      </w:r>
    </w:p>
    <w:p>
      <w:pPr>
        <w:spacing w:after="100"/>
      </w:pPr>
      <w:r>
        <w:t xml:space="preserve">Al alza tras el 1T: SEB subió el objetivo de 340 a 370 SEK (31-ago-2026) y DNB Carnegie de 330 a 340 (1-sep-2026), los dos con Comprar [11, 31]. El objetivo medio de MarketScreener ronda los 340 SEK con tres analistas [28, 32]. Solo hay una fuente con estimaciones completas (MarketScreener, con dos tablas que difieren un 10 % en el resultado operativo de FY2027: 831,5 frente a 931,5 M) [28, 29]; se usa la más reciente.</w:t>
      </w:r>
    </w:p>
    <w:p>
      <w:pPr>
        <w:pStyle w:val="Heading1"/>
      </w:pPr>
      <w:r>
        <w:t xml:space="preserve">18. Comparables cotizados</w:t>
      </w:r>
    </w:p>
    <w:p>
      <w:pPr>
        <w:pStyle w:val="Confianza"/>
        <w:spacing w:after="100"/>
      </w:pPr>
      <w:r>
        <w:t xml:space="preserve">Confianza: Media</w:t>
      </w:r>
    </w:p>
    <w:p>
      <w:pPr>
        <w:spacing w:after="100"/>
      </w:pPr>
      <w:r>
        <w:t xml:space="preserve">Los mismos comparables que el informe de Pro Medicus del 12-oct, con Pro Medicus dentro y Sectra fuera: software vertical de alto margen (Veeva, Doximity, Craneware en sanidad; WiseTech, Xero, TechnologyOne y Nemetschek como software «de calidad» con el que compite por el capital) y el competidor directo cotizado más puro en PACS [33, 34, 35, 36, 37, 38, 39, 40]. Fuera: GE HealthCare, Philips y Fujifilm (fabricantes con márgenes del 10 %), Agfa (conglomerado con pérdidas en otras divisiones) y CompuGroup y Nexus (excluidas de bolsa).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Craneware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WiseTech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 / 41,9x / 51,3x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Sectra cotiza a 74,7 veces el beneficio de los próximos 12 meses frente a una mediana de 41,9 en los comparables, y a 66,2 veces el EBITDA de los últimos 12 meses frente a 17,4, con un crecimiento esperado parecido a la mediana (14,3 %) y un margen EBITDA de 23,6 %, la mitad que el grupo (42,2 %). La prima no la justifica ni el margen ni el crecimiento: solo Pro Medicus (87 veces) cotiza más caro, con un margen tres veces mayor [40]. Con las medianas el valor sale entre 86,53 (EV/EBITDA) y 174,08 SEK (PER). Usamos el PER como referencia principal porque el EBITDA de los comparables mezcla definiciones (Veeva y Doximity suman los pagos en acciones) [33, 34].</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 (IA clínica y dictado radiológico)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19.700 M USD con la deuda neta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Inovalon (datos y software sanitario)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~7.300 M USD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Cerner (historia clínica electrónica)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Oracle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del valor empresa con su deuda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Volpara Health (IA para imagen mamaria)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pérdidas operativas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Intelerad (PACS en la nube)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M USD por ~270 M USD de ventas, ~90 % recurrentes, margen EBITDA &gt;30 % [16]. La más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152,29 – 218,29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operaciones de software sanitario se han pagado a 5-15 veces las ventas; la más parecida, Intelerad, a 8,5 veces, con un margen EBITDA superior al 30 % [16]. Sectra cotiza a más de 15 veces sus ventas de los últimos 12 meses, por encima de cualquier precio de control pagado. Una OPA es poco probable: los fundadores tienen el 34 % de los votos con acciones A de diez votos.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Base del 17 % en FY2027e, cerca del consenso (17,6 %) y por debajo del ritmo del 1T (25,8 %) [2, 29]; después baja al 13 %, 10 % y hasta el 3,5 % en FY2036e. La TCAC de FY2022-FY2026 fue del 16,1 % [5]. La senda se rebajó desde un 10,8 % medio al 7,8 % para pasar la prueba de cuota de mercado (sostenibilidad): con el mercado de imagen médica IT creciendo al 3,7 % [13, 14], crecer al 10,8 % llevaba a Sectra de ~5 % a ~10 % del mercado mundial.</w:t>
      </w:r>
    </w:p>
    <w:p>
      <w:pPr>
        <w:keepNext/>
        <w:spacing w:after="100"/>
      </w:pPr>
      <w:r>
        <w:rPr>
          <w:b/>
          <w:bCs/>
        </w:rPr>
        <w:t xml:space="preserve">Márgenes.</w:t>
      </w:r>
    </w:p>
    <w:p>
      <w:pPr>
        <w:spacing w:after="100"/>
      </w:pPr>
      <w:r>
        <w:t xml:space="preserve">EBITDA del 24,5 % en FY2027e al 29 % desde FY2033e, frente al 22,8 % de FY2026 y al 22,4 % de FY2022, antes de la transición a la nube [1]. El consenso implica un margen operativo del 22,4 % en FY2027e y del 23,5 % en FY2028e [29]. Es por debajo del de Pro Medicus (75 %) y de la mediana de los comparables (42,2 %) y por encima del de Agfa HealthCare IT (11,2 %) [17, 18].</w:t>
      </w:r>
    </w:p>
    <w:p>
      <w:pPr>
        <w:keepNext/>
        <w:spacing w:after="100"/>
      </w:pPr>
      <w:r>
        <w:rPr>
          <w:b/>
          <w:bCs/>
        </w:rPr>
        <w:t xml:space="preserve">Inversión y circulante.</w:t>
      </w:r>
    </w:p>
    <w:p>
      <w:pPr>
        <w:spacing w:after="100"/>
      </w:pPr>
      <w:r>
        <w:t xml:space="preserve">Capex del 2,5 % de las ventas (FY2026: 2,4 %; FY2024: 6,0 % por centros de datos) y amortizaciones del 2,7 % (estimación) [5]; circulante neutro: los clientes pagan por adelantado. El negocio apenas necesita capital: el ROIC de FY2026 es del 104,6 %.</w:t>
      </w:r>
    </w:p>
    <w:p>
      <w:pPr>
        <w:keepNext/>
        <w:spacing w:after="100"/>
      </w:pPr>
      <w:r>
        <w:rPr>
          <w:b/>
          <w:bCs/>
        </w:rPr>
        <w:t xml:space="preserve">Coste del capital.</w:t>
      </w:r>
    </w:p>
    <w:p>
      <w:pPr>
        <w:spacing w:after="100"/>
      </w:pPr>
      <w:r>
        <w:t xml:space="preserve">Tasa libre del 3,0 %, el bono sueco a 10 años de julio de 2026 (2,98 %), el último dato fechado [46]. Beta de 1,0 (sin serie propia: bolsa.mjs no funciona aquí; los comparables de software rondan 1,0-1,2). Prima de mercado del 5,5 %, sin deuda: WACC del 8,5 %. Con la prima implícita del mercado (4,2 %) el WACC baja al 7,2 % [47].</w:t>
      </w:r>
    </w:p>
    <w:p>
      <w:pPr>
        <w:keepNext/>
        <w:spacing w:after="100"/>
      </w:pPr>
      <w:r>
        <w:rPr>
          <w:b/>
          <w:bCs/>
        </w:rPr>
        <w:t xml:space="preserve">Valor terminal.</w:t>
      </w:r>
    </w:p>
    <w:p>
      <w:pPr>
        <w:spacing w:after="100"/>
      </w:pPr>
      <w:r>
        <w:t xml:space="preserve">Gordon con crecimiento del 2,5 % (inflación sueca del 2 % y medio punto real), medio punto por debajo de la tasa libre. El terminal pesa un 61 % del valor. Un múltiplo de salida de 30 veces el EBITDA, por encima de los comparables (15,1), daría más valor, pero supone que el mercado seguirá pagando el doble que por el software de calidad.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M (-1 % del NOPAT)</w:t>
            </w:r>
          </w:p>
        </w:tc>
      </w:tr>
    </w:tbl>
    <w:p>
      <w:pPr>
        <w:spacing w:after="160" w:before="0"/>
      </w:pPr>
    </w:p>
    <w:p>
      <w:pPr>
        <w:spacing w:after="100"/>
      </w:pPr>
      <w:r>
        <w:t xml:space="preserve">La proyección apenas necesita inversión neta de la amortización (reinversión acumulada de -75 M, con un capex bruto medio del 2,6 % de las ventas). En un negocio de activos ligeros, el crecimiento medio del 7,8 %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de nube (Canadá, EE. UU., Brasil) y especialidades nuevas; precio: más ingreso por cliente al pasar a la nube; otros: conversión de licencias a suscripción e ingresos recurrentes de nube +75 % en el 1T [2,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contratada de 7.600 M sostiene el volumen; la conversión a la nube se frena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encima del mercado (3,7 %) solo con ganancia de cuota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5 % y precio en línea con la inflación sanitaria.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estabilizada; precio al 3 %.</w:t>
            </w:r>
          </w:p>
        </w:tc>
      </w:tr>
    </w:tbl>
    <w:p>
      <w:pPr>
        <w:spacing w:after="160" w:before="0"/>
      </w:pPr>
    </w:p>
    <w:p>
      <w:pPr>
        <w:spacing w:after="100"/>
      </w:pPr>
      <w:r>
        <w:t xml:space="preserve">En parte, con el caso base ya rebajado. La calidad sostiene crecer sin capital: ROIC del 104,6 % y ROIC incremental histórico del 98,5 %, el cliente paga por adelantado y la reinversión es casi nula, así que la prueba de reinversión no aplica (activos ligeros) y la que cuenta es la de cuota y precio. Prueba de cuota a mano (estimación propia): Imaging IT vendió 3.057,4 M SEK (≈307 M USD) en FY2026, un 5,0 % de un mercado mundial de ~6.135 M USD [1, 13, 14]. Con la senda inicial (10,8 % anual) llegaba al ~9,7 % en FY2036e, 1,9 veces la cuota actual: fallaba. Rebajada al 7,8 % anual, la cuota final queda en ~7,3 % (1,46 veces): pasa. Lo que no está probado es el precio: Sectra no publica subidas de tarifa.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 (base: 7,8 %)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59 % justifica el precio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8,5 %)</w:t>
            </w:r>
          </w:p>
        </w:tc>
      </w:tr>
    </w:tbl>
    <w:p>
      <w:pPr>
        <w:spacing w:after="160" w:before="0"/>
      </w:pPr>
    </w:p>
    <w:p>
      <w:pPr>
        <w:spacing w:after="100"/>
      </w:pPr>
      <w:r>
        <w:t xml:space="preserve">El DCF da 109,32 SEK por acción, un 64,8 % por debajo del precio, con el terminal pesando un 61 % del valor; con la prima de riesgo que hoy pide el mercado (WACC del 7,2 %), 138,78. El DCF inverso es la clave: para justificar 310,20 SEK hay que crecer un 22,1 % anual durante diez años con nuestro margen final del 29 %, frente al 7,8 % de nuestro caso base y al 16,1 % de los últimos cuatro años; ningún margen por debajo del 59 % lo justifica con nuestro crecimiento. Quien compra hoy obtiene un 4,6 % anual con nuestras cifras, por debajo del WACC (8,5 %) y casi igual que la tasa libre más poco. Es exigente frente a la historia: supone que Sectra multiplica por ocho sus ventas en diez años en un mercado que crece un 3,7 %.</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2026 marcan una tendencia: GE-Intelerad y Pro Medicus ganan los concursos grandes y el crecimiento baja cinco puntos cada año; el coste de la nube deja el margen tres puntos por debajo del base.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madura, el crecimiento converge del 17 % al 3,5 % en diez años y el margen EBITDA sube al 29 %.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gana cuota en EE. UU. y Brasil y el apalancamiento del 1T dura: tres puntos más de crecimiento y dos de margen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108,23 SEK (-65,1 %).</w:t>
      </w:r>
    </w:p>
    <w:p>
      <w:pPr>
        <w:spacing w:after="100"/>
      </w:pPr>
      <w:r>
        <w:t xml:space="preserve">En valor intrínseco ningún escenario se acerca al precio: el alcista (145,88 SEK) queda un 53,0 % por debajo y el bajista (68,40) un 77,9 %. La asimetría es negativa en el largo plazo. A 12 meses, con la regla común de múltiplos, el cuadro cambia: el alcista gana un 55,4 % y el bajista pierde un 31,1 % (asimetría 1,74x), porque la regla supone que el mercado sigue pagando 60-95 veces el beneficio. La diferencia entre los dos horizontes es la tesis: el precio solo se sostiene si el múltiplo no se normaliza.</w:t>
      </w:r>
    </w:p>
    <w:p>
      <w:pPr>
        <w:pStyle w:val="Heading1"/>
      </w:pPr>
      <w:r>
        <w:t xml:space="preserve">22. Suma de partes</w:t>
      </w:r>
    </w:p>
    <w:p>
      <w:pPr>
        <w:pStyle w:val="Confianza"/>
        <w:spacing w:after="100"/>
      </w:pPr>
      <w:r>
        <w:t xml:space="preserve">Confianza: Baja</w:t>
      </w:r>
    </w:p>
    <w:p>
      <w:pPr>
        <w:spacing w:after="100"/>
      </w:pPr>
      <w:r>
        <w:t xml:space="preserve">Secure Communications es el 14 % de las ventas y no se pudo aislar su resultado; una suma de partes con un segmento sin beneficio publicado no añade información.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SEK) · precio actual 31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125,24 SEK (-59,6 % sobre 310,20).</w:t>
      </w:r>
    </w:p>
    <w:p>
      <w:pPr>
        <w:spacing w:after="100"/>
      </w:pPr>
      <w:r>
        <w:t xml:space="preserve">Pesos: DCF 50, comparables 25 y escenarios 25; transacciones a 0 porque los fundadores controlan el 34 % de los votos y una OPA es improbable. Todos los métodos de largo plazo dan entre 68 y 218 SEK: DCF 109,32, comparables por PER 174,08, transacciones 171,70 (Intelerad a 8,5 veces las ventas) [16]. La dispersión es pequeña frente a la distancia al precio (310,20), que ningún método cubre. El valor intrínseco ponderado es 125,24 SEK. El objetivo a 12 meses, que manda en la recomendación, sale de nuestro BPA por el PER de la regla común y queda en 356,02.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(82.5x) a mitad de camino hacia abajo, hacia la mediana de 5 años (80.8x)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00"/>
      </w:pPr>
      <w:r>
        <w:rPr>
          <w:b/>
          <w:bCs/>
        </w:rPr>
        <w:t xml:space="preserve">Objetivo a 12 meses (ponderado):</w:t>
      </w:r>
      <w:r>
        <w:t xml:space="preserve"> 340,74 SEK · rentabilidad +10,3 % (base +17,0 %) · señal Mantener.</w:t>
      </w:r>
    </w:p>
    <w:p>
      <w:pPr>
        <w:spacing w:after="100"/>
      </w:pPr>
      <w:r>
        <w:t xml:space="preserve">Para comparar, con la regla v2 (historia al cierre, mismo precio): 60,0x / 82,5x / 95,0x, 15,2 % Mantener. Decide la regla vigente (v3 con tope ×1,1; METODO-VIGENTE.md).</w:t>
      </w:r>
    </w:p>
    <w:p>
      <w:pPr>
        <w:keepNext/>
        <w:spacing w:after="100"/>
      </w:pPr>
      <w:r>
        <w:rPr>
          <w:b/>
          <w:bCs/>
        </w:rPr>
        <w:t xml:space="preserve">Frente al consenso (solo contraste).</w:t>
      </w:r>
    </w:p>
    <w:p>
      <w:pPr>
        <w:spacing w:after="100"/>
      </w:pPr>
      <w:r>
        <w:t xml:space="preserve">Nuestro BPA de FY2028e (4,43) queda un 1,1 % por debajo del consenso (4,48) [29]: coincidimos en ventas (4.683 frente a 4.840 M) y somos algo más prudentes en margen. Nuestro precio base a 12 meses (365,48 SEK) queda un 7,5 % por encima del objetivo medio de los analistas (340) porque aplicamos el PER actual (82,5), que la regla común toma por ser menor que la mediana de cinco años; los analistas suelen usar múltiplos más bajos. La diferencia no es de cifras sino de múltiplo.</w:t>
      </w:r>
    </w:p>
    <w:p>
      <w:pPr>
        <w:keepNext/>
        <w:spacing w:after="100"/>
      </w:pPr>
      <w:r>
        <w:rPr>
          <w:b/>
          <w:bCs/>
        </w:rPr>
        <w:t xml:space="preserve">Del valor intrínseco al objetivo a 12 meses.</w:t>
      </w:r>
    </w:p>
    <w:p>
      <w:pPr>
        <w:spacing w:after="100"/>
      </w:pPr>
      <w:r>
        <w:t xml:space="preserve">El objetivo a 12 meses (356,02 SEK, +15,2 %) y el valor intrínseco (125,24, −59,6 %) están a 231 SEK de distancia, la mayor del universo analizado. El primero supone que el mercado sigue pagando 82,5 veces el beneficio; el segundo, que los flujos se descuentan al 8,5 %. Cerrar esa distancia exigiría crecer un 22 % anual diez años, y no hay catalizador con fecha que la cierre: la tesis de valor es a varios años y en contra.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(agosto-octubre)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tras dos trimestres de −46 % y margen tras el 19,8 % del 1T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RSNA (Chicago)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nube en EE. UU. frente a Pro Medicus y GE-Intelerad.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nube por encima de 1.200 M en 12 meses confirmarían la tesis de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FY2027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margen operativo por encima del 22 %, si se cumple el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Renovaciones de grandes contratos regionales en Europa y Canadá</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poder de precios frente a GE-Intelerad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(PER de 97 veces el beneficio de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(bajista a 12 meses, PER de 60)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20 %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acción tras unos resultados en línea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que no se recuperan (−46 % dos trimestres seguidos)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sobre el valor intrínseco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contratada de 7.600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 FY2027 por debajo de 1.000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GE HealthCare-Intelerad y Pro Medicus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Satisfacción de clientes líder (KLAS)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perdidos en EE. UU. o Canadá</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se recupera por la inversión en nube y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(3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visto en el 1T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17 %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de ciberseguridad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cifrado (OTAN)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incidente o auditoría negativa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de fundadores y sucesión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Prima de riesgo de 0,5-1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 con el 19 %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primer ejecutivo sin sucesor externo</w:t>
            </w:r>
          </w:p>
        </w:tc>
      </w:tr>
    </w:tbl>
    <w:p>
      <w:pPr>
        <w:spacing w:after="160" w:before="0"/>
      </w:pPr>
    </w:p>
    <w:p>
      <w:pPr>
        <w:pStyle w:val="Heading2"/>
      </w:pPr>
      <w:r>
        <w:t xml:space="preserve">Pre-mortem</w:t>
      </w:r>
    </w:p>
    <w:p>
      <w:pPr>
        <w:spacing w:after="100"/>
      </w:pPr>
      <w:r>
        <w:t xml:space="preserve">Octubre de 2029: la acción ha perdido un 40 %. Los pedidos de 2026 no eran ruido: GE HealthCare, con Intelerad, ganó dos concursos regionales en Canadá y Reino Unido ofreciendo la nube a menor precio junto a sus equipos, y Pro Medicus se quedó las grandes redes de EE. UU. Sectra siguió creciendo, pero al 8-10 % y no al 15-20 %, y el margen operativo se quedó en el 20-21 % porque el coste de operar la nube y la seguridad subió con los clientes. El beneficio por acción creció un 10 % anual, pero el mercado dejó de pagar 80-100 veces y pasó a pagar 50, el nivel de los comparables de software de calidad. Las señales estaban en 2026: dos trimestres de pedidos a la mitad, el flujo operativo del 1T en 3 M y un precio que ya descontaba un 22 % anual durante diez años.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ciberseguridad y la protección de datos de salud: un incidente en la nube de Sectra dañaría a la vez el negocio de imagen y la credibilidad del de cifrado [1]. El segundo asunto es el capital humano: el coste es casi todo personal y la empresa dice invertir en atraer y retener técnicos [1].</w:t>
      </w:r>
    </w:p>
    <w:p>
      <w:pPr>
        <w:pStyle w:val="Heading2"/>
      </w:pPr>
      <w:r>
        <w:t xml:space="preserve">Controversias</w:t>
      </w:r>
    </w:p>
    <w:p>
      <w:pPr>
        <w:spacing w:after="100"/>
      </w:pPr>
      <w:r>
        <w:t xml:space="preserve">No se han encontrado sanciones ni incidentes en los últimos tres años en las fuentes leídas. El único litigio relevante, de patentes en comunicaciones seguras, se cerró a favor de Sectra en FY2025 (110 M)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pedidos de 2026 es calendario de renovaciones y qué parte son concursos perdidos? ¿Cuántos concursos han perdido frente a GE-Intelerad o Pro Medicus?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depende de que los pedidos vuelvan a 8.000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la nube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 un cliente de Sectra One frente a uno de licencia al quinto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EBITDA llega al 29 %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más paga un cliente al pasar a la nube y qué subidas de tarifa han conseguido en las renovaciones?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poder de precios que falta.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operativo del 1T fue de 3 M y cuánto se recuperará en 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beneficio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Secure Communications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resultado operativo tuvo en FY2026 sin el acuerdo de patentes, y hay intención de separarla?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suma de partes.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plan de sucesión del primer ejecutivo cofundador?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 Aktiespararna (comentario a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«Avvakta»: buen negocio pero con poco recorrido a 12 meses a 84 veces el beneficio de este año y 65 el del siguiente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Affärsvärlden (columna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neutral tras el 1T: crecimiento y apalancamiento buenos, churn bajo, pero «seguimos desde la banda» por la valoración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EFN (columnas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atractiva (nube y ciberseguridad), pero un PER de alrededor de 100 durante años es difícil de digerir [51,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(red social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más de un 50 % desde el máximo por el aviso de márgenes del paso al SaaS, unos ven entrada y otros siguen viendo una valoración «para la perfección»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narrativa más seguida pone el valor razonable en 340 SEK, apoyada en la suscripción y la nube; varias advierten del PER de 90 frente a 52 de los pares suecos [55,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cercano a 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a 310,20 SEK el PER de los últimos 12 meses es de unas 97 veces (BPA de 3,21) y el de FY2027 de consenso, 80 [52].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y suscripción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recurrentes de nube crecen un 75 % y el margen ya se recupera (19,8 % en el 1T) [50,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−46 %, pero contra comparables con pedidos gigantes; la cartera contratada sigue en 7.600 M.</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Miedo a la IA en el software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2025-26 coincidió con el castigo general al software por la IA [51]; sin evidencia en las cuentas de Sectra.</w:t>
            </w:r>
          </w:p>
        </w:tc>
      </w:tr>
    </w:tbl>
    <w:p>
      <w:pPr>
        <w:spacing w:after="160" w:before="0"/>
      </w:pPr>
    </w:p>
    <w:p>
      <w:pPr>
        <w:spacing w:after="100"/>
      </w:pPr>
      <w:r>
        <w:t xml:space="preserve">El inversor particular sueco y la prensa de inversión coinciden con los datos en lo esencial: el negocio es bueno y la valoración, extrema. No hay euforia: Aktiespararna y Affärsvärlden recomiendan esperar justo cuando los tres bancos que la cubren dicen Comprar (340-370 SEK), así que el sentimiento particular va contra el de los analistas. El temor que más pesa (pedidos a la baja) es real pero ruidoso; el de la IA no se ve en las cifras.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56 (20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21,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gastos_generales y amortizaciones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(PDF de Cision) no accesible desde la nube; 2) Stock Analysis e Investing: sin desglose anual de amortizaciones; 3) estimación por diferencia con el EBITDA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2) presentación del 1T;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corriente, proveedores y pasivos de contrato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FY2026; 2) Stock Analysis y Fintel; 3) informe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informe de gobierno;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cierre FY2026; 2) Signify y Arizton (sin cuotas por proveedor gratis); 3) KLAS (solo satisfacción)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Signify; 2) Arizton;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votos de la junta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2025/26 (no accesible); 2) acta de la junta de 2026 (solo nota de prensa); 3) prensa sueca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Finansinspektionen (no accesible); 2) Affärsvärlden; 3) búsqueda «Sectra insynshandel»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 historial de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dirección; 2) informe anual;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(Sectra no publica guía anual)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a Yahoo); 2) búsqueda de históricos en Nasdaq y Börsdata; 3) agregadores sin series fechadas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cada ejercicio (30 de abril)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2) informe anual («börskurs vid årets slut»); 3) Yahoo, TipRanks y finanzen.net sin fechas de abril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2) Nordnet y Affärsvärlden (sin dato en la búsqueda); 3) StockInvest y MarketScreener: cierre del 9-oct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Placera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y Stocktwits; 2) Placera forum y Flashback; 3)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sin red para abrir los foros, solo resultados de búsqueda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Sectra's year-end report 2025/2026: Long-term investments drive growth and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 AB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https://mb.cision.com/Main/1263/4358145/4135325.pdf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Sectra's three-month interim report: Growing cloud recurring revenue (1T 2026/27)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https://medical.sectra.com/news-press-releases/news-item/387F388EA06CF4B5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2024/2025: Reporting solid growth in a time of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https://sectra.com/news-and-press-releases/news-item/B25E9F6BE58D2EAB/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2023/2024: Cloud recurring revenue up more than 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https://sectra.com/news-and-press-releases/news-item/C8A60D4EDFB47A3A/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Financials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https://in.investing.com/equities/sectra-ab-financial-summary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(SECT) Q1 26/27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https://quartr.com/events/sectra-sect-q1-26-27_3sKcfSRQ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six-month interim report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https://investor.sectra.com/sectras-six-month-report-20205_20261212/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(publ): quarterly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https://www.roic.ai/quote/0A0L.IL/classic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B: bolagssida (orderingång, kalender)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https://www.affarsvarlden.se/aktie/sectra-b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(STO:SECT.B)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https://stockanalysis.com/quote/sto/SECT.B/statistics/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Opportunities for Growth in the Imaging IT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IT Market Insights – Free Infographic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https://signifyresearch.net/?p=7243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PACS Market - Focused Insights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https://www.arizton.com/market-reports/us-picture-archiving-and-communication-system-market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completes Intelerad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(Business Wire,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https://www.biospace.com/press-releases/ge-healthcare-completes-intelerad-acquisition-accelerating-shift-to-cloud-first-enterprise-solutions-to-deliver-precision-care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Annual Report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https://announcements.asx.com.au/asxpdf/20260818/pdf/072w8h7mqc909z.pdf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Group in 2025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(finanznachrichten.de)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https://www.finanznachrichten.de/nachrichten-2026-03/67913103-agfa-gevaert-group-in-2025-strong-q4-profitability-and-free-cash-flow-good-step-up-in-fy-profitability-in-healthcare-it-and-digital-print-chemica-399.htm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nine-month interim report 2023/2024: The industry's most satisfied customers for the eleventh consecutive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https://investor.sectra.com/news-and-press-releases/news-item/59C759684E5D5F6A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beställer lösning från Sectra för säker kommunikation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https://mfn.se/all/a/sectra/nato-bestaller-losning-fran-sectra-for-saker-kommunikation-av-sakerhetsklassificerad-information-1a8372b0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Beställningar till Sectra för säker kommunikation till ett värde av 120 MSEK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https://mfn.se/all/a/sectra/bestallningar-till-sectra-for-saker-kommunikation-till-ett-varde-av-120-msek-fran-svenska-myndigheter-bad10d25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Sectra justify its valuation on its Brazil cloud hospital push?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https://www.webull.com/news/15715477872444416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invest in Sectra: shareholders (a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https://investor.sectra.com/governance/executive-management/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from Sectra's 2026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https://investor.sectra.com/news-and-press-releases/news-item/93FEE2DD92012B71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corporate governance report (cláusula de tanteo de las acciones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https://investor.sectra.com/170627_sectra_corporate_governance_report_june_29_2017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VD vill ”bli som Apple” – och förvånas över att aktien rasar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https://www.affarsvarlden.se/artikel/sectras-vd-vill-bli-som-apple-och-forvanas-over-att-aktien-rasar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Data Forecasts Estimates (cierre del 9-oct-2026, 310,20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https://www.marketscreener.com/quote/stock/SECTRA-AB-60037704/finances/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https://www.marketscreener.com/quote/stock/SECTRA-AB-128528588/valuation/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(publ): previsión y cotización (cierre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StockInvest.us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https://stockinvest.us/stock/SECT-B.ST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Marknadsnyheter 31 augusti 2026 (SEB höjer riktkursen för Sectra till 370 kr)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MarketMate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https://www.marketmate.se/?p=114293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of the Average Target: Sectra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https://www.marketscreener.com/quote/stock/SECTRA-AB-172175613/consensus/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https://www.marketscreener.com/quote/stock/DOXIMITY-INC-124007887/finances/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Craneware: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https://www.marketscreener.com/quote/stock/CRANEWARE-PLC-4007384/finances/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WiseTech Global: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https://www.marketscreener.com/quote/stock/WISETECH-GLOBAL-LIMITED-27114123/finances/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https://www.marketscreener.com/quote/stock/TECHNOLOGY-ONE-LIMITED-6491442/finances/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informe de análisis del 12-oct-2026 (múltiplos al cierre del 12-oct)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del repo (datos de MarketScreener y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https://github.com/HotisS/analisis-inversion/tree/main/informes/pro-medicus-2026-10-12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accelerates industry cloud strategy for healthcare with the acquisition of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https://news.microsoft.com/2021/04/12/microsoft-accelerates-industry-cloud-strategy-for-healthcare-with-the-acquisition-of-nuance/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to be acquired by Nordic Capital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https://www.sec.gov/Archives/edgar/data/1619954/000161995421000116/ex-991x08192021.htm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to acquire Cerner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https://www.sec.gov/Archives/edgar/data/1341439/000119312521362532/d276733dex991.htm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enters into Scheme Implementation Agreement with Lunit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https://announcements.asx.com.au/asxpdf/20231214/pdf/05yjxz43x7cx9d.pdf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(OSTO:SECT B) Stock Price / 52-week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https://www.chartmill.com/stock/quote/SECTB.ST/profile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Aktie: Kursziel und Dividende (ISIN SE0022419784)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https://aktien.guide/kursziel/Sectra-SE0022419784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förväntad vinst och P/E (Aktiespararna sätter avvakta)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https://www.placera.se/telegram/sectra-aktiespararna-satter-avvakta-pa-sectra--ser-begransad-uppsida-20260902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Blomgren: Sectra imponerar men svårsmält värdering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https://efn.se/martin-blomgren-sectra-imponerar-men-svarsmalt-vardering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 Hedlund: Sectra är ett fint bolag men en dyr aktie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https://efn.se/peter-hedlund-sectra-ar-ett-fint-bolag-men-en-dyr-aktie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 lockas inte av Sectra, neutralt råd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https://www.placera.se/telegram/sectra-affarsvarlden-lockas-inte-av-sectra-neutralt-rad-20260904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comentario sobre la caída tras el aviso de margen (publicación de usuario)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https://app.getquin.com/en/post/kTWRQqCsZR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Transition to SaaS model promises long-term revenue stability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https://simplywall.st/community/narratives/se/healthcare/sto-sect-b/sectra-shares/imaging-it-subscriptions-and-cloud-growth-fuel-profits-driving-expansion-in-healthcare-it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(OM:SECT B) approved a special dividend and posted strong earnings, is it too pricey?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https://www.webull.com/news/15548628484009984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76,4 %</w:t>
      </w:r>
      <w:r>
        <w:t xml:space="preserve"> · Secciones con menos del 60 % de campos cubiertos: </w:t>
      </w:r>
      <w:r>
        <w:rPr>
          <w:b/>
          <w:bCs/>
        </w:rPr>
        <w:t xml:space="preserve">capital, directivos, gobierno, bolsa, multiplos_historicos, calidad</w:t>
      </w:r>
      <w:r>
        <w:t xml:space="preserve"> · Generado el 14 oct 2026.</w:t>
      </w:r>
    </w:p>
    <w:p>
      <w:pPr>
        <w:pStyle w:val="Nota"/>
        <w:spacing w:after="100"/>
      </w:pPr>
      <w:r>
        <w:t xml:space="preserve">Análisis hecho desde la nube con la red limitada a la búsqueda web: la web de Sectra, Cision, Nasdaq y los proveedores de datos no se pudieron abrir, así que las cifras salen de los extractos de búsqueda de los comunicados de resultados, de Stock Analysis, Investing y MarketScreener y de la prensa sueca, cruzadas cuando fue posible; la confianza es menor que en un análisis normal. Ejercicio de mayo a abril, etiquetado por el año en que termina (FY2026 = may-2025 a abr-2026). Línea cotizada: acciones B (SECT B) en Nasdaq Stockholm; las A (diez votos) no cotizan. Precio: cierre del 9-oct-2026 (310,20 SEK), el último verificable [28, 30]. Estimaciones propias marcadas: amortizaciones (2,7 % de las ventas), resultado antes de impuestos con un tipo del 21,5 % y dividendos pagados (DPA × acciones). Sin precios de cierre de cada ejercicio: el PER histórico de la regla a 12 meses es una estimación a partir de los PER publicados por la prensa y los proveedores (ver valoración). Comparables de Pro Medicus (MarketScreener a 12-oct) pasados a SEK con el tipo del BCE del 9-oct [40, 41].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Sectra AB (publ) (SECT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310,20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Hoja1!$B$2:$B$9</c:f>
              <c:numCache>
                <c:formatCode>#,##0</c:formatCode>
                <c:ptCount val="8"/>
                <c:pt idx="0">
                  <c:v>173.3</c:v>
                </c:pt>
                <c:pt idx="1">
                  <c:v>340</c:v>
                </c:pt>
                <c:pt idx="2">
                  <c:v>153.21</c:v>
                </c:pt>
                <c:pt idx="3">
                  <c:v>152.29</c:v>
                </c:pt>
                <c:pt idx="4">
                  <c:v>96.96</c:v>
                </c:pt>
                <c:pt idx="5">
                  <c:v>68.4</c:v>
                </c:pt>
                <c:pt idx="6">
                  <c:v>125.69</c:v>
                </c:pt>
                <c:pt idx="7">
                  <c:v>308.65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Hoja1!$C$2:$C$9</c:f>
              <c:numCache>
                <c:formatCode>#,##0</c:formatCode>
                <c:ptCount val="8"/>
                <c:pt idx="0">
                  <c:v>169.7</c:v>
                </c:pt>
                <c:pt idx="1">
                  <c:v>30</c:v>
                </c:pt>
                <c:pt idx="2">
                  <c:v>59.81999999999999</c:v>
                </c:pt>
                <c:pt idx="3">
                  <c:v>66</c:v>
                </c:pt>
                <c:pt idx="4">
                  <c:v>29.55000000000001</c:v>
                </c:pt>
                <c:pt idx="5">
                  <c:v>77.47999999999999</c:v>
                </c:pt>
                <c:pt idx="6">
                  <c:v>29.319999999999993</c:v>
                </c:pt>
                <c:pt idx="7">
                  <c:v>3.1000000000000227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Imaging IT Solutions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3057.4</c:v>
                </c:pt>
              </c:numCache>
            </c:numRef>
          </c:val>
        </c:ser>
        <c:ser>
          <c:idx val="1"/>
          <c:order val="1"/>
          <c:tx>
            <c:strRef>
              <c:f>Hoja1!$C$1</c:f>
              <c:strCache>
                <c:ptCount val="1"/>
                <c:pt idx="0">
                  <c:v>Secure Communications y otros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484.3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Imaging IT Solutions</c:v>
                </c:pt>
                <c:pt idx="1">
                  <c:v>Secure Communications y otros</c:v>
                </c:pt>
              </c:strCache>
            </c:strRef>
          </c:cat>
          <c:val>
            <c:numRef>
              <c:f>Hoja1!$B$2:$B$3</c:f>
              <c:numCache>
                <c:formatCode>General</c:formatCode>
                <c:ptCount val="2"/>
                <c:pt idx="0">
                  <c:v>86.3</c:v>
                </c:pt>
                <c:pt idx="1">
                  <c:v>13.7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SEK (Signify, imagen médica IT mundial; 2022, 2023 y 2028e publicados, el resto interpolado al 3,7 % anual; a 9,969 SEK/USD))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2024e</c:v>
                </c:pt>
                <c:pt idx="3">
                  <c:v>2025e</c:v>
                </c:pt>
                <c:pt idx="4">
                  <c:v>2026e</c:v>
                </c:pt>
                <c:pt idx="5">
                  <c:v>2027e</c:v>
                </c:pt>
                <c:pt idx="6">
                  <c:v>2028e</c:v>
                </c:pt>
              </c:strCache>
            </c:strRef>
          </c:cat>
          <c:val>
            <c:numRef>
              <c:f>Hoja1!$B$2:$B$8</c:f>
              <c:numCache>
                <c:formatCode>#,##0</c:formatCode>
                <c:ptCount val="7"/>
                <c:pt idx="0">
                  <c:v>51839</c:v>
                </c:pt>
                <c:pt idx="1">
                  <c:v>54830</c:v>
                </c:pt>
                <c:pt idx="2">
                  <c:v>56858</c:v>
                </c:pt>
                <c:pt idx="3">
                  <c:v>58974</c:v>
                </c:pt>
                <c:pt idx="4">
                  <c:v>61157</c:v>
                </c:pt>
                <c:pt idx="5">
                  <c:v>63429</c:v>
                </c:pt>
                <c:pt idx="6">
                  <c:v>65795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Sectra</c:v>
                </c:pt>
                <c:pt idx="1">
                  <c:v>Pro Medicus (Visage)</c:v>
                </c:pt>
                <c:pt idx="2">
                  <c:v>Agfa HealthCare IT</c:v>
                </c:pt>
                <c:pt idx="3">
                  <c:v>GE HealthCare (con Intelerad)</c:v>
                </c:pt>
                <c:pt idx="4">
                  <c:v>Philips (Enterprise Imaging)</c:v>
                </c:pt>
                <c:pt idx="5">
                  <c:v>Fujifilm (Synapse)</c:v>
                </c:pt>
              </c:strCache>
            </c:strRef>
          </c:cat>
          <c:val>
            <c:numRef>
              <c:f>Hoja1!$B$2:$B$7</c:f>
              <c:numCache>
                <c:formatCode>0.0"%"</c:formatCode>
                <c:ptCount val="6"/>
                <c:pt idx="0">
                  <c:v>20.1</c:v>
                </c:pt>
                <c:pt idx="1">
                  <c:v>74.9</c:v>
                </c:pt>
                <c:pt idx="2">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1949</c:v>
                </c:pt>
                <c:pt idx="1">
                  <c:v>2350.8</c:v>
                </c:pt>
                <c:pt idx="2">
                  <c:v>2963.6</c:v>
                </c:pt>
                <c:pt idx="3">
                  <c:v>3239.8</c:v>
                </c:pt>
                <c:pt idx="4">
                  <c:v>3541.7</c:v>
                </c:pt>
                <c:pt idx="5">
                  <c:v>4144</c:v>
                </c:pt>
                <c:pt idx="6">
                  <c:v>4682</c:v>
                </c:pt>
                <c:pt idx="7">
                  <c:v>5151</c:v>
                </c:pt>
                <c:pt idx="8">
                  <c:v>5563</c:v>
                </c:pt>
                <c:pt idx="9">
                  <c:v>5952</c:v>
                </c:pt>
                <c:pt idx="10">
                  <c:v>6309</c:v>
                </c:pt>
                <c:pt idx="11">
                  <c:v>6625</c:v>
                </c:pt>
                <c:pt idx="12">
                  <c:v>6923</c:v>
                </c:pt>
                <c:pt idx="13">
                  <c:v>7200</c:v>
                </c:pt>
                <c:pt idx="14">
                  <c:v>7452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436</c:v>
                </c:pt>
                <c:pt idx="1">
                  <c:v>519.2</c:v>
                </c:pt>
                <c:pt idx="2">
                  <c:v>597.8</c:v>
                </c:pt>
                <c:pt idx="3">
                  <c:v>590.5</c:v>
                </c:pt>
                <c:pt idx="4">
                  <c:v>806.2</c:v>
                </c:pt>
                <c:pt idx="5">
                  <c:v>1015</c:v>
                </c:pt>
                <c:pt idx="6">
                  <c:v>1194</c:v>
                </c:pt>
                <c:pt idx="7">
                  <c:v>1365</c:v>
                </c:pt>
                <c:pt idx="8">
                  <c:v>1530</c:v>
                </c:pt>
                <c:pt idx="9">
                  <c:v>1667</c:v>
                </c:pt>
                <c:pt idx="10">
                  <c:v>1798</c:v>
                </c:pt>
                <c:pt idx="11">
                  <c:v>1921</c:v>
                </c:pt>
                <c:pt idx="12">
                  <c:v>2008</c:v>
                </c:pt>
                <c:pt idx="13">
                  <c:v>2088</c:v>
                </c:pt>
                <c:pt idx="14">
                  <c:v>2161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22.4</c:v>
                </c:pt>
                <c:pt idx="1">
                  <c:v>22.1</c:v>
                </c:pt>
                <c:pt idx="2">
                  <c:v>20.2</c:v>
                </c:pt>
                <c:pt idx="3">
                  <c:v>18.2</c:v>
                </c:pt>
                <c:pt idx="4">
                  <c:v>22.8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19.7</c:v>
                </c:pt>
                <c:pt idx="1">
                  <c:v>19.4</c:v>
                </c:pt>
                <c:pt idx="2">
                  <c:v>17.5</c:v>
                </c:pt>
                <c:pt idx="3">
                  <c:v>15.5</c:v>
                </c:pt>
                <c:pt idx="4">
                  <c:v>20.1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16.2</c:v>
                </c:pt>
                <c:pt idx="1">
                  <c:v>16</c:v>
                </c:pt>
                <c:pt idx="2">
                  <c:v>14.5</c:v>
                </c:pt>
                <c:pt idx="3">
                  <c:v>14.7</c:v>
                </c:pt>
                <c:pt idx="4">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4T25</c:v>
                </c:pt>
                <c:pt idx="1">
                  <c:v>1T26</c:v>
                </c:pt>
                <c:pt idx="2">
                  <c:v>2T26</c:v>
                </c:pt>
                <c:pt idx="3">
                  <c:v>3T26</c:v>
                </c:pt>
                <c:pt idx="4">
                  <c:v>4T26</c:v>
                </c:pt>
                <c:pt idx="5">
                  <c:v>1T27</c:v>
                </c:pt>
              </c:strCache>
            </c:strRef>
          </c:cat>
          <c:val>
            <c:numRef>
              <c:f>Hoja1!$B$2:$B$7</c:f>
              <c:numCache>
                <c:formatCode>0.0"%"</c:formatCode>
                <c:ptCount val="6"/>
                <c:pt idx="4">
                  <c:v>13</c:v>
                </c:pt>
                <c:pt idx="5">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2">
                  <c:v>70</c:v>
                </c:pt>
                <c:pt idx="3">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586.8</c:v>
                </c:pt>
                <c:pt idx="1">
                  <c:v>403.5</c:v>
                </c:pt>
                <c:pt idx="2">
                  <c:v>147.8</c:v>
                </c:pt>
                <c:pt idx="3">
                  <c:v>887.6</c:v>
                </c:pt>
                <c:pt idx="4">
                  <c:v>1011.8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314.8</c:v>
                </c:pt>
                <c:pt idx="1">
                  <c:v>375</c:v>
                </c:pt>
                <c:pt idx="2">
                  <c:v>428.4</c:v>
                </c:pt>
                <c:pt idx="3">
                  <c:v>475.6</c:v>
                </c:pt>
                <c:pt idx="4">
                  <c:v>563.8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110.6</c:v>
                </c:pt>
                <c:pt idx="1">
                  <c:v>96.2</c:v>
                </c:pt>
                <c:pt idx="2">
                  <c:v>65.7</c:v>
                </c:pt>
                <c:pt idx="3">
                  <c:v>55.3</c:v>
                </c:pt>
                <c:pt idx="4">
                  <c:v>104.6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29.1</c:v>
                </c:pt>
                <c:pt idx="1">
                  <c:v>31.5</c:v>
                </c:pt>
                <c:pt idx="2">
                  <c:v>29.9</c:v>
                </c:pt>
                <c:pt idx="3">
                  <c:v>27.3</c:v>
                </c:pt>
                <c:pt idx="4">
                  <c:v>27.8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-1.86</c:v>
                </c:pt>
                <c:pt idx="1">
                  <c:v>-1.59</c:v>
                </c:pt>
                <c:pt idx="2">
                  <c:v>-1.35</c:v>
                </c:pt>
                <c:pt idx="3">
                  <c:v>-2.12</c:v>
                </c:pt>
                <c:pt idx="4">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212</c:v>
                </c:pt>
                <c:pt idx="2">
                  <c:v>212</c:v>
                </c:pt>
                <c:pt idx="3">
                  <c:v>212</c:v>
                </c:pt>
                <c:pt idx="4">
                  <c:v>404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3</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Torbjörn Kronander</c:v>
                </c:pt>
                <c:pt idx="1">
                  <c:v>Jan-Olof Brüer</c:v>
                </c:pt>
                <c:pt idx="2">
                  <c:v>Frithjof Qvigstad</c:v>
                </c:pt>
                <c:pt idx="3">
                  <c:v>Shannon AB (Kronander y Brüer)</c:v>
                </c:pt>
              </c:strCache>
            </c:strRef>
          </c:cat>
          <c:val>
            <c:numRef>
              <c:f>Hoja1!$B$2:$B$5</c:f>
              <c:numCache>
                <c:formatCode>0.0"%"</c:formatCode>
                <c:ptCount val="4"/>
                <c:pt idx="0">
                  <c:v>8</c:v>
                </c:pt>
                <c:pt idx="1">
                  <c:v>7.9</c:v>
                </c:pt>
                <c:pt idx="2">
                  <c:v>5.6</c:v>
                </c:pt>
                <c:pt idx="3">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Sectra</c:v>
                </c:pt>
                <c:pt idx="1">
                  <c:v>Pro Medicus</c:v>
                </c:pt>
                <c:pt idx="2">
                  <c:v>Veeva Systems</c:v>
                </c:pt>
                <c:pt idx="3">
                  <c:v>Doximity</c:v>
                </c:pt>
                <c:pt idx="4">
                  <c:v>Craneware</c:v>
                </c:pt>
                <c:pt idx="5">
                  <c:v>WiseTech Global</c:v>
                </c:pt>
                <c:pt idx="6">
                  <c:v>Xero</c:v>
                </c:pt>
                <c:pt idx="7">
                  <c:v>TechnologyOne</c:v>
                </c:pt>
                <c:pt idx="8">
                  <c:v>Nemetschek</c:v>
                </c:pt>
              </c:strCache>
            </c:strRef>
          </c:cat>
          <c:val>
            <c:numRef>
              <c:f>Hoja1!$B$2:$B$10</c:f>
              <c:numCache>
                <c:formatCode>0.0"x"</c:formatCode>
                <c:ptCount val="9"/>
                <c:pt idx="1">
                  <c:v>60.5</c:v>
                </c:pt>
                <c:pt idx="2">
                  <c:v>23.3</c:v>
                </c:pt>
                <c:pt idx="3">
                  <c:v>15.5</c:v>
                </c:pt>
                <c:pt idx="4">
                  <c:v>9.7</c:v>
                </c:pt>
                <c:pt idx="5">
                  <c:v>12.9</c:v>
                </c:pt>
                <c:pt idx="6">
                  <c:v>13</c:v>
                </c:pt>
                <c:pt idx="7">
                  <c:v>27.7</c:v>
                </c:pt>
                <c:pt idx="8">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Pro Medicus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38.2</c:v>
                </c:pt>
              </c:numCache>
            </c:numRef>
          </c:xVal>
          <c:yVal>
            <c:numRef>
              <c:f>Hoja1!$C$2</c:f>
              <c:numCache>
                <c:formatCode>0.0"x"</c:formatCode>
                <c:ptCount val="1"/>
                <c:pt idx="0">
                  <c:v>60.5</c:v>
                </c:pt>
              </c:numCache>
            </c:numRef>
          </c:yVal>
          <c:smooth val="0"/>
        </c:ser>
        <c:ser>
          <c:idx val="1"/>
          <c:order val="1"/>
          <c:tx>
            <c:strRef>
              <c:f>Hoja1!$A$3</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13.1</c:v>
                </c:pt>
              </c:numCache>
            </c:numRef>
          </c:xVal>
          <c:yVal>
            <c:numRef>
              <c:f>Hoja1!$C$3</c:f>
              <c:numCache>
                <c:formatCode>0.0"x"</c:formatCode>
                <c:ptCount val="1"/>
                <c:pt idx="0">
                  <c:v>23.3</c:v>
                </c:pt>
              </c:numCache>
            </c:numRef>
          </c:yVal>
          <c:smooth val="0"/>
        </c:ser>
        <c:ser>
          <c:idx val="2"/>
          <c:order val="2"/>
          <c:tx>
            <c:strRef>
              <c:f>Hoja1!$A$4</c:f>
              <c:strCache>
                <c:ptCount val="1"/>
                <c:pt idx="0">
                  <c:v>Doximity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5.9</c:v>
                </c:pt>
              </c:numCache>
            </c:numRef>
          </c:xVal>
          <c:yVal>
            <c:numRef>
              <c:f>Hoja1!$C$4</c:f>
              <c:numCache>
                <c:formatCode>0.0"x"</c:formatCode>
                <c:ptCount val="1"/>
                <c:pt idx="0">
                  <c:v>15.5</c:v>
                </c:pt>
              </c:numCache>
            </c:numRef>
          </c:yVal>
          <c:smooth val="0"/>
        </c:ser>
        <c:ser>
          <c:idx val="3"/>
          <c:order val="3"/>
          <c:tx>
            <c:strRef>
              <c:f>Hoja1!$A$5</c:f>
              <c:strCache>
                <c:ptCount val="1"/>
                <c:pt idx="0">
                  <c:v>Craneware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WiseTech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c:v>
                </c:pt>
              </c:numCache>
            </c:numRef>
          </c:xVal>
          <c:yVal>
            <c:numRef>
              <c:f>Hoja1!$C$6</c:f>
              <c:numCache>
                <c:formatCode>0.0"x"</c:formatCode>
                <c:ptCount val="1"/>
                <c:pt idx="0">
                  <c:v>12.9</c:v>
                </c:pt>
              </c:numCache>
            </c:numRef>
          </c:yVal>
          <c:smooth val="0"/>
        </c:ser>
        <c:ser>
          <c:idx val="5"/>
          <c:order val="5"/>
          <c:tx>
            <c:strRef>
              <c:f>Hoja1!$A$7</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25.8</c:v>
                </c:pt>
              </c:numCache>
            </c:numRef>
          </c:xVal>
          <c:yVal>
            <c:numRef>
              <c:f>Hoja1!$C$7</c:f>
              <c:numCache>
                <c:formatCode>0.0"x"</c:formatCode>
                <c:ptCount val="1"/>
                <c:pt idx="0">
                  <c:v>13</c:v>
                </c:pt>
              </c:numCache>
            </c:numRef>
          </c:yVal>
          <c:smooth val="0"/>
        </c:ser>
        <c:ser>
          <c:idx val="6"/>
          <c:order val="6"/>
          <c:tx>
            <c:strRef>
              <c:f>Hoja1!$A$8</c:f>
              <c:strCache>
                <c:ptCount val="1"/>
                <c:pt idx="0">
                  <c:v>TechnologyOne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15.5</c:v>
                </c:pt>
              </c:numCache>
            </c:numRef>
          </c:xVal>
          <c:yVal>
            <c:numRef>
              <c:f>Hoja1!$C$8</c:f>
              <c:numCache>
                <c:formatCode>0.0"x"</c:formatCode>
                <c:ptCount val="1"/>
                <c:pt idx="0">
                  <c:v>27.7</c:v>
                </c:pt>
              </c:numCache>
            </c:numRef>
          </c:yVal>
          <c:smooth val="0"/>
        </c:ser>
        <c:ser>
          <c:idx val="7"/>
          <c:order val="7"/>
          <c:tx>
            <c:strRef>
              <c:f>Hoja1!$A$9</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20.9</c:v>
                </c:pt>
              </c:numCache>
            </c:numRef>
          </c:xVal>
          <c:yVal>
            <c:numRef>
              <c:f>Hoja1!$C$9</c:f>
              <c:numCache>
                <c:formatCode>0.0"x"</c:formatCode>
                <c:ptCount val="1"/>
                <c:pt idx="0">
                  <c:v>14.7</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Nuance Communications (IA clínica y dictado radiológico)</c:v>
                </c:pt>
                <c:pt idx="1">
                  <c:v>Inovalon (datos y software sanitario)</c:v>
                </c:pt>
                <c:pt idx="2">
                  <c:v>Cerner (historia clínica electrónica)</c:v>
                </c:pt>
                <c:pt idx="3">
                  <c:v>Volpara Health (IA para imagen mamaria)</c:v>
                </c:pt>
                <c:pt idx="4">
                  <c:v>Intelerad (PACS en la nube)</c:v>
                </c:pt>
              </c:strCache>
            </c:strRef>
          </c:cat>
          <c:val>
            <c:numRef>
              <c:f>Hoja1!$B$2:$B$6</c:f>
              <c:numCache>
                <c:formatCode>0.0"x"</c:formatCode>
                <c:ptCount val="5"/>
                <c:pt idx="1">
                  <c:v>39.1</c:v>
                </c:pt>
                <c:pt idx="2">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717</c:v>
                </c:pt>
                <c:pt idx="1">
                  <c:v>847</c:v>
                </c:pt>
                <c:pt idx="2">
                  <c:v>973</c:v>
                </c:pt>
                <c:pt idx="3">
                  <c:v>1094</c:v>
                </c:pt>
                <c:pt idx="4">
                  <c:v>1194</c:v>
                </c:pt>
                <c:pt idx="5">
                  <c:v>1290</c:v>
                </c:pt>
                <c:pt idx="6">
                  <c:v>1381</c:v>
                </c:pt>
                <c:pt idx="7">
                  <c:v>1429</c:v>
                </c:pt>
                <c:pt idx="8">
                  <c:v>1486</c:v>
                </c:pt>
                <c:pt idx="9">
                  <c:v>1538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7701</c:v>
                </c:pt>
                <c:pt idx="1">
                  <c:v>12065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310,20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68.4</c:v>
                </c:pt>
                <c:pt idx="1">
                  <c:v>109.32</c:v>
                </c:pt>
                <c:pt idx="2">
                  <c:v>145.88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310,20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Hoja1!$B$2:$B$9</c:f>
              <c:numCache>
                <c:formatCode>#,##0</c:formatCode>
                <c:ptCount val="8"/>
                <c:pt idx="0">
                  <c:v>173.3</c:v>
                </c:pt>
                <c:pt idx="1">
                  <c:v>340</c:v>
                </c:pt>
                <c:pt idx="2">
                  <c:v>153.21</c:v>
                </c:pt>
                <c:pt idx="3">
                  <c:v>152.29</c:v>
                </c:pt>
                <c:pt idx="4">
                  <c:v>96.96</c:v>
                </c:pt>
                <c:pt idx="5">
                  <c:v>68.4</c:v>
                </c:pt>
                <c:pt idx="6">
                  <c:v>125.69</c:v>
                </c:pt>
                <c:pt idx="7">
                  <c:v>308.65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(173,30 – 343,00)</c:v>
                </c:pt>
                <c:pt idx="1">
                  <c:v>Precio objetivo de los analistas (340,00 – 370,00)</c:v>
                </c:pt>
                <c:pt idx="2">
                  <c:v>Comparables: PER NTM (153,21 – 213,03)</c:v>
                </c:pt>
                <c:pt idx="3">
                  <c:v>Transacciones precedentes (EV/ventas) (152,29 – 218,29)</c:v>
                </c:pt>
                <c:pt idx="4">
                  <c:v>DCF (WACC y g ± 0,5) (96,96 – 126,51)</c:v>
                </c:pt>
                <c:pt idx="5">
                  <c:v>Escenarios (bajista – alcista) (68,40 – 145,88)</c:v>
                </c:pt>
                <c:pt idx="6">
                  <c:v>DCF con la prima implícita del mercado (4,2 %)</c:v>
                </c:pt>
                <c:pt idx="7">
                  <c:v>Precio actual (310,20)</c:v>
                </c:pt>
              </c:strCache>
            </c:strRef>
          </c:cat>
          <c:val>
            <c:numRef>
              <c:f>Hoja1!$C$2:$C$9</c:f>
              <c:numCache>
                <c:formatCode>#,##0</c:formatCode>
                <c:ptCount val="8"/>
                <c:pt idx="0">
                  <c:v>169.7</c:v>
                </c:pt>
                <c:pt idx="1">
                  <c:v>30</c:v>
                </c:pt>
                <c:pt idx="2">
                  <c:v>59.81999999999999</c:v>
                </c:pt>
                <c:pt idx="3">
                  <c:v>66</c:v>
                </c:pt>
                <c:pt idx="4">
                  <c:v>29.55000000000001</c:v>
                </c:pt>
                <c:pt idx="5">
                  <c:v>77.47999999999999</c:v>
                </c:pt>
                <c:pt idx="6">
                  <c:v>29.319999999999993</c:v>
                </c:pt>
                <c:pt idx="7">
                  <c:v>3.1000000000000227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