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Siemens Healthineers AG</w:t>
      </w:r>
    </w:p>
    <w:p>
      <w:pPr>
        <w:spacing w:after="60"/>
        <w:rPr>
          <w:color w:val="52514E"/>
          <w:sz w:val="22"/>
          <w:szCs w:val="22"/>
        </w:rPr>
      </w:pPr>
      <w:r>
        <w:rPr>
          <w:color w:val="52514E"/>
          <w:sz w:val="22"/>
          <w:szCs w:val="22"/>
        </w:rPr>
        <w:t xml:space="preserve">SHL · Xetra (Fráncfort) · ISIN DE000SHL1006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37,67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46,23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+25,4 % (base +25,4 %)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41,95 EUR · mercado 53,58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42.492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Siemens Healthineers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SHL / DE000SHL1006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médicos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Erlangen · 2018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https://www.siemens-healthineers.com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37,67 (27 sep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32,84 – 49,41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42.492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54.492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46,23 EUR</w:t>
      </w:r>
      <w:r>
        <w:t xml:space="preserve"> frente a 37,67 · Rentabilidad a 12 meses </w:t>
      </w:r>
      <w:r>
        <w:rPr>
          <w:b/>
          <w:bCs/>
        </w:rPr>
        <w:t xml:space="preserve">+25,4 % (base +25,4 %)</w:t>
      </w:r>
      <w:r>
        <w:t xml:space="preserve"> · Valor intrínseco 41,95 EUR · con la prima implícita del mercado: 53,58 (+42,2 %) · Alcista / bajista +27,2 % / -25,1 %</w:t>
      </w:r>
    </w:p>
    <w:p>
      <w:pPr>
        <w:spacing w:after="100"/>
      </w:pPr>
      <w:r>
        <w:rPr>
          <w:b/>
        </w:rPr>
        <w:t xml:space="preserve">La recomendación y por qué.</w:t>
      </w:r>
      <w:r>
        <w:t xml:space="preserve"> Mantener, con convicción baja. El objetivo a 12 meses es de 51,62 € (BPA ajustado de FY2028e por el PER de la regla v3, que lleva el múltiplo de 14,9 veces a mitad de camino hacia su mediana adelantada de 23,4), una rentabilidad ponderada del 39,7 % con el dividendo y del 42,6 % en el caso base; el valor intrínseco es de 42,93 € (+14,0 %) y el objetivo medio de los analistas, 45,14 € [28]. La regla a 12 meses da Comprar, pero se queda en Mantener por tres motivos: el precio de referencia (37,67 €) es del 27-sep y no hay cierre de octubre [27]; las cuentas salen de agregadores y no del informe anual, así que la confianza en los datos de núcleo es baja (regla del usuario: confianza baja no puede ser Comprar), y la calidad no llega al listón: el ROIC, estimado en un 8-9 %, apenas supera el WACC del 7,61 %. La convicción subiría con un cierre verificado por debajo de 41,95 € y las cuentas del 5-nov confirmando un BPA ajustado de FY2026 de al menos 2,35 € [1, 33].</w:t>
      </w:r>
    </w:p>
    <w:p>
      <w:pPr>
        <w:spacing w:after="100"/>
      </w:pPr>
      <w:r>
        <w:rPr>
          <w:b/>
        </w:rPr>
        <w:t xml:space="preserve">El negocio.</w:t>
      </w:r>
      <w:r>
        <w:t xml:space="preserve"> Dos negocios buenos y uno malo: Imaging gana un 26,5 % de margen EBIT ajustado y Precision Therapy (Varian) crece un 9,2 % con un 17,5 %, mientras Diagnostics cae un 5,5 % y gana un 4,1 % [1, 12]. La compra de Varian dejó 12.000 M de deuda neta (2,8 veces el EBITDA) y un capital invertido lleno de fondo de comercio, de ahí un ROIC que no crea valor holgado [13]. Sostenibilidad del crecimiento: </w:t>
      </w:r>
      <w:r>
        <w:rPr>
          <w:b/>
        </w:rPr>
        <w:t xml:space="preserve">En parte</w:t>
      </w:r>
      <w:r>
        <w:t xml:space="preserve">. El 4,6 % anual que proyectamos sale de la base instalada y la cartera (book-to-bill de 1,14) sin apenas capital nuevo, pero el margen EBITDA del 20,2 al 22,5 % exige arreglar o segregar Diagnostics y que los aranceles no vuelvan [2, 14].</w:t>
      </w:r>
    </w:p>
    <w:p>
      <w:pPr>
        <w:spacing w:after="100"/>
      </w:pPr>
      <w:r>
        <w:rPr>
          <w:b/>
        </w:rPr>
        <w:t xml:space="preserve">Finanzas.</w:t>
      </w:r>
      <w:r>
        <w:t xml:space="preserve"> Caja libre de 2.714 M en FY2025 (+27 %) y de unos 1.000 M en el 3T26 [3, 13]. La guía de FY2026 se recortó dos veces en ventas (3,5-4,0 % comparable) y la de BPA subió a 2,35-2,45 € gracias a unos 0,15 € de aranceles devueltos, que no se repiten [1, 12]. El BPA ajustado (2,39 € en FY2025) supera al publicado en unos 0,47 €, con ajustes recurrentes [2, 8].</w:t>
      </w:r>
    </w:p>
    <w:p>
      <w:pPr>
        <w:spacing w:after="100"/>
      </w:pPr>
      <w:r>
        <w:rPr>
          <w:b/>
        </w:rPr>
        <w:t xml:space="preserve">Equipo y gobierno.</w:t>
      </w:r>
      <w:r>
        <w:t xml:space="preserve"> Resta: Siemens AG controla un 71 % y preside el consejo con un directivo suyo; la escisión del 30 % a sus accionistas se votará en febrero de 2027 y puede crear presión vendedora antes de mejorar el flotante [19, 24, 25].</w:t>
      </w:r>
    </w:p>
    <w:p>
      <w:pPr>
        <w:spacing w:after="100"/>
      </w:pPr>
      <w:r>
        <w:rPr>
          <w:b/>
        </w:rPr>
        <w:t xml:space="preserve">Valoración.</w:t>
      </w:r>
      <w:r>
        <w:t xml:space="preserve"> El precio descuenta un crecimiento del 2,8 % frente al 4,6 % de nuestro base, con una rentabilidad implícita del 8,2 %: no es exigente. A 37,67 € la acción cotiza a 14,9 veces nuestro BPA ajustado de FY2027e, en línea con GE HealthCare y Philips (13-14 veces) y muy por debajo de su mediana de 23,2 veces [20]. Las reglas discrepan: la relativa da Comprar y la absoluta Mantener, porque el WACC del 7,61 % pesa más que la prima del mercado.</w:t>
      </w:r>
    </w:p>
    <w:p>
      <w:pPr>
        <w:spacing w:after="100"/>
      </w:pPr>
      <w:r>
        <w:rPr>
          <w:b/>
        </w:rPr>
        <w:t xml:space="preserve">Riesgos y catalizadores.</w:t>
      </w:r>
      <w:r>
        <w:t xml:space="preserve"> China en Diagnostics, aranceles y la escisión de Siemens AG son los tres riesgos de más peso; el bajista vale 28,21 €. Catalizadores: resultados y guía de FY2027 el 5-nov-2026 y la decisión sobre Diagnostics [15, 33]. Los foros están divididos: tienen razón en Diagnostics y ven valor tras la caída [37, 40].</w:t>
      </w:r>
    </w:p>
    <w:p>
      <w:pPr>
        <w:spacing w:after="100"/>
      </w:pPr>
      <w:r>
        <w:rPr>
          <w:b/>
        </w:rPr>
        <w:t xml:space="preserve">Qué cambiaría la decisión.</w:t>
      </w:r>
      <w:r>
        <w:t xml:space="preserve"> Compra por debajo de 41,95 € con datos verificados; venta por encima de 58,47 €. Pasaría a Comprar con un precio confirmado bajo ese nivel, cuentas primarias y una guía de FY2027 con BPA ajustado de al menos 2,50 €; a Vender, con un tercer recorte de guía o margen de Diagnostics negativo.</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46,23 EUR</w:t>
      </w:r>
      <w:r>
        <w:t xml:space="preserve"> (rentabilidad +25,4 % (base +25,4 %)) · Valor intrínseco: 41,95 EUR (+11,4 % sobre 37,67) · con la prima implícita del mercado: 53,58 (+42,2 %)</w:t>
      </w:r>
    </w:p>
    <w:p>
      <w:pPr>
        <w:spacing w:after="100"/>
      </w:pPr>
      <w:r>
        <w:t xml:space="preserve">Siemens Healthineers es uno de los tres grandes de la imagen médica y el líder de la radioterapia con Varian: Imaging gana un 26,5 % de margen EBIT ajustado y Precision Therapy crece un 9,2 % [1]. Diagnostics (17 % de las ventas, margen del 4,1 %) y la deuda de Varian (12.000 M) lastran la rentabilidad [13].</w:t>
      </w:r>
    </w:p>
    <w:p>
      <w:pPr>
        <w:spacing w:after="100"/>
      </w:pPr>
      <w:r>
        <w:t xml:space="preserve">El precio descuenta un crecimiento del 2,8 % anual, por debajo del 4,6 % de nuestro base, y 14,9 veces nuestro BPA ajustado de FY2027e, frente a una mediana de 23,2 veces en 2022-2025.</w:t>
      </w:r>
    </w:p>
    <w:p>
      <w:pPr>
        <w:spacing w:after="100"/>
      </w:pPr>
      <w:r>
        <w:t xml:space="preserve">Para invertir hay que creer que el BPA crece un 12 % anual con Diagnostics resuelto y que la escisión de Siemens AG no hunde el múltiplo. Con datos de agregador, no es todavía una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2,54 = 33,27 · 16,4x × 2,82 = 46,25 · 22,1x × 2,97 = 65,64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 / 25,4 %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45,14 (nuestro base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 / -25,1 %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7,6 % y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41,07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41,07 y 52,48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52,48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verificado por debajo de 41,95 € con cuentas primarias y ROIC confirmado: Comprar.</w:t>
      </w:r>
    </w:p>
    <w:p>
      <w:pPr>
        <w:pStyle w:val="ListParagraph"/>
        <w:numPr>
          <w:ilvl w:val="0"/>
          <w:numId w:val="2"/>
        </w:numPr>
        <w:spacing w:after="60"/>
      </w:pPr>
      <w:r>
        <w:t xml:space="preserve">Guía de BPA ajustado de FY2027 por debajo de 2,40 €: revisar a la baja.</w:t>
      </w:r>
    </w:p>
    <w:p>
      <w:pPr>
        <w:pStyle w:val="ListParagraph"/>
        <w:numPr>
          <w:ilvl w:val="0"/>
          <w:numId w:val="2"/>
        </w:numPr>
        <w:spacing w:after="60"/>
      </w:pPr>
      <w:r>
        <w:t xml:space="preserve">Margen de Diagnostics negativo en un trimestre: Vender si el precio supera 42 €.</w:t>
      </w:r>
    </w:p>
    <w:p>
      <w:pPr>
        <w:pStyle w:val="ListParagraph"/>
        <w:numPr>
          <w:ilvl w:val="0"/>
          <w:numId w:val="2"/>
        </w:numPr>
        <w:spacing w:after="60"/>
      </w:pPr>
      <w:r>
        <w:t xml:space="preserve">Precio por encima de 58,47 €: Vender o reducir.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2,8 % y un múltiplo de 14,9 veces, como GE HealthCare y Philips: Diagnostics y la escisión como problemas permanentes.</w:t>
      </w:r>
    </w:p>
    <w:p>
      <w:pPr>
        <w:keepNext/>
        <w:spacing w:after="100"/>
      </w:pPr>
      <w:r>
        <w:rPr>
          <w:b/>
          <w:bCs/>
        </w:rPr>
        <w:t xml:space="preserve">Lo que creemos nosotros.</w:t>
      </w:r>
    </w:p>
    <w:p>
      <w:pPr>
        <w:spacing w:after="100"/>
      </w:pPr>
      <w:r>
        <w:t xml:space="preserve">Crecimiento del 4,6 % y un BPA ajustado de 2,82 € en FY2028e, con Diagnostics segregado o estabilizado.</w:t>
      </w:r>
    </w:p>
    <w:p>
      <w:pPr>
        <w:keepNext/>
        <w:spacing w:after="100"/>
      </w:pPr>
      <w:r>
        <w:rPr>
          <w:b/>
          <w:bCs/>
        </w:rPr>
        <w:t xml:space="preserve">Por qué podemos tener razón.</w:t>
      </w:r>
    </w:p>
    <w:p>
      <w:pPr>
        <w:spacing w:after="100"/>
      </w:pPr>
      <w:r>
        <w:t xml:space="preserve">La cartera de equipos (book-to-bill de 1,14) y Varian sostienen el crecimiento; Diagnostics es 17 % de las ventas y su salida tiene valor positivo [1, 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7,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Imaging rentable</w:t>
      </w:r>
      <w:r>
        <w:t xml:space="preserve">: margen EBIT ajustado del 26,5 % en el 3T26 [1].</w:t>
      </w:r>
    </w:p>
    <w:p>
      <w:pPr>
        <w:pStyle w:val="ListParagraph"/>
        <w:numPr>
          <w:ilvl w:val="0"/>
          <w:numId w:val="2"/>
        </w:numPr>
        <w:spacing w:after="60"/>
      </w:pPr>
      <w:r>
        <w:rPr>
          <w:b/>
        </w:rPr>
        <w:t xml:space="preserve">Varian crece</w:t>
      </w:r>
      <w:r>
        <w:t xml:space="preserve">: Precision Therapy +9,2 % [1].</w:t>
      </w:r>
    </w:p>
    <w:p>
      <w:pPr>
        <w:pStyle w:val="ListParagraph"/>
        <w:numPr>
          <w:ilvl w:val="0"/>
          <w:numId w:val="2"/>
        </w:numPr>
        <w:spacing w:after="60"/>
      </w:pPr>
      <w:r>
        <w:rPr>
          <w:b/>
        </w:rPr>
        <w:t xml:space="preserve">Caja libre</w:t>
      </w:r>
      <w:r>
        <w:t xml:space="preserve">: 2.714 M en FY2025 (+27 %) [3].</w:t>
      </w:r>
    </w:p>
    <w:p>
      <w:pPr>
        <w:pStyle w:val="ListParagraph"/>
        <w:numPr>
          <w:ilvl w:val="0"/>
          <w:numId w:val="2"/>
        </w:numPr>
        <w:spacing w:after="60"/>
      </w:pPr>
      <w:r>
        <w:rPr>
          <w:b/>
        </w:rPr>
        <w:t xml:space="preserve">Múltiplo en mínimos</w:t>
      </w:r>
      <w:r>
        <w:t xml:space="preserve">: 14,9 veces frente a una mediana de 23,2.</w:t>
      </w:r>
    </w:p>
    <w:p>
      <w:pPr>
        <w:pStyle w:val="Heading2"/>
      </w:pPr>
      <w:r>
        <w:t xml:space="preserve">En contra</w:t>
      </w:r>
    </w:p>
    <w:p>
      <w:pPr>
        <w:pStyle w:val="ListParagraph"/>
        <w:numPr>
          <w:ilvl w:val="0"/>
          <w:numId w:val="2"/>
        </w:numPr>
        <w:spacing w:after="60"/>
      </w:pPr>
      <w:r>
        <w:rPr>
          <w:b/>
        </w:rPr>
        <w:t xml:space="preserve">Diagnostics</w:t>
      </w:r>
      <w:r>
        <w:t xml:space="preserve">: −5,5 % y margen del 4,1 % [1].</w:t>
      </w:r>
    </w:p>
    <w:p>
      <w:pPr>
        <w:pStyle w:val="ListParagraph"/>
        <w:numPr>
          <w:ilvl w:val="0"/>
          <w:numId w:val="2"/>
        </w:numPr>
        <w:spacing w:after="60"/>
      </w:pPr>
      <w:r>
        <w:rPr>
          <w:b/>
        </w:rPr>
        <w:t xml:space="preserve">Guía recortada dos veces</w:t>
      </w:r>
      <w:r>
        <w:t xml:space="preserve"> en FY2026 [26].</w:t>
      </w:r>
    </w:p>
    <w:p>
      <w:pPr>
        <w:pStyle w:val="ListParagraph"/>
        <w:numPr>
          <w:ilvl w:val="0"/>
          <w:numId w:val="2"/>
        </w:numPr>
        <w:spacing w:after="60"/>
      </w:pPr>
      <w:r>
        <w:rPr>
          <w:b/>
        </w:rPr>
        <w:t xml:space="preserve">Deuda neta</w:t>
      </w:r>
      <w:r>
        <w:t xml:space="preserve"> de 12.000 M (2,8 veces) [13].</w:t>
      </w:r>
    </w:p>
    <w:p>
      <w:pPr>
        <w:pStyle w:val="ListParagraph"/>
        <w:numPr>
          <w:ilvl w:val="0"/>
          <w:numId w:val="2"/>
        </w:numPr>
        <w:spacing w:after="60"/>
      </w:pPr>
      <w:r>
        <w:rPr>
          <w:b/>
        </w:rPr>
        <w:t xml:space="preserve">ROIC ≈ WACC</w:t>
      </w:r>
      <w:r>
        <w:t xml:space="preserve">: ≈8-9 % frente al 7,61 %.</w:t>
      </w:r>
    </w:p>
    <w:p>
      <w:pPr>
        <w:pStyle w:val="ListParagraph"/>
        <w:numPr>
          <w:ilvl w:val="0"/>
          <w:numId w:val="2"/>
        </w:numPr>
        <w:spacing w:after="60"/>
      </w:pPr>
      <w:r>
        <w:rPr>
          <w:b/>
        </w:rPr>
        <w:t xml:space="preserve">Escisión del 30 %</w:t>
      </w:r>
      <w:r>
        <w:t xml:space="preserve"> pendiente [24].</w:t>
      </w:r>
    </w:p>
    <w:p>
      <w:pPr>
        <w:pStyle w:val="Heading2"/>
      </w:pPr>
      <w:r>
        <w:t xml:space="preserve">Qué tiene que pasar para que la tesis funcione</w:t>
      </w:r>
    </w:p>
    <w:p>
      <w:pPr>
        <w:spacing w:after="100"/>
      </w:pPr>
      <w:r>
        <w:t xml:space="preserve">Que la guía de FY2027 del 5-nov confirme un BPA ajustado de al menos 2,50 € sin aranceles devueltos y que Diagnostics deje de caer. Un tercer recorte de guía rompería la tesis.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recortada dos veces.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Diagnostics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Lastre del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2,35-2,45 €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2,40 € en la guía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Herencia de Varian.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Siemens Healthineers es la antigua división médica de Siemens, que salió a bolsa en Fráncfort en marzo de 2018 con Siemens AG como accionista de control. En 2021 compró Varian, líder en radioterapia, y desde FY2025 reporta tres segmentos: Imaging, Precision Therapy y Diagnostics [1, 14]. En 2026 prepara la segregación jurídica de Diagnostics, mientras Siemens AG prevé repartir un 30 % de las acciones entre sus propios accionistas [14, 17,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Fráncfort (marzo) con Siemens AG como accionista de control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Varian (radioterapia), consolidada desde abril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 AG vende acciones y baja por debajo del 75 %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segmentación: Imaging, Precision Therapy y Diagnostics.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Preparación de la segregación de Diagnostics; recorte de la guía de ventas por China [14,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Votación prevista en la junta de Siemens AG (febrero) de la escisión directa del 30 % de Healthineers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Fabrica y mantiene equipos de diagnóstico por imagen (resonancia, TAC, rayos X, imagen molecular, ultrasonidos), sistemas de radioterapia y de terapias guiadas por imagen (Varian y Advanced Therapies) y analizadores y reactivos de diagnóstico in vitro. Sus clientes son hospitales, redes sanitarias, centros de diagnóstico y laboratorios, públicos y privados, en todo el mundo. En el 3T26 Imaging aportó 3.010 M de ingresos, Precision Therapy 1.750 M y Diagnostics 992 M [1].</w:t>
      </w:r>
    </w:p>
    <w:p>
      <w:pPr>
        <w:pStyle w:val="Heading2"/>
      </w:pPr>
      <w:r>
        <w:t xml:space="preserve">Cómo gana dinero</w:t>
      </w:r>
    </w:p>
    <w:p>
      <w:pPr>
        <w:spacing w:after="100"/>
      </w:pPr>
      <w:r>
        <w:t xml:space="preserve">Vende equipos de alto valor y después cobra servicio, software y consumibles durante su vida útil (10 años o más), lo que hace recurrente una parte grande de los ingresos. El margen depende de la mezcla (Imaging gana un 26,5 % de EBIT ajustado, Diagnostics un 4,1 %), del precio frente a la inflación y de los aranceles: en FY2026 esperaba hasta 500 M de coste por aranceles de EE. UU. [1, 18].</w:t>
      </w:r>
    </w:p>
    <w:p>
      <w:pPr>
        <w:pStyle w:val="Heading2"/>
      </w:pPr>
      <w:r>
        <w:t xml:space="preserve">Segmentos (3T26)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6"/>
        <w:gridCol w:w="1320"/>
        <w:gridCol w:w="1320"/>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Imaging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Precision Therapy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Diagnostics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3T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3T26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Imaging</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Precision Therapy</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Diagnostics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r>
    </w:tbl>
    <w:p>
      <w:pPr>
        <w:spacing w:after="160" w:before="0"/>
      </w:pPr>
    </w:p>
    <w:p>
      <w:pPr>
        <w:pStyle w:val="Heading2"/>
      </w:pPr>
      <w:r>
        <w:t xml:space="preserve">Clientes, recurrencia y poder de precios</w:t>
      </w:r>
    </w:p>
    <w:p>
      <w:pPr>
        <w:spacing w:after="100"/>
      </w:pPr>
      <w:r>
        <w:t xml:space="preserve">Clientes muy repartidos (hospitales y laboratorios), con contratos de servicio plurianuales. El poder de precios se resiente en China por las compras centralizadas con volumen garantizado y las rebajas de reembolsos, que han hundido precios y volúmenes del diagnóstico [16, 18].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Diagnostics −5,5 % comparable por China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 (3T25: 953 M sobre 5.662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devoluciones de aranceles de EE. UU. en todos los segmentos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 por segmento (3T26)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Imaging 26,5 %; Precision Therapy 17,5 %; Diagnostics 4,1 %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Diagnostics es el lastre del grupo [1,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de equipos (FY)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que sostiene el crecimiento de Imaging y Precision Therapy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básico ajustado (FY)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FY2026 2,35-2,45 € con ≈0,15 € de devoluciones de aranceles [1, 2, 6].</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Tecnología médica de diagnóstico por imagen, radioterapia y diagnóstico in vitro, mercado mundial. No se pudo contrastar el tamaño con dos fuentes en este entorno.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la base instalada y envejecimiento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de equipos de 1,14 en FY2025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Diagnostics −5,5 % comparable en el 3T26 [1,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500 M de coste en FY2026, en parte devueltos [1,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fotón-conteo en TAC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Imaging crece y mantiene un margen del 26,5 %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tres grandes en imagen (Siemens Healthineers, GE HealthCare, Philips) con competencia china creciente.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centralizadas en China y presión de presupuestos públicos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especializados, pero la escala da poder de compra.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y de base instalada.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sustitutos de la imagen y la radioterapia.</w:t>
            </w:r>
          </w:p>
        </w:tc>
      </w:tr>
    </w:tbl>
    <w:p>
      <w:pPr>
        <w:spacing w:after="160" w:before="0"/>
      </w:pPr>
    </w:p>
    <w:p>
      <w:pPr>
        <w:pStyle w:val="Heading2"/>
      </w:pPr>
      <w:r>
        <w:t xml:space="preserve">Ciclo</w:t>
      </w:r>
    </w:p>
    <w:p>
      <w:pPr>
        <w:spacing w:after="100"/>
      </w:pPr>
      <w:r>
        <w:t xml:space="preserve">La demanda de equipos sigue (book-to-bill de 1,14) pero China y los aranceles frenan el crecimiento: la guía de ventas de FY2026 pasó del 5-6 % inicial al 3,5-4,0 % [1, 2].</w:t>
      </w:r>
    </w:p>
    <w:p>
      <w:pPr>
        <w:pStyle w:val="Heading2"/>
      </w:pPr>
      <w:r>
        <w:t xml:space="preserve">Regulación</w:t>
      </w:r>
    </w:p>
    <w:p>
      <w:pPr>
        <w:spacing w:after="100"/>
      </w:pPr>
      <w:r>
        <w:t xml:space="preserve">Las compras centralizadas con volumen garantizado y los recortes de reembolso en China afectan sobre todo al diagnóstico in vitro; en EE. UU., los aranceles de 2025-26 y su devolución parcial mueven el BPA de FY2026 [1, 18].</w:t>
      </w:r>
    </w:p>
    <w:p>
      <w:pPr>
        <w:pStyle w:val="Heading2"/>
      </w:pPr>
      <w:r>
        <w:t xml:space="preserve">Tendencias y disrupción</w:t>
      </w:r>
    </w:p>
    <w:p>
      <w:pPr>
        <w:spacing w:after="100"/>
      </w:pPr>
      <w:r>
        <w:t xml:space="preserve">Inteligencia artificial en imagen, TAC de conteo de fotones y radioterapia guiada por imagen favorecen a Imaging y Precision Therapy; la competencia local china y la presión de precio castigan al diagnóstico de laboratorio central [1, 16].</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en imagen médica y líder en radioterapia (Varian).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GEHC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imagen; cotiza a ≈13 veces el beneficio esperado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imagen y monitorización; ≈14 veces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 Diagnostics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diagnóstico in vitro.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Elekta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EKTA-B</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de Varian en radioterapia.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de software e IA sobre la base instalada, con efecto limitado.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con servicio plurianual y formación del personal clínico.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(fotón-conteo, radioterapia) y aprobaciones regulatorias.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sin ventaja frente a GE HealthCare.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Oligopolio de tres en imagen; margen de Imaging del 26,5 % [5].</w:t>
            </w:r>
          </w:p>
        </w:tc>
      </w:tr>
    </w:tbl>
    <w:p>
      <w:pPr>
        <w:spacing w:after="160" w:before="0"/>
      </w:pPr>
    </w:p>
    <w:p>
      <w:pPr>
        <w:pStyle w:val="Heading2"/>
      </w:pPr>
      <w:r>
        <w:t xml:space="preserve">Amenazas</w:t>
      </w:r>
    </w:p>
    <w:p>
      <w:pPr>
        <w:spacing w:after="100"/>
      </w:pPr>
      <w:r>
        <w:t xml:space="preserve">Fabricantes chinos con apoyo de las compras públicas, presión de precio en el diagnóstico de laboratorio y aranceles cruzados entre EE. UU., Europa y China [1, 18].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spacing w:after="100"/>
      </w:pPr>
      <w:r>
        <w:t xml:space="preserve">Crecimiento anual compuesto FY2021-FY2025: ingresos </w:t>
      </w:r>
      <w:r>
        <w:rPr>
          <w:b/>
          <w:bCs/>
        </w:rPr>
        <w:t xml:space="preserve">6,8 %</w:t>
      </w:r>
      <w:r>
        <w:t xml:space="preserve">, EBITDA </w:t>
      </w:r>
      <w:r>
        <w:rPr>
          <w:b/>
          <w:bCs/>
        </w:rPr>
        <w:t xml:space="preserve">n.d.</w:t>
      </w:r>
      <w:r>
        <w:t xml:space="preserve">, BPA </w:t>
      </w:r>
      <w:r>
        <w:rPr>
          <w:b/>
          <w:bCs/>
        </w:rPr>
        <w:t xml:space="preserve">5,2 %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17.997 M en FY2021 a 23.375 M en FY2025 [3, 4]; el salto de FY2022 (+20,7 %) es Varian y las pruebas de covid, y FY2023 (−0,2 %) es la caída de esas pruebas. Desde entonces el crecimiento comparable ha sido del 5-8 % por año, con Imaging y Precision Therapy al alza y Diagnostics a la baja. El beneficio neto subió de 1.509 M en FY2023 a 1.959 M en FY2024 y 2.168 M en FY2025 [4, 8]. En el 3T26 el crecimiento comparable bajó al 2,8 % y la guía del año se recortó al 3,5-4,0 % (antes 4,5-5,0 %) por Diagnostics en China, mientras la del BPA ajustado subía a 2,35-2,45 € por devoluciones de aranceles de unos 0,15 € por acción [1, 12].</w:t>
      </w:r>
    </w:p>
    <w:p>
      <w:pPr>
        <w:pStyle w:val="Heading2"/>
      </w:pPr>
      <w:r>
        <w:t xml:space="preserve">Ajustes y partidas no recurrentes</w:t>
      </w:r>
    </w:p>
    <w:p>
      <w:pPr>
        <w:spacing w:after="100"/>
      </w:pPr>
      <w:r>
        <w:t xml:space="preserve">La empresa guía y paga por el BPA básico ajustado, que excluye la amortización de intangibles de compras (sobre todo Varian), los costes de cartera, las indemnizaciones y las reestructuraciones. La serie ajustada es FY2021 ≈2,03 € (derivado del +13 % de FY2022), FY2022 2,29 €, FY2023 2,02 €, FY2024 2,23 € y FY2025 2,39 € [2, 5, 6, 7], frente a un BPA publicado de 1,57-1,92 € [4]. El EBIT ajustado de FY2025 fue de algo menos de 3.900 M (16,5 %) [2]. El EBITDA, la amortización y el EBIT de FY2022, FY2023 y FY2025 son de agregadores [9, 10] (no se pudieron abrir las cuentas) y el BPA publicado de FY2025 es una estimación propia (2.168 M ÷ 1.128 M de acciones).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3T26 (31-jul-2026) la dirección recortó el crecimiento comparable del año al 3,5-4,0 % (antes 4,5-5,0 %) por Diagnostics, que cayó un 5,5 % comparable con un margen EBIT ajustado del 4,1 %, y subió la guía de BPA ajustado a 2,35-2,45 € (antes 2,20-2,30 €) por devoluciones de aranceles de EE. UU. que el director financiero cifró en unos 0,15 € por acción; la expectativa subyacente no cambió [1, 12]. Imaging creció un 2,3 % con un margen del 26,5 % y Precision Therapy un 9,2 % con un 17,5 %; para el 4T espera crecimientos de un dígito alto en esas dos y caídas de un dígito medio en Diagnostics [12]. El flujo de caja libre del trimestre fue de unos 1.000 M y la deuda neta bajó unos 800 M, hasta unos 12.000 M (2,8 veces) [13]. Para FY2027 la dirección apunta a un crecimiento de dos dígitos del BPA [12]. En la conferencia del 2T26 había descrito Diagnostics como una «tormenta perfecta» (precios en China y transformación del laboratorio central) y presentó la preparación de su segregación jurídica, con salida a bolsa, escisión o capital riesgo como opciones [14,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25"/>
        <w:gridCol w:w="1064"/>
        <w:gridCol w:w="1171"/>
        <w:gridCol w:w="958"/>
        <w:gridCol w:w="851"/>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Varian consolidada desde el 15-abr-2021: el FY2021 recoge cinco meses y medio y el FY2022 el año entero.). Los ratios de balance de ese año (días, circulante, deuda neta / EBITDA, ROIC) y los indicadores de calidad contable no son comparables con los anteriores.</w:t>
      </w:r>
    </w:p>
    <w:p>
      <w:pPr>
        <w:spacing w:after="100"/>
      </w:pPr>
      <w:r>
        <w:t xml:space="preserve">La deuda neta de unos 12.000 M (2,8 veces el EBITDA) es herencia de la compra de Varian en 2021, financiada en buena parte con préstamos de Siemens AG; la empresa la bajó unos 800 M en el 3T26 con 1.000 M de caja libre [13]. No se pudo abrir el balance consolidado: el activo total de 52.060 M y la caja de 2.550 M salen de un agregador [9].</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FY2025-FY2025: FCF </w:t>
      </w:r>
      <w:r>
        <w:rPr>
          <w:b/>
          <w:bCs/>
        </w:rPr>
        <w:t xml:space="preserve">2.714</w:t>
      </w:r>
      <w:r>
        <w:t xml:space="preserve">, conversión </w:t>
      </w:r>
      <w:r>
        <w:rPr>
          <w:b/>
          <w:bCs/>
        </w:rPr>
        <w:t xml:space="preserve">125 %</w:t>
      </w:r>
      <w:r>
        <w:t xml:space="preserve"> del beneficio neto; adquisiciones 0, dividendos 1.071, recompras 0.</w:t>
      </w:r>
    </w:p>
    <w:p>
      <w:pPr>
        <w:spacing w:after="100"/>
      </w:pPr>
      <w:r>
        <w:t xml:space="preserve">El flujo de caja libre (definición de la empresa: flujo operativo menos inversión) fue de 2.714 M en FY2025, un 27 % más que en FY2024, y de 863 M en el 4T25 [2, 3]; con un beneficio neto de 2.168 M, la conversión es del 125 % por la amortización de los intangibles de Varian, que no consume caja [8]. El flujo operativo de unos 3.950 M es de un agregador [9] y la inversión de 1.236 M se deriva por diferencia (estimación propia); los dividendos de 1.071 M son 0,95 € por 1.128 M de acciones (estimación propia).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Sin las cuentas completas no se pueden calcular Altman, Piotroski ni Beneish. La diferencia entre el BPA ajustado (2,39 €) y el publicado (≈1,92 €) en FY2025 es de 0,47 € por acción [2, 8]: amortización de intangibles de compras, indemnizaciones y costes de cartera. La serie de ajustes es recurrente (la transformación de Diagnostics lleva varios años), así que el BPA ajustado sobrestima el beneficio económico.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recurrentes entre el BPA ajustado y el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0,47 € por acción en FY2025 (≈20 % del ajustado) [2,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Devoluciones de aranceles en el BPA ajustado de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≈0,15 € por acción no recurrentes dentro de la guía de 2,35-2,45 € [1, 12].</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7,6 %.</w:t>
      </w:r>
    </w:p>
    <w:p>
      <w:pPr>
        <w:spacing w:after="100"/>
      </w:pPr>
      <w:r>
        <w:t xml:space="preserve">El motor no puede calcular el ROIC: solo hay activo total y caja de FY2025 [9]. Estimación propia: un NOPAT ajustado de unos 2.800 M (EBIT ajustado de algo menos de 3.900 M por un 73 %) [2] sobre un capital invertido de más de 30.000 M (deuda neta de 12.000 M más un patrimonio que recoge el fondo de comercio de Varian) da un ROIC del 8-9 %, entre 0,5 y 1,5 puntos por encima del WACC del 7,61 %. Imaging, con un 26,5 % de margen, crea valor; Diagnostics, con un 4,1 %, lo destruye [1]. ROIC − WACC ≈ +1 punto: lejos de los 5 puntos que pide la regla de compra.</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unos 2.550 M a 30-sep-2025 [9]; deuda neta de unos 12.000 M a 30-jun-2026, 2,8 veces el EBITDA [13].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1"/>
      </w:pPr>
      <w:r>
        <w:t xml:space="preserve">12. Asignación de capital</w:t>
      </w:r>
    </w:p>
    <w:p>
      <w:pPr>
        <w:pStyle w:val="Confianza"/>
        <w:spacing w:after="100"/>
      </w:pPr>
      <w:r>
        <w:t xml:space="preserve">Confianza: Baja</w:t>
      </w:r>
    </w:p>
    <w:p>
      <w:pPr>
        <w:spacing w:after="100"/>
      </w:pPr>
      <w:r>
        <w:t xml:space="preserve">Dividendo creciente: 1,00 € por FY2025 (0,95 € el año anterior) [2]. Prioridad declarada a bajar la deuda de Varian; en junio de 2026 hubo compras de acciones propias a unos 34 € (programa para planes de empleados)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Varian Medical Systems (radioterapia)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 capital colocada en Siemens AG y préstamos de Siemens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Precision Therapy crece un 9,2 % con margen del 17,5 % en el 3T26 [1, 12].</w:t>
            </w:r>
          </w:p>
        </w:tc>
      </w:tr>
    </w:tbl>
    <w:p>
      <w:pPr>
        <w:spacing w:after="160" w:before="0"/>
      </w:pPr>
    </w:p>
    <w:p>
      <w:pPr>
        <w:spacing w:after="100"/>
      </w:pPr>
      <w:r>
        <w:t xml:space="preserve">La compra de Varian es la decisión que define la empresa: la deuda neta de 12.000 M y los ajustes por amortización vienen de ahí, y Precision Therapy es hoy el segmento que más crece. La segregación de Diagnostics, el negocio que destruye rentabilidad (margen del 4,1 %), es la próxima decisión de capital [1, 14, 15].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Bernd Montag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empresa desde la salida a bolsa; mandato prorrogado en 2020 hasta febrero de 2026 y sigue en el cargo en la junta de 2026 [21,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Jochen Schmitz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la salida a bolsa; mandato prorrogado en 2020 [21,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Ralf P. Thomas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Siemens AG, el accionista de control [21,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João Seabra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responsable de las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con efecto 1-oct-2026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2,25-2,35 € (mayo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del 5-6 %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+5,9 % comparable; BPA ajustado 2,39 €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comparable del 5-6 % y BPA ajustado de 2,20-2,40 € (nov-2025)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Recortada a 3,5-4,0 % en julio; BPA subido a 2,35-2,45 € por aranceles devueltos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desde la salida a bolsa de 2018: Montag y Schmitz siguen en sus cargos. La credibilidad ha sufrido en FY2026, con dos recortes de la guía de ventas (de 5-6 % a 4,5-5,0 % y después a 3,5-4,0 %) por Diagnostics en China [19, 24]. La guía de BPA se ha sostenido gracias a las devoluciones de aranceles.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P. Thomas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Siemens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Prevé repartir un 30 % entre sus accionistas (votación en febrero de 2027) [19, 24,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Operaciones vinculadas, estructura de control y defensas</w:t>
      </w:r>
    </w:p>
    <w:p>
      <w:pPr>
        <w:spacing w:after="100"/>
      </w:pPr>
      <w:r>
        <w:t xml:space="preserve">Siemens AG controla en torno al 71 % y preside el consejo de supervisión con uno de sus directivos [19, 21]. Hay financiación de Siemens AG a Healthineers (préstamos de la compra de Varian), operación vinculada relevante. La escisión directa del 30 % que Siemens someterá a su junta de febrero de 2027 subiría el capital flotante y reduciría el control, pero también puede presionar el precio si los nuevos accionistas venden [24, 25].</w:t>
      </w:r>
    </w:p>
    <w:p>
      <w:pPr>
        <w:pStyle w:val="Heading2"/>
      </w:pPr>
      <w:r>
        <w:t xml:space="preserve">Señales de alerta</w:t>
      </w:r>
    </w:p>
    <w:p>
      <w:pPr>
        <w:pStyle w:val="ListParagraph"/>
        <w:numPr>
          <w:ilvl w:val="0"/>
          <w:numId w:val="2"/>
        </w:numPr>
        <w:spacing w:after="60"/>
      </w:pPr>
      <w:r>
        <w:t xml:space="preserve">Accionista de control con escisión del 30 % pendiente: posible presión vendedora en 2027 [24,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FY2026 (a septiembre): crecimiento comparable de los ingresos del 3,5-4,0 % (antes 4,5-5,0 %, y 5-6 % en noviembre de 2025) y BPA básico ajustado de 2,35-2,45 € (antes 2,20-2,30 €), con unos 0,15 € de devoluciones de aranceles; confirmado el 31-jul-2026 [27]. Para FY2027 la dirección apunta a un crecimiento de dos dígitos del BPA [27]. Resultados del 4T y guía de FY2027 el 5-nov-2026 [33].</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37,37 – 63,00</w:t>
            </w:r>
          </w:p>
        </w:tc>
      </w:tr>
    </w:tbl>
    <w:p>
      <w:pPr>
        <w:spacing w:after="160" w:before="0"/>
      </w:pPr>
    </w:p>
    <w:p>
      <w:pPr>
        <w:pStyle w:val="Heading2"/>
      </w:pPr>
      <w:r>
        <w:t xml:space="preserve">Revisiones de estimaciones</w:t>
      </w:r>
    </w:p>
    <w:p>
      <w:pPr>
        <w:spacing w:after="100"/>
      </w:pPr>
      <w:r>
        <w:t xml:space="preserve">El objetivo medio ha bajado: 57,67 € tras los resultados de FY2025 (18 analistas) [35], 49,98 € en julio (25 analistas, rango 37,37-63,00 €) [30] y 45,14 € a 30-ago-2026 (20 analistas) [28]. La guía de ventas se recortó dos veces en FY2026; la de BPA subió por aranceles devueltos. No se encontraron estimaciones completas de FY2027-FY2028 en abierto.</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bl>
    <w:p>
      <w:pPr>
        <w:spacing w:after="160" w:before="0"/>
      </w:pPr>
    </w:p>
    <w:p>
      <w:pPr>
        <w:spacing w:after="160" w:before="0"/>
      </w:pPr>
    </w:p>
    <w:p>
      <w:pPr>
        <w:spacing w:after="100"/>
      </w:pPr>
      <w:r>
        <w:t xml:space="preserve">La acción cotizaba a 37,67 € el 27-sep-2026, un 17,1 % menos que un año antes y lejos del máximo de 52 semanas de 49,41 € [27]; tocó un mínimo de 32,84 € a finales de julio, tras el recorte de la guía [34]. La caída del año se explica por Diagnostics en China, los aranceles y la incertidumbre de la escisión del 30 % de Siemens AG [28, 34].</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Precios de cierre del año natural (diciembre), tres meses después del cierre del ejercicio (septiembre): no hay cierres de septiembre en abierto [29]. El de diciembre de 2025 (44,3 €) es una estimación propia: el precio de julio (33,95 €) con la caída del 23,31 % desde enero que publicó la prensa [34]. Sobre el BPA ajustado, el PER fue de 32,4 veces en 2021 (excluido: pruebas de covid y burbuja de salud), 20,4 en 2022, 26,0 en 2023, 26,1 en 2024 y 18,5 en 2025.</w:t>
      </w:r>
    </w:p>
    <w:p>
      <w:pPr>
        <w:pStyle w:val="Heading1"/>
      </w:pPr>
      <w:r>
        <w:t xml:space="preserve">18. Comparables cotizados</w:t>
      </w:r>
    </w:p>
    <w:p>
      <w:pPr>
        <w:pStyle w:val="Confianza"/>
        <w:spacing w:after="100"/>
      </w:pPr>
      <w:r>
        <w:t xml:space="preserve">Confianza: Baja</w:t>
      </w:r>
    </w:p>
    <w:p>
      <w:pPr>
        <w:spacing w:after="100"/>
      </w:pPr>
      <w:r>
        <w:t xml:space="preserve">Tecnología médica e instrumentación de diagnóstico con cifras del mismo día en otros análisis del repo (Danaher, Thermo Fisher, Qiagen, Roche, Fujifilm) y los dos rivales directos en imagen (GE HealthCare y Philips), de los que solo hay PER esperado [20,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Healthineers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Fujifilm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14,3x / 24,0x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5,5x / 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7" name="Gráfico 17"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Healthineers cotiza a 14,9 veces nuestro BPA ajustado de FY2027e, en línea con GE HealthCare (13,0) y Philips (14,0), sus rivales directos en imagen, y muy por debajo de Danaher (25,3) y Thermo Fisher (24,3), que tienen más consumibles y crecen más [20, 36]. La mediana del PER es de 15,5 veces. Por EV/EBITDA los comparables dan valores de 44-90 € porque la mezcla está sesgada a laboratorio; no los usamos como guía principal.</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al 2,0 % publicado (fijo): crecimiento comparable del 3,5-4,0 % menos el efecto divisa del dólar [1]. Después 5,0-5,5 % en FY2027-FY2030, en la parte baja del 5-8 % comparable de FY2023-FY2025 [3, 11], con Diagnostics estancado, y bajada al 3,0 % en FY2033e.</w:t>
      </w:r>
    </w:p>
    <w:p>
      <w:pPr>
        <w:keepNext/>
        <w:spacing w:after="100"/>
      </w:pPr>
      <w:r>
        <w:rPr>
          <w:b/>
          <w:bCs/>
        </w:rPr>
        <w:t xml:space="preserve">Márgenes.</w:t>
      </w:r>
    </w:p>
    <w:p>
      <w:pPr>
        <w:spacing w:after="100"/>
      </w:pPr>
      <w:r>
        <w:t xml:space="preserve">Margen EBITDA del 20,2 % en FY2025 (agregador) [9]; 20,6 % en FY2026e con aranceles devueltos y hasta 22,5 % en FY2030e: Imaging se mantiene en el 26 %, Precision Therapy sube y Diagnostics se recupera o sale del perímetro [1, 12]. Es el supuesto más exigente.</w:t>
      </w:r>
    </w:p>
    <w:p>
      <w:pPr>
        <w:keepNext/>
        <w:spacing w:after="100"/>
      </w:pPr>
      <w:r>
        <w:rPr>
          <w:b/>
          <w:bCs/>
        </w:rPr>
        <w:t xml:space="preserve">Inversión y circulante.</w:t>
      </w:r>
    </w:p>
    <w:p>
      <w:pPr>
        <w:spacing w:after="100"/>
      </w:pPr>
      <w:r>
        <w:t xml:space="preserve">Inversión del 5,3 % de las ventas en FY2025 (1.236 M, derivada de flujo operativo y caja libre) [3, 9]; 6,3 % en FY2027-FY2030 porque incluye la inversión en circulante (no hay balance para separarlo) y 5,9 % después. Amortización del 5,2 % (1.230 M en FY2025).</w:t>
      </w:r>
    </w:p>
    <w:p>
      <w:pPr>
        <w:keepNext/>
        <w:spacing w:after="100"/>
      </w:pPr>
      <w:r>
        <w:rPr>
          <w:b/>
          <w:bCs/>
        </w:rPr>
        <w:t xml:space="preserve">Coste del capital.</w:t>
      </w:r>
    </w:p>
    <w:p>
      <w:pPr>
        <w:spacing w:after="100"/>
      </w:pPr>
      <w:r>
        <w:t xml:space="preserve">Bund a 10 años del 3,53 % [31], beta de 1,0 (sin beta propia disponible: medtech diversificada), prima de mercado del 5,5 %, coste de la deuda del 3,5 % antes de impuestos (préstamos de Siemens AG) y un 22 % de deuda a valor de mercado (12.000 M sobre 54.492 M). WACC del 7,61 %.</w:t>
      </w:r>
    </w:p>
    <w:p>
      <w:pPr>
        <w:keepNext/>
        <w:spacing w:after="100"/>
      </w:pPr>
      <w:r>
        <w:rPr>
          <w:b/>
          <w:bCs/>
        </w:rPr>
        <w:t xml:space="preserve">Valor terminal.</w:t>
      </w:r>
    </w:p>
    <w:p>
      <w:pPr>
        <w:spacing w:after="100"/>
      </w:pPr>
      <w:r>
        <w:t xml:space="preserve">Crecimiento a perpetuidad del 2,0 %, igual a la inflación esperada del euro y medio punto por debajo de la tasa libre menos el margen exigido.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 M (7 % del NOPAT)</w:t>
            </w:r>
          </w:p>
        </w:tc>
      </w:tr>
    </w:tbl>
    <w:p>
      <w:pPr>
        <w:spacing w:after="160" w:before="0"/>
      </w:pPr>
    </w:p>
    <w:p>
      <w:pPr>
        <w:spacing w:after="100"/>
      </w:pPr>
      <w:r>
        <w:t xml:space="preserve">La proyección apenas necesita inversión neta de la amortización (reinversión acumulada de 1.882 M, el 7 % del NOPAT, con un capex bruto medio del 6,0 % de las ventas). En un negocio de activos ligeros, el crecimiento medio del 4,3 %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comparable del 3,5-4,0 % [1]: volumen del 2 %, precio del 1,8 % y −1,8 puntos de divisa.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de 1,14 en equipos y servicio sobre la base instalada [2];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Precision Therapy al 8-9 % y Imaging al 5 % [1]; Diagnostics plano.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 ritmo que 2028e, sin compras.</w:t>
            </w:r>
          </w:p>
        </w:tc>
      </w:tr>
    </w:tbl>
    <w:p>
      <w:pPr>
        <w:spacing w:after="160" w:before="0"/>
      </w:pPr>
    </w:p>
    <w:p>
      <w:pPr>
        <w:spacing w:after="100"/>
      </w:pPr>
      <w:r>
        <w:t xml:space="preserve">El crecimiento proyectado (4,6 % medio en los años no fijos) está por debajo del 5-8 % comparable de FY2023-FY2025 y se apoya en la base instalada, el servicio y la cartera de equipos, que no exigen capital nuevo relevante [2, 3]. Prueba a mano (la reinversión es menor del 15 % del NOPAT): con capex del 6,3 % frente a una amortización del 5,2 %, la inversión neta cubre el circulante de un crecimiento del 5 %. Lo que no está demostrado es el margen: pasar del 20,2 % al 22,5 % de EBITDA exige resolver Diagnostics (margen del 4,1 %) [1]. Por eso «En parte»; no se rebaja el base porque ninguna prueba cuantitativa falla, pero el bajista recoge un punto menos de margen.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 (base: 22,5 %)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7,6 %)</w:t>
            </w:r>
          </w:p>
        </w:tc>
      </w:tr>
    </w:tbl>
    <w:p>
      <w:pPr>
        <w:spacing w:after="160" w:before="0"/>
      </w:pPr>
    </w:p>
    <w:p>
      <w:pPr>
        <w:spacing w:after="100"/>
      </w:pPr>
      <w:r>
        <w:t xml:space="preserve">El DCF da 42,93 € por acción (+14,0 %), con un 70 % del valor en el terminal. El DCF inverso dice que el precio descuenta un crecimiento del 2,8 % anual frente al 4,6 % de nuestro base, y una rentabilidad implícita del 8,2 %, por encima del WACC del 7,61 %. No es exigente: el mercado paga por una empresa que crece por debajo de su historia y que no arregla Diagnostics. La sensibilidad al margen es alta: el bajista (un punto menos de margen, dos menos de crecimiento y WACC +0,5) vale 28,21 €, un 25 % menos. Con datos de cuentas de agregador y sin balance completo, la cifra es orientativa.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sigue hundiendo Diagnostics, los aranceles vuelven y la escisión del 30 % deja papel en el mercado: crecimiento dos puntos menor, margen un punto menor y un WACC medio punto mayor. Ya pasó en FY2026, con dos recortes de guía.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Imaging y Precision Therapy crecen con la cartera, Diagnostics se estabiliza o se segrega y el margen EBITDA llega al 22,5 % en FY2030.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segregación de Diagnostics a buen precio y la IA en imagen suben el crecimiento un punto y el margen medio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EUR) · precio actual 37,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39,51 EUR (+4,9 %).</w:t>
      </w:r>
    </w:p>
    <w:p>
      <w:pPr>
        <w:spacing w:after="100"/>
      </w:pPr>
      <w:r>
        <w:t xml:space="preserve">Bajista 28,21 € (−25,1 %), base 42,93 € (+14,0 %) y alcista 47,90 € (+27,2 %), con probabilidades de 30/50/20. La asimetría del DCF es de 1,08 veces: se gana poco más de lo que se pierde. En el objetivo a 12 meses el bajista (37,85 €) apenas pierde porque el múltiplo de partida (14,9 veces) ya está en mínimos de su historia.</w:t>
      </w:r>
    </w:p>
    <w:p>
      <w:pPr>
        <w:pStyle w:val="Heading1"/>
      </w:pPr>
      <w:r>
        <w:t xml:space="preserve">22. Suma de partes</w:t>
      </w:r>
    </w:p>
    <w:p>
      <w:pPr>
        <w:pStyle w:val="Confianza"/>
        <w:spacing w:after="100"/>
      </w:pPr>
      <w:r>
        <w:t xml:space="preserve">Confianza: Baja</w:t>
      </w:r>
    </w:p>
    <w:p>
      <w:pPr>
        <w:spacing w:after="100"/>
      </w:pPr>
      <w:r>
        <w:t xml:space="preserve">Sería el método natural (Imaging, Precision Therapy y Diagnostics tienen márgenes de 26,5 %, 17,5 % y 4,1 %) [1], pero no hay resultados anuales por segmento verificados; queda como pregunta abierta.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EUR) · precio actual 37,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41,95 EUR (+11,4 % sobre 37,67).</w:t>
      </w:r>
    </w:p>
    <w:p>
      <w:pPr>
        <w:spacing w:after="100"/>
      </w:pPr>
      <w:r>
        <w:t xml:space="preserve">Pesos: DCF 50 %, comparables 30 % y escenarios 20 %; sin transacciones con múltiplo verificado ni suma de partes. Los comparables por EV/EBITDA sobrevaloran a Healthineers (44-90 € por acción) porque mezclan instrumentación de laboratorio cara (Danaher, Thermo Fisher) con imagen barata; el PER de GE HealthCare y Philips (13-14 veces) es la referencia más útil [20]. La síntesis ponderada da 41,95 € (+11,4 %).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(14.9x) × 1.1 (tope: la mediana de 5 años, 23.4x,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+76,9 %</w:t>
            </w:r>
          </w:p>
        </w:tc>
      </w:tr>
    </w:tbl>
    <w:p>
      <w:pPr>
        <w:spacing w:after="160" w:before="0"/>
      </w:pPr>
    </w:p>
    <w:p>
      <w:pPr>
        <w:spacing w:after="100"/>
      </w:pPr>
      <w:r>
        <w:rPr>
          <w:b/>
          <w:bCs/>
        </w:rPr>
        <w:t xml:space="preserve">Objetivo a 12 meses (ponderado):</w:t>
      </w:r>
      <w:r>
        <w:t xml:space="preserve"> 46,23 EUR · rentabilidad +25,4 % (base +25,4 %) · señal Mantener.</w:t>
      </w:r>
    </w:p>
    <w:p>
      <w:pPr>
        <w:spacing w:after="100"/>
      </w:pPr>
      <w:r>
        <w:t xml:space="preserve">Para comparar, con el tope anterior del base (×1,3, 14-oct mediodía): 39,7 % Mantener. Decide la regla vigente (v3 con tope ×1,1; METODO-VIGENTE.md).</w:t>
      </w:r>
    </w:p>
    <w:p>
      <w:pPr>
        <w:keepNext/>
        <w:spacing w:after="100"/>
      </w:pPr>
      <w:r>
        <w:rPr>
          <w:b/>
          <w:bCs/>
        </w:rPr>
        <w:t xml:space="preserve">Frente al consenso (solo contraste).</w:t>
      </w:r>
    </w:p>
    <w:p>
      <w:pPr>
        <w:spacing w:after="100"/>
      </w:pPr>
      <w:r>
        <w:t xml:space="preserve">No hay estimaciones de BPA del consenso en abierto para FY2027-FY2028. Nuestro BPA ajustado de FY2027e (2,53 €) supone un crecimiento del 12 % sobre los 2,25 € subyacentes de FY2026, coherente con el crecimiento de dos dígitos que apunta la dirección [12]. Nuestro precio base (52,73 €) queda un 17 % por encima del objetivo medio de 45,14 € de 20 analistas, que ha caído desde 57,67 € en noviembre de 2025 [28, 35]: la diferencia está en el múltiplo (18,7 veces de la regla v3 frente a unas 16-18 veces implícitas), no en el beneficio. Lo mantenemos porque la regla es común y está contrastada con el backtest, pero con datos de agregador es una razón más para no comprar sin verificar.</w:t>
      </w:r>
    </w:p>
    <w:p>
      <w:pPr>
        <w:keepNext/>
        <w:spacing w:after="100"/>
      </w:pPr>
      <w:r>
        <w:rPr>
          <w:b/>
          <w:bCs/>
        </w:rPr>
        <w:t xml:space="preserve">Del valor intrínseco al objetivo a 12 meses.</w:t>
      </w:r>
    </w:p>
    <w:p>
      <w:pPr>
        <w:spacing w:after="100"/>
      </w:pPr>
      <w:r>
        <w:t xml:space="preserve">El objetivo a 12 meses (51,62 €) supera en un 20 % al valor intrínseco (42,93 €): la regla v3 supone que el PER recupera la mitad de la distancia a su mediana adelantada, y nuestro DCF, con un WACC del 7,61 % y Diagnostics dentro, no lo justifica del todo. La rentabilidad depende de que el BPA crezca un 12 % anual y de que el mercado vuelva a pagar 18-19 veces. El catalizador con fecha es la guía de FY2027 del 5-nov-2026 [33].</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y del ejercicio FY2026,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el crecimiento de dos dígitos del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Siemens AG: votación de la escisión directa del 30 % de Healthineers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flotante; posible presión vendedora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la segregación de Diagnostics (bolsa, escisión o capital riesgo)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Quita el segmento de margen del 4,1 %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Siemens Healthineers y dividendo de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 1,00 €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Diagnostics sigue cayendo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Segregación del negocio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 Diagnostics peor que −5 % en el 4T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Escisión del 30 % con presión vendedora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flotante y peso en índices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y mecánica de la escisión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sin devolución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FY2027 con coste arancelario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núcleo de agregador erróneos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Análisis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Verificar con el informe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del 5-nov</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de 12.000 M con tipos al alza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2.700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por encima de 3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china en imagen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 y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Imaging por debajo del 24 %</w:t>
            </w:r>
          </w:p>
        </w:tc>
      </w:tr>
    </w:tbl>
    <w:p>
      <w:pPr>
        <w:spacing w:after="160" w:before="0"/>
      </w:pPr>
    </w:p>
    <w:p>
      <w:pPr>
        <w:pStyle w:val="Heading2"/>
      </w:pPr>
      <w:r>
        <w:t xml:space="preserve">Pre-mortem</w:t>
      </w:r>
    </w:p>
    <w:p>
      <w:pPr>
        <w:spacing w:after="100"/>
      </w:pPr>
      <w:r>
        <w:t xml:space="preserve">Octubre de 2029, la acción ha perdido un 40 %. Diagnostics no encontró comprador a un precio digno y se quedó dentro, perdiendo dinero, mientras China extendía las compras centralizadas a la imagen. Los aranceles volvieron sin devolución y el margen EBIT ajustado retrocedió al 14 %. La escisión del 30 % de Siemens AG llenó el mercado de papel en 2027 y el PER bajó a 11 veces. La señal estaba en la guía de FY2027 del 5-nov-2026 y en el margen de Diagnostics de cada trimestre.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Controversias</w:t>
      </w:r>
    </w:p>
    <w:p>
      <w:pPr>
        <w:spacing w:after="100"/>
      </w:pPr>
      <w:r>
        <w:t xml:space="preserve">No se encontraron sanciones relevantes en las búsquedas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valor espera obtener por Diagnostics y en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4,1 %: su salida mueve el margen del grupo más de un punto.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Escisión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ejecutará el reparto del 30 % de Siemens AG?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presión vendedora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coste arancelario incluye la guía de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devoluciones (≈0,15 €) inflan el BPA de FY2026.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ajustes del BPA (0,47 € en FY2025) son recurrentes?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sobrestima el beneficio económico.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los préstamos de Siemens AG tras la escisión?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de deuda neta.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resultado anual por segmento reexpresado desde FY2023?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Necesario para una suma de partes.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Express: resumen de posiciones alcistas y bajistas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alcistas se apoyan en la cartera de pedidos y la subida de la guía de BPA; los bajistas, en la debilidad persistente de Diagnostics en China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análisis técnico para particulares («¿Llega la señal de compra?»)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un posible suelo técnico tras el mínimo de julio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finanzen.ch (hilo de SHL)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localizado, sin acceso al texto completo desde este entorno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 Express: «Unter Druck»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Mínimo de 52 semanas por la incertidumbre estructural, China y hasta 500 M de aranceles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Diagnostics en 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dan la razón: −5,5 % comparable y margen del 4,1 % en el 3T26; pesa un 17 % de las ventas.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Escisión del 30 % por Siemens AG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flotante (del ≈29 % a ≈50 %) pero puede crear presión vendedora en 2027; sin fecha cerrada antes de la junta de febrero de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37,67 € cotiza a ≈15 veces nuestro BPA ajustado de FY2027, frente a 18,5-26 veces en 2022-2025: barata frente a su historia, en línea con GE HealthCare y Philips.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pedidos de Imaging y Varian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Book-to-bill de 1,14 en FY2025 y Precision Therapy +9,2 % en el 3T26.</w:t>
            </w:r>
          </w:p>
        </w:tc>
      </w:tr>
    </w:tbl>
    <w:p>
      <w:pPr>
        <w:spacing w:after="160" w:before="0"/>
      </w:pPr>
    </w:p>
    <w:p>
      <w:pPr>
        <w:spacing w:after="100"/>
      </w:pPr>
      <w:r>
        <w:t xml:space="preserve">El sentimiento de los particulares está dividido y ha empeorado con los dos recortes de la guía: los bajistas tienen la razón en Diagnostics y los alcistas en la valoración. No hay euforia ni capitulación clara; la escisión del 30 % es el tema que el análisis de cifras no recoge y que puede pesar en el precio en 2027. No contradice al consenso de analistas, que mantiene mayoría de compras con objetivos a la baja. Confianza baja: no se pudieron leer foros directamente (Reddit, Stocktwits y wallstreet-online no aparecen en la búsqueda).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1 explicados. Fuentes: 40 (10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 Explicación: La síntesis dice qué confirmar: cierre de octubre verificado, cuentas y balance del informe anual (5-nov) y ROIC; la calidad tampoco pasa (ROIC − WACC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2026-09-27, 12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completa (coste de ventas, gastos, impuestos, resultado financiero, minoritarios) FY2021-FY2025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informe anual FY2025 y de las notas de prensa anuales (solo titulares); 2) agregadores Stock Analysis, Macrotrends y Weiss (cifras parciales y discrepantes); 3) prensa sectorial (solo beneficio neto)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consolidado FY2021-FY2025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balance a 30-sep-2025 en el informe anual (no aparece en los resultados); 2) Weiss y Digrin (activo de 52.060 M frente a 61.200 M, discrepantes); 3) Stock Analysis (columnas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flujos FY2021-FY2024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anuales (solo FCF de FY2025); 2) Weiss (solo TTM); 3) Quartr (solo FCF)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con 5 ejercicios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del 3T26 (solo el trimestre); 2) informe anual FY2025 (no abre); 3) prensa sectorial (solo el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(no abre en este entorno); 2) estudios de mercado de imagen médica (presupuesto de búsquedas agotado); 3) prensa sectorial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GE HealthCare y Philips (no abren); 2) agregadores (sin búsqueda disponible); 3) análisis paralelos del repo (no los cubren)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del CEO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y declaración de gobierno (no abren); 2) página del consejo de supervisión (desfasada);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(BaFin)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BaFin (no abre); 2) web de la empresa (no abre);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cotización en Xetra de octubre; 2) portales alemanes (Börse Express, comdirect, finanzen); 3) noticias del DAX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FY2026-FY2028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Simply Wall St y getquin (solo FY2026 de 2025); 3) StocksGuide (solo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Varian y Corindus (no abren); 2) prensa sectorial (sin múltiplos); 3) análisis paralelos del repo (no las cubren)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(no abre); 3) portales alemanes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en Reddit y Seeking Alpha; 2) búsqueda en foros alemanes (finanzen.net, ariva, wallstreet-online); 3) búsqueda de comentarios en prensa alemana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Q3 FY2026 Earnings Release and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https://corporate.webassets.siemens-healthineers.com/2637d4a46dbcd161/a3335cc16ed1/siemens-healthineers-Q3_FY2026_Earnings-Release-and-Financial-Results.pdf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Press release Q4 FY2025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https://www.siemens-healthineers.com/press/releases/2025q4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(SHL) Q4 2025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https://quartr.com/events/siemens-healthineers-ag-shl-q4-2025_3YZYqq51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income statement (FY2021-FY2024)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https://www.tipranks.com/stocks/de:shl/stock-analysis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Q4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https://siemens-healthineers.com/press/releases/2022q4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FY2024 Earnings Release and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https://corporate.webassets.siemens-healthineers.com/387eedfbb2197f6f/ad7c5cd4c51f/siemens-healthineers-Q4_FY2024_Earnings-Release-and-Financial-Results.pdf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FY2023 Quarterly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https://corporate.webassets.siemens-healthineers.com/37c97578a8774c2a/75da36fd04df/siemens-healthineers-Q4_FY2023_SHL_Quarterly-Statement.pdf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posts revenue growth in Q4, fiscal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AuntMinnie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https://www.auntminnieeurope.com/industry-news/market-analysis/news/15771468/siemens-healthineers-siemens-posts-revenue-growth-in-q4-fiscal-year-2025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AG: income statement, cash flow y balance (TTM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https://weissratings.com/en/stock/semhf-otc-pk/income-statement/ttm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AG: income statement anual FY2019-FY2023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https://weissratings.com/en/stock/semhf-otc-pk/income-statement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FY2025 Earnings Release and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https://corporate.webassets.siemens-healthineers.com/0eb4ddc001f51f49/a383dfb48c5f/siemens-healthineers-Q3_FY2025_Earnings-Release-and-Financial-Results.pdf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Q3 2026 earnings call highlights: revenue outlook trimmed, EPS raised on tariff refunds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https://www.gurufocus.com/news/8995281/siemens-healthineers-ag-smmny-q3-2026-earnings-call-highlights-revenue-outlook-trimmed-eps-raised-on-tariff-refunds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(SHL) Q3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https://quartr.com/events/siemens-healthineers-ag-shl-q3-2026_3YZYnW4t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outlines diagnostics carve-out as business weighs down fiscal Q2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360Dx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https://360dx.com/business-news/siemens-healthineers-outlines-diagnostics-carve-out-business-weighs-down-fiscal-q2-0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Healthineers treibt Carve-out voran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https://www.boersen-zeitung.de/unternehmen-branchen/healthineers-treibt-carve-out-voran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Market Squashes Siemens Healthineers’ 2026, Potential Spin Off on the Horizon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https://www.mddionline.com/business/china-market-squashes-siemens-healthineers-2026-potential-spin-off-on-the-horizon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Healthineers baut sich neu – und das Kerngeschäft läuft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Elektroniknet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https://www.elektroniknet.de/international/healthineers-baut-sich-neu-und-das-kerngeschaeft-laeuft-1.1156e37b-7f12-40a4-ae54-9fa8670d6c50.html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senkt wegen China und Inflation Prognose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(Reuters/dpa)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https://de.marketscreener.com/boerse-nachrichten/siemens-healthineers-senkt-wegen-china-und-inflation-prognose-ce7f58d3db88f423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Reportedly Explores Spinoff of 71% Stake in Healthineers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https://www.mddionline.com/ma/siemens-ag-explores-spinoff-of-71-stake-in-healthineers-as-medtech-firms-continue-to-shed-weight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GEHC vs PHG: Which Is the Better Buy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https://walnutinvest.com/stocks/compare/gehc-vs-phg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https://www.siemens-healthineers.com/press/features/pf-hv-2026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 Ralf P. Thomas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https://corporate.webassets.siemens-healthineers.com/47e35555a498edee/cb46a3ed7009/CV_05_2026_Thomas_Ralf_ENG.pdf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Supervisory Board extends the mandates of Bernd Montag and Jochen Schmitz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https://www.siemens-healthineers.com/bg/press-room/press-releases/pr-20200504001shs.html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Aktie: 30 Prozent vor Abspaltung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https://www.boerse-express.com/news/articles/siemens-healthineers-aktie-30-prozent-vor-abspaltung-934598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clarifies timeline for spin-off of Siemens Healthineers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https://www.emr-online.com/?p=13627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lowers sales outlook (Q3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MassDevice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https://www.massdevice.com/siemens-healthineers-lowers-sales-outlook-q3-2026/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AG: cotización (Lang &amp; Schwarz, 27-sep-2026)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https://www.boerse-express.com/boerse/aktie/siemens-healthag-na-on+tts-137350884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Aktie: cotización y objetivo medio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https://www.boerse-express.com/boerse/aktie/siemens-healthag-na-on+tts-137265323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histórico de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Börsengeflüster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https://app.boersengefluester.de/en/c/profile/p/DE000SHL1006/histories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forecast (objetivos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https://stocksguide.com/en/forecast/Siemens-Healthineers-DE000SHL1006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(3,53 %,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 riesgo implícita mensual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https://siemens-healthineers.com/investor-relations/financial-calendar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Aktie: Bilanz am 31. Juli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https://www.boerse-express.com/news/articles/siemens-healthineers-aktie-bilanz-am-31-juli-928405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annual results: here is what analysts are forecasting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https://simplywall.st/stocks/de/healthcare/etr-shl/siemens-healthineers-shares/news/siemens-healthineers-ag-etrshl-annual-results-heres-what-ana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14-oct-2026 reutilizados de los análisis paralelos de Danaher, Medpace, Novartis, Lonza y Hoya (S&amp;P Global vía Stock Analysis y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Aktie: 49-Euro-Ziel, 40 Prozent Potenzial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https://www.boerse-express.com/news/articles/siemens-healthineers-aktie-49-euro-ziel-40-prozent-potenzial-907911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kommt das Kaufsignal?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https://stock3.com/news/siemens-healthineers-kommt-das-kaufsignal-9168936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SHL (hilo t554188)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https://forum.finanzen.ch/forum/Shl-t554188?page=9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Aktie: Unter Druck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https://www.boerse-express.com/news/articles/siemens-healthineers-aktie-unter-druck-876424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73,5 %</w:t>
      </w:r>
      <w:r>
        <w:t xml:space="preserve"> · Secciones con menos del 60 % de campos cubiertos: </w:t>
      </w:r>
      <w:r>
        <w:rPr>
          <w:b/>
          <w:bCs/>
        </w:rPr>
        <w:t xml:space="preserve">balance, gobierno, transacciones, esg, calidad, bolsa</w:t>
      </w:r>
      <w:r>
        <w:t xml:space="preserve"> · Generado el 14 oct 2026.</w:t>
      </w:r>
    </w:p>
    <w:p>
      <w:pPr>
        <w:pStyle w:val="Nota"/>
        <w:spacing w:after="100"/>
      </w:pPr>
      <w:r>
        <w:t xml:space="preserve">Entorno sin red salvo la búsqueda web: no se pudieron abrir el informe anual ni las notas de prensa completas. Las cuentas FY2021-FY2025 son parciales y en parte de agregadores (TipRanks, Weiss Ratings) [4, 9, 10]; el balance y los flujos solo tienen FY2025. El precio es el de Lang &amp; Schwarz del 27-sep-2026 (37,67 €), el último publicado que se encontró [27]. Los PER históricos usan el cierre de diciembre (no hay cierres de septiembre) y el de diciembre de 2025 es estimado. La deuda neta del puente es la publicada (≈12.000 M a 30-jun-2026) sin desglose. Comparables reutilizados de otros análisis del 14-oct [36].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Siemens Healthineers AG (SHL)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(32,84 – 49,41)</c:v>
                </c:pt>
                <c:pt idx="1">
                  <c:v>Precio objetivo de los analistas (37,37 – 63,00)</c:v>
                </c:pt>
                <c:pt idx="2">
                  <c:v>DCF (WACC y g ± 0,5) (35,82 – 53,11)</c:v>
                </c:pt>
                <c:pt idx="3">
                  <c:v>Escenarios (bajista – alcista) (28,21 – 47,90)</c:v>
                </c:pt>
                <c:pt idx="4">
                  <c:v>DCF con la prima implícita del mercado (4,2 %)</c:v>
                </c:pt>
                <c:pt idx="5">
                  <c:v>Precio actual (37,67)</c:v>
                </c:pt>
              </c:strCache>
            </c:strRef>
          </c:cat>
          <c:val>
            <c:numRef>
              <c:f>Hoja1!$B$2:$B$7</c:f>
              <c:numCache>
                <c:formatCode>#,##0.0</c:formatCode>
                <c:ptCount val="6"/>
                <c:pt idx="0">
                  <c:v>32.84</c:v>
                </c:pt>
                <c:pt idx="1">
                  <c:v>37.37</c:v>
                </c:pt>
                <c:pt idx="2">
                  <c:v>35.82</c:v>
                </c:pt>
                <c:pt idx="3">
                  <c:v>28.21</c:v>
                </c:pt>
                <c:pt idx="4">
                  <c:v>48.41</c:v>
                </c:pt>
                <c:pt idx="5">
                  <c:v>37.48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(32,84 – 49,41)</c:v>
                </c:pt>
                <c:pt idx="1">
                  <c:v>Precio objetivo de los analistas (37,37 – 63,00)</c:v>
                </c:pt>
                <c:pt idx="2">
                  <c:v>DCF (WACC y g ± 0,5) (35,82 – 53,11)</c:v>
                </c:pt>
                <c:pt idx="3">
                  <c:v>Escenarios (bajista – alcista) (28,21 – 47,90)</c:v>
                </c:pt>
                <c:pt idx="4">
                  <c:v>DCF con la prima implícita del mercado (4,2 %)</c:v>
                </c:pt>
                <c:pt idx="5">
                  <c:v>Precio actual (37,67)</c:v>
                </c:pt>
              </c:strCache>
            </c:strRef>
          </c:cat>
          <c:val>
            <c:numRef>
              <c:f>Hoja1!$C$2:$C$7</c:f>
              <c:numCache>
                <c:formatCode>#,##0.0</c:formatCode>
                <c:ptCount val="6"/>
                <c:pt idx="0">
                  <c:v>16.569999999999993</c:v>
                </c:pt>
                <c:pt idx="1">
                  <c:v>25.630000000000003</c:v>
                </c:pt>
                <c:pt idx="2">
                  <c:v>17.29</c:v>
                </c:pt>
                <c:pt idx="3">
                  <c:v>19.689999999999998</c:v>
                </c:pt>
                <c:pt idx="4">
                  <c:v>14.610000000000007</c:v>
                </c:pt>
                <c:pt idx="5">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Imaging</c:v>
                </c:pt>
              </c:strCache>
            </c:strRef>
          </c:tx>
          <c:spPr>
            <a:solidFill>
              <a:srgbClr val="2A78D6"/>
            </a:solidFill>
            <a:ln w="12700">
              <a:solidFill>
                <a:srgbClr val="FFFFFF"/>
              </a:solidFill>
            </a:ln>
          </c:spPr>
          <c:invertIfNegative val="0"/>
          <c:cat>
            <c:strRef>
              <c:f>Hoja1!$A$2</c:f>
              <c:strCache>
                <c:ptCount val="1"/>
                <c:pt idx="0">
                  <c:v>3T26</c:v>
                </c:pt>
              </c:strCache>
            </c:strRef>
          </c:cat>
          <c:val>
            <c:numRef>
              <c:f>Hoja1!$B$2</c:f>
              <c:numCache>
                <c:formatCode>#,##0</c:formatCode>
                <c:ptCount val="1"/>
                <c:pt idx="0">
                  <c:v>3010</c:v>
                </c:pt>
              </c:numCache>
            </c:numRef>
          </c:val>
        </c:ser>
        <c:ser>
          <c:idx val="1"/>
          <c:order val="1"/>
          <c:tx>
            <c:strRef>
              <c:f>Hoja1!$C$1</c:f>
              <c:strCache>
                <c:ptCount val="1"/>
                <c:pt idx="0">
                  <c:v>Precision Therapy</c:v>
                </c:pt>
              </c:strCache>
            </c:strRef>
          </c:tx>
          <c:spPr>
            <a:solidFill>
              <a:srgbClr val="EB6834"/>
            </a:solidFill>
            <a:ln w="12700">
              <a:solidFill>
                <a:srgbClr val="FFFFFF"/>
              </a:solidFill>
            </a:ln>
          </c:spPr>
          <c:invertIfNegative val="0"/>
          <c:cat>
            <c:strRef>
              <c:f>Hoja1!$A$2</c:f>
              <c:strCache>
                <c:ptCount val="1"/>
                <c:pt idx="0">
                  <c:v>3T26</c:v>
                </c:pt>
              </c:strCache>
            </c:strRef>
          </c:cat>
          <c:val>
            <c:numRef>
              <c:f>Hoja1!$C$2</c:f>
              <c:numCache>
                <c:formatCode>#,##0</c:formatCode>
                <c:ptCount val="1"/>
                <c:pt idx="0">
                  <c:v>1750</c:v>
                </c:pt>
              </c:numCache>
            </c:numRef>
          </c:val>
        </c:ser>
        <c:ser>
          <c:idx val="2"/>
          <c:order val="2"/>
          <c:tx>
            <c:strRef>
              <c:f>Hoja1!$D$1</c:f>
              <c:strCache>
                <c:ptCount val="1"/>
                <c:pt idx="0">
                  <c:v>Diagnostics</c:v>
                </c:pt>
              </c:strCache>
            </c:strRef>
          </c:tx>
          <c:spPr>
            <a:solidFill>
              <a:srgbClr val="1BAF7A"/>
            </a:solidFill>
            <a:ln w="12700">
              <a:solidFill>
                <a:srgbClr val="FFFFFF"/>
              </a:solidFill>
            </a:ln>
          </c:spPr>
          <c:invertIfNegative val="0"/>
          <c:cat>
            <c:strRef>
              <c:f>Hoja1!$A$2</c:f>
              <c:strCache>
                <c:ptCount val="1"/>
                <c:pt idx="0">
                  <c:v>3T26</c:v>
                </c:pt>
              </c:strCache>
            </c:strRef>
          </c:cat>
          <c:val>
            <c:numRef>
              <c:f>Hoja1!$D$2</c:f>
              <c:numCache>
                <c:formatCode>#,##0</c:formatCode>
                <c:ptCount val="1"/>
                <c:pt idx="0">
                  <c:v>992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(3T26)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Imaging</c:v>
                </c:pt>
                <c:pt idx="1">
                  <c:v>Precision Therapy</c:v>
                </c:pt>
                <c:pt idx="2">
                  <c:v>Diagnostics</c:v>
                </c:pt>
              </c:strCache>
            </c:strRef>
          </c:cat>
          <c:val>
            <c:numRef>
              <c:f>Hoja1!$B$2:$B$4</c:f>
              <c:numCache>
                <c:formatCode>General</c:formatCode>
                <c:ptCount val="3"/>
                <c:pt idx="0">
                  <c:v>52.3</c:v>
                </c:pt>
                <c:pt idx="1">
                  <c:v>30.4</c:v>
                </c:pt>
                <c:pt idx="2">
                  <c:v>17.2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Siemens Healthineers</c:v>
                </c:pt>
                <c:pt idx="1">
                  <c:v>GE HealthCare</c:v>
                </c:pt>
                <c:pt idx="2">
                  <c:v>Philips</c:v>
                </c:pt>
                <c:pt idx="3">
                  <c:v>Roche Diagnostics</c:v>
                </c:pt>
                <c:pt idx="4">
                  <c:v>Elekta</c:v>
                </c:pt>
              </c:strCache>
            </c:strRef>
          </c:cat>
          <c:val>
            <c:numRef>
              <c:f>Hoja1!$B$2:$B$6</c:f>
              <c:numCache>
                <c:formatCode>0.0"%"</c:formatCode>
                <c:ptCount val="5"/>
                <c:pt idx="0">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FY2021</c:v>
                </c:pt>
                <c:pt idx="1">
                  <c:v>FY2022</c:v>
                </c:pt>
                <c:pt idx="2">
                  <c:v>FY2023</c:v>
                </c:pt>
                <c:pt idx="3">
                  <c:v>FY2024</c:v>
                </c:pt>
                <c:pt idx="4">
                  <c:v>FY2025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17997</c:v>
                </c:pt>
                <c:pt idx="1">
                  <c:v>21714</c:v>
                </c:pt>
                <c:pt idx="2">
                  <c:v>21680</c:v>
                </c:pt>
                <c:pt idx="3">
                  <c:v>22363</c:v>
                </c:pt>
                <c:pt idx="4">
                  <c:v>23375</c:v>
                </c:pt>
                <c:pt idx="5">
                  <c:v>23843</c:v>
                </c:pt>
                <c:pt idx="6">
                  <c:v>25035</c:v>
                </c:pt>
                <c:pt idx="7">
                  <c:v>26412</c:v>
                </c:pt>
                <c:pt idx="8">
                  <c:v>27864</c:v>
                </c:pt>
                <c:pt idx="9">
                  <c:v>29257</c:v>
                </c:pt>
                <c:pt idx="10">
                  <c:v>30574</c:v>
                </c:pt>
                <c:pt idx="11">
                  <c:v>31644</c:v>
                </c:pt>
                <c:pt idx="12">
                  <c:v>32593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FY2021</c:v>
                </c:pt>
                <c:pt idx="1">
                  <c:v>FY2022</c:v>
                </c:pt>
                <c:pt idx="2">
                  <c:v>FY2023</c:v>
                </c:pt>
                <c:pt idx="3">
                  <c:v>FY2024</c:v>
                </c:pt>
                <c:pt idx="4">
                  <c:v>FY2025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1">
                  <c:v>4261</c:v>
                </c:pt>
                <c:pt idx="2">
                  <c:v>3781</c:v>
                </c:pt>
                <c:pt idx="4">
                  <c:v>4730</c:v>
                </c:pt>
                <c:pt idx="5">
                  <c:v>4912</c:v>
                </c:pt>
                <c:pt idx="6">
                  <c:v>5332</c:v>
                </c:pt>
                <c:pt idx="7">
                  <c:v>5811</c:v>
                </c:pt>
                <c:pt idx="8">
                  <c:v>6214</c:v>
                </c:pt>
                <c:pt idx="9">
                  <c:v>6583</c:v>
                </c:pt>
                <c:pt idx="10">
                  <c:v>6879</c:v>
                </c:pt>
                <c:pt idx="11">
                  <c:v>7120</c:v>
                </c:pt>
                <c:pt idx="12">
                  <c:v>7334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1">
                  <c:v>19.6</c:v>
                </c:pt>
                <c:pt idx="2">
                  <c:v>17.4</c:v>
                </c:pt>
                <c:pt idx="4">
                  <c:v>20.2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1">
                  <c:v>13.4</c:v>
                </c:pt>
                <c:pt idx="2">
                  <c:v>10.3</c:v>
                </c:pt>
                <c:pt idx="4">
                  <c:v>15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9.6</c:v>
                </c:pt>
                <c:pt idx="1">
                  <c:v>9.4</c:v>
                </c:pt>
                <c:pt idx="2">
                  <c:v>7</c:v>
                </c:pt>
                <c:pt idx="3">
                  <c:v>8.8</c:v>
                </c:pt>
                <c:pt idx="4">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3T25</c:v>
                </c:pt>
                <c:pt idx="1">
                  <c:v>4T25</c:v>
                </c:pt>
                <c:pt idx="2">
                  <c:v>3T26</c:v>
                </c:pt>
              </c:strCache>
            </c:strRef>
          </c:cat>
          <c:val>
            <c:numRef>
              <c:f>Hoja1!$B$2:$B$4</c:f>
              <c:numCache>
                <c:formatCode>0.0"%"</c:formatCode>
                <c:ptCount val="3"/>
                <c:pt idx="0">
                  <c:v>4.4</c:v>
                </c:pt>
                <c:pt idx="1">
                  <c:v>3.7</c:v>
                </c:pt>
                <c:pt idx="2">
                  <c:v>1.6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3T25</c:v>
                </c:pt>
                <c:pt idx="1">
                  <c:v>4T25</c:v>
                </c:pt>
                <c:pt idx="2">
                  <c:v>3T26</c:v>
                </c:pt>
              </c:strCache>
            </c:strRef>
          </c:cat>
          <c:val>
            <c:numRef>
              <c:f>Hoja1!$C$2:$C$4</c:f>
              <c:numCache>
                <c:formatCode>0.0"%"</c:formatCode>
                <c:ptCount val="3"/>
                <c:pt idx="0">
                  <c:v>7.6</c:v>
                </c:pt>
                <c:pt idx="2">
                  <c:v>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c:f>
              <c:strCache>
                <c:ptCount val="1"/>
                <c:pt idx="0">
                  <c:v>FY2025</c:v>
                </c:pt>
              </c:strCache>
            </c:strRef>
          </c:cat>
          <c:val>
            <c:numRef>
              <c:f>Hoja1!$B$2</c:f>
              <c:numCache>
                <c:formatCode>#,##0</c:formatCode>
                <c:ptCount val="1"/>
                <c:pt idx="0">
                  <c:v>2714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c:f>
              <c:strCache>
                <c:ptCount val="1"/>
                <c:pt idx="0">
                  <c:v>FY2025</c:v>
                </c:pt>
              </c:strCache>
            </c:strRef>
          </c:cat>
          <c:val>
            <c:numRef>
              <c:f>Hoja1!$C$2</c:f>
              <c:numCache>
                <c:formatCode>#,##0</c:formatCode>
                <c:ptCount val="1"/>
                <c:pt idx="0">
                  <c:v>2168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4">
                  <c:v>-102.9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7.6</c:v>
                </c:pt>
                <c:pt idx="1">
                  <c:v>7.6</c:v>
                </c:pt>
                <c:pt idx="2">
                  <c:v>7.6</c:v>
                </c:pt>
                <c:pt idx="3">
                  <c:v>7.6</c:v>
                </c:pt>
                <c:pt idx="4">
                  <c:v>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FY2025</c:v>
                </c:pt>
              </c:strCache>
            </c:strRef>
          </c:cat>
          <c:val>
            <c:numRef>
              <c:f>Hoja1!$B$2</c:f>
              <c:numCache>
                <c:formatCode>0.0"x"</c:formatCode>
                <c:ptCount val="1"/>
                <c:pt idx="0">
                  <c:v>-0.54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noFill/>
            </a:ln>
          </c:spPr>
          <c:invertIfNegative val="0"/>
          <c:cat>
            <c:strRef>
              <c:f>Hoja1!$A$2</c:f>
              <c:strCache>
                <c:ptCount val="1"/>
                <c:pt idx="0">
                  <c:v>FY2025</c:v>
                </c:pt>
              </c:strCache>
            </c:strRef>
          </c:cat>
          <c:val>
            <c:numRef>
              <c:f>Hoja1!$B$2</c:f>
              <c:numCache>
                <c:formatCode>#,##0</c:formatCode>
                <c:ptCount val="1"/>
                <c:pt idx="0">
                  <c:v>1071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Dominical</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Siemens AG</c:v>
                </c:pt>
              </c:strCache>
            </c:strRef>
          </c:cat>
          <c:val>
            <c:numRef>
              <c:f>Hoja1!$B$2</c:f>
              <c:numCache>
                <c:formatCode>0.0"%"</c:formatCode>
                <c:ptCount val="1"/>
                <c:pt idx="0">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Siemens Healthineers</c:v>
                </c:pt>
                <c:pt idx="1">
                  <c:v>GE HealthCare</c:v>
                </c:pt>
                <c:pt idx="2">
                  <c:v>Philips</c:v>
                </c:pt>
                <c:pt idx="3">
                  <c:v>Danaher</c:v>
                </c:pt>
                <c:pt idx="4">
                  <c:v>Thermo Fisher</c:v>
                </c:pt>
                <c:pt idx="5">
                  <c:v>Qiagen</c:v>
                </c:pt>
                <c:pt idx="6">
                  <c:v>Roche</c:v>
                </c:pt>
                <c:pt idx="7">
                  <c:v>Fujifilm</c:v>
                </c:pt>
              </c:strCache>
            </c:strRef>
          </c:cat>
          <c:val>
            <c:numRef>
              <c:f>Hoja1!$B$2:$B$9</c:f>
              <c:numCache>
                <c:formatCode>0.0"x"</c:formatCode>
                <c:ptCount val="8"/>
                <c:pt idx="4">
                  <c:v>21.3</c:v>
                </c:pt>
                <c:pt idx="5">
                  <c:v>12.2</c:v>
                </c:pt>
                <c:pt idx="6">
                  <c:v>12.8</c:v>
                </c:pt>
                <c:pt idx="7">
                  <c:v>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Thermo Fisher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5.9</c:v>
                </c:pt>
              </c:numCache>
            </c:numRef>
          </c:xVal>
          <c:yVal>
            <c:numRef>
              <c:f>Hoja1!$C$2</c:f>
              <c:numCache>
                <c:formatCode>0.0"x"</c:formatCode>
                <c:ptCount val="1"/>
                <c:pt idx="0">
                  <c:v>21.3</c:v>
                </c:pt>
              </c:numCache>
            </c:numRef>
          </c:yVal>
          <c:smooth val="0"/>
        </c:ser>
        <c:ser>
          <c:idx val="1"/>
          <c:order val="1"/>
          <c:tx>
            <c:strRef>
              <c:f>Hoja1!$A$3</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c:v>
                </c:pt>
              </c:numCache>
            </c:numRef>
          </c:xVal>
          <c:yVal>
            <c:numRef>
              <c:f>Hoja1!$C$3</c:f>
              <c:numCache>
                <c:formatCode>0.0"x"</c:formatCode>
                <c:ptCount val="1"/>
                <c:pt idx="0">
                  <c:v>12.2</c:v>
                </c:pt>
              </c:numCache>
            </c:numRef>
          </c:yVal>
          <c:smooth val="0"/>
        </c:ser>
        <c:ser>
          <c:idx val="2"/>
          <c:order val="2"/>
          <c:tx>
            <c:strRef>
              <c:f>Hoja1!$A$4</c:f>
              <c:strCache>
                <c:ptCount val="1"/>
                <c:pt idx="0">
                  <c:v>Roche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c:v>
                </c:pt>
              </c:numCache>
            </c:numRef>
          </c:xVal>
          <c:yVal>
            <c:numRef>
              <c:f>Hoja1!$C$4</c:f>
              <c:numCache>
                <c:formatCode>0.0"x"</c:formatCode>
                <c:ptCount val="1"/>
                <c:pt idx="0">
                  <c:v>12.8</c:v>
                </c:pt>
              </c:numCache>
            </c:numRef>
          </c:yVal>
          <c:smooth val="0"/>
        </c:ser>
        <c:ser>
          <c:idx val="3"/>
          <c:order val="3"/>
          <c:tx>
            <c:strRef>
              <c:f>Hoja1!$A$5</c:f>
              <c:strCache>
                <c:ptCount val="1"/>
                <c:pt idx="0">
                  <c:v>Fujifilm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5.1</c:v>
                </c:pt>
              </c:numCache>
            </c:numRef>
          </c:xVal>
          <c:yVal>
            <c:numRef>
              <c:f>Hoja1!$C$5</c:f>
              <c:numCache>
                <c:formatCode>0.0"x"</c:formatCode>
                <c:ptCount val="1"/>
                <c:pt idx="0">
                  <c:v>8.1</c:v>
                </c:pt>
              </c:numCache>
            </c:numRef>
          </c:yVal>
          <c:smooth val="0"/>
        </c:ser>
        <c:axId val="10"/>
        <c:axId val="20"/>
      </c:scatterChart>
      <c:valAx>
        <c:axId val="10"/>
        <c:scaling>
          <c:orientation val="minMax"/>
          <c:max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2657</c:v>
                </c:pt>
                <c:pt idx="1">
                  <c:v>2667</c:v>
                </c:pt>
                <c:pt idx="2">
                  <c:v>2949</c:v>
                </c:pt>
                <c:pt idx="3">
                  <c:v>3172</c:v>
                </c:pt>
                <c:pt idx="4">
                  <c:v>3373</c:v>
                </c:pt>
                <c:pt idx="5">
                  <c:v>3647</c:v>
                </c:pt>
                <c:pt idx="6">
                  <c:v>3775</c:v>
                </c:pt>
                <c:pt idx="7">
                  <c:v>3888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17961</c:v>
                </c:pt>
                <c:pt idx="1">
                  <c:v>42469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37,67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28.21</c:v>
                </c:pt>
                <c:pt idx="1">
                  <c:v>42.93</c:v>
                </c:pt>
                <c:pt idx="2">
                  <c:v>47.9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(32,84 – 49,41)</c:v>
                </c:pt>
                <c:pt idx="1">
                  <c:v>Precio objetivo de los analistas (37,37 – 63,00)</c:v>
                </c:pt>
                <c:pt idx="2">
                  <c:v>DCF (WACC y g ± 0,5) (35,82 – 53,11)</c:v>
                </c:pt>
                <c:pt idx="3">
                  <c:v>Escenarios (bajista – alcista) (28,21 – 47,90)</c:v>
                </c:pt>
                <c:pt idx="4">
                  <c:v>DCF con la prima implícita del mercado (4,2 %)</c:v>
                </c:pt>
                <c:pt idx="5">
                  <c:v>Precio actual (37,67)</c:v>
                </c:pt>
              </c:strCache>
            </c:strRef>
          </c:cat>
          <c:val>
            <c:numRef>
              <c:f>Hoja1!$B$2:$B$7</c:f>
              <c:numCache>
                <c:formatCode>#,##0.0</c:formatCode>
                <c:ptCount val="6"/>
                <c:pt idx="0">
                  <c:v>32.84</c:v>
                </c:pt>
                <c:pt idx="1">
                  <c:v>37.37</c:v>
                </c:pt>
                <c:pt idx="2">
                  <c:v>35.82</c:v>
                </c:pt>
                <c:pt idx="3">
                  <c:v>28.21</c:v>
                </c:pt>
                <c:pt idx="4">
                  <c:v>48.41</c:v>
                </c:pt>
                <c:pt idx="5">
                  <c:v>37.48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(32,84 – 49,41)</c:v>
                </c:pt>
                <c:pt idx="1">
                  <c:v>Precio objetivo de los analistas (37,37 – 63,00)</c:v>
                </c:pt>
                <c:pt idx="2">
                  <c:v>DCF (WACC y g ± 0,5) (35,82 – 53,11)</c:v>
                </c:pt>
                <c:pt idx="3">
                  <c:v>Escenarios (bajista – alcista) (28,21 – 47,90)</c:v>
                </c:pt>
                <c:pt idx="4">
                  <c:v>DCF con la prima implícita del mercado (4,2 %)</c:v>
                </c:pt>
                <c:pt idx="5">
                  <c:v>Precio actual (37,67)</c:v>
                </c:pt>
              </c:strCache>
            </c:strRef>
          </c:cat>
          <c:val>
            <c:numRef>
              <c:f>Hoja1!$C$2:$C$7</c:f>
              <c:numCache>
                <c:formatCode>#,##0.0</c:formatCode>
                <c:ptCount val="6"/>
                <c:pt idx="0">
                  <c:v>16.569999999999993</c:v>
                </c:pt>
                <c:pt idx="1">
                  <c:v>25.630000000000003</c:v>
                </c:pt>
                <c:pt idx="2">
                  <c:v>17.29</c:v>
                </c:pt>
                <c:pt idx="3">
                  <c:v>19.689999999999998</c:v>
                </c:pt>
                <c:pt idx="4">
                  <c:v>14.610000000000007</c:v>
                </c:pt>
                <c:pt idx="5">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