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Spirax Group plc</w:t>
      </w:r>
    </w:p>
    <w:p>
      <w:pPr>
        <w:spacing w:after="60"/>
        <w:rPr>
          <w:color w:val="52514E"/>
          <w:sz w:val="22"/>
          <w:szCs w:val="22"/>
        </w:rPr>
      </w:pPr>
      <w:r>
        <w:rPr>
          <w:color w:val="52514E"/>
          <w:sz w:val="22"/>
          <w:szCs w:val="22"/>
        </w:rPr>
        <w:t xml:space="preserve">SPX · London Stock Exchange (Main Market) · ISIN GB00BWFGQN14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70,90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83,91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+20,8 % (base +20,6 %)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58,62 GBP · mercado 66,51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5.235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Spirax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SPX / GB00BWFGQN14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industrial (control térmico y de fluidos)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Cheltenham (Reino Unido) · 1888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www.spiraxgroup.com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70,90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59,50 – 80,50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5.235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5.853 M GBP</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83,91 GBP</w:t>
      </w:r>
      <w:r>
        <w:t xml:space="preserve"> frente a 70,90 · Rentabilidad a 12 meses </w:t>
      </w:r>
      <w:r>
        <w:rPr>
          <w:b/>
          <w:bCs/>
        </w:rPr>
        <w:t xml:space="preserve">+20,8 % (base +20,6 %)</w:t>
      </w:r>
      <w:r>
        <w:t xml:space="preserve"> · Valor intrínseco 58,62 GBP · con la prima implícita del mercado: 66,51 (-6,2 %) · Alcista / bajista -17,7 % / -50,7 %</w:t>
      </w:r>
    </w:p>
    <w:p>
      <w:pPr>
        <w:spacing w:after="100"/>
      </w:pPr>
      <w:r>
        <w:rPr>
          <w:b/>
        </w:rPr>
        <w:t xml:space="preserve">La recomendación y por qué.</w:t>
      </w:r>
      <w:r>
        <w:t xml:space="preserve"> Mantener con convicción media. Nuestro objetivo a 12 meses es de 76,40 GBP (nuestro BPA ajustado de 2028e por el PER de la regla común, ponderado 30/50/20): una rentabilidad ponderada del 10,2 % y del 9,6 % en el caso base, con dividendo, por debajo del 15 % y el 12 % que exige una compra. El valor intrínseco (58,62 GBP) queda un 17,3 % por debajo del precio de 70,90 GBP, y el objetivo medio de los analistas (81,19 GBP) por encima de nuestro base. A 12 meses la asimetría es favorable (el alcista gana un 54 % y el bajista pierde un 18,1 %), pero el precio ya paga la recuperación del margen. La convicción es media porque las dos reglas coinciden lejos de los umbrales; subiría si el precio bajara de 58,62 GBP o si el margen ajustado de 2026 superase el 20,5 %, y bajaría si STS creciera menos del 3 % orgánico en el segundo semestre.</w:t>
      </w:r>
    </w:p>
    <w:p>
      <w:pPr>
        <w:spacing w:after="100"/>
      </w:pPr>
      <w:r>
        <w:rPr>
          <w:b/>
        </w:rPr>
        <w:t xml:space="preserve">El negocio.</w:t>
      </w:r>
      <w:r>
        <w:t xml:space="preserve"> Cerca del 85 % de las ventas es mantenimiento de sistemas instalados [13], y la empresa crece 3,5 puntos por encima de la producción industrial (5 % orgánico frente a 1,5 %) [1]. Pero el ROIC es del 12,3 % frente a un WACC del 9,46 %: crea valor con un margen estrecho, porque el NOPAT bajó de 241 a 221 M GBP entre 2021 y 2025 mientras las compras eléctricas de 2022 inflaban el capital. La calidad sí sostiene el crecimiento que proyectamos (veredicto de sostenibilidad: Sí): un 3,7 % anual, por debajo del orgánico actual, sin apenas capital nuevo.</w:t>
      </w:r>
    </w:p>
    <w:p>
      <w:pPr>
        <w:spacing w:after="100"/>
      </w:pPr>
      <w:r>
        <w:rPr>
          <w:b/>
        </w:rPr>
        <w:t xml:space="preserve">Finanzas.</w:t>
      </w:r>
      <w:r>
        <w:t xml:space="preserve"> Ingresos de 1.702,9 M GBP en 2025, margen operativo ajustado del 20,0 % (25,3 % en 2021), deuda neta de 1,5 veces el EBITDA y conversión de caja del 89 % [2, 6]. Los ajustes al beneficio son grandes (74,5 M en 2025, con 40 M de reestructuración) [2]; el BPA ajustado de 2,96 GBP está un 34 % por encima del reportado.</w:t>
      </w:r>
    </w:p>
    <w:p>
      <w:pPr>
        <w:spacing w:after="100"/>
      </w:pPr>
      <w:r>
        <w:rPr>
          <w:b/>
        </w:rPr>
        <w:t xml:space="preserve">Valoración.</w:t>
      </w:r>
      <w:r>
        <w:t xml:space="preserve"> El DCF da 49,10 GBP con un bono británico del 4,9 %; con la prima implícita del mercado sube a 59,85. El DCF inverso pide un 8,5 % de crecimiento anual, más del doble de nuestro 3,7 %: el precio no descuenta un negocio en declive sino tipos más bajos o un margen del 33,2 %. Por PER, la acción cotiza a 20,6 veces nuestro BPA de 2027e frente a una mediana de 26,1 veces en 2022-2025 y a 28 veces sus comparables: está barata frente a su historia, no frente a su flujo de caja. Esa es la contradicción del valor: «calidad castigada» por múltiplo, pero sin margen de seguridad en el DCF.</w:t>
      </w:r>
    </w:p>
    <w:p>
      <w:pPr>
        <w:spacing w:after="100"/>
      </w:pPr>
      <w:r>
        <w:rPr>
          <w:b/>
        </w:rPr>
        <w:t xml:space="preserve">Riesgos y catalizadores.</w:t>
      </w:r>
      <w:r>
        <w:t xml:space="preserve"> El riesgo mayor es que STS, la mitad del grupo, siga estancado (+1 % en 1S26) [4]: el bajista a 12 meses pierde un 18,1 %. El segundo, un nuevo ciclo bajo en semiconductores y biofarma como el de 2023 (BPA ajustado −17 %) [7]. Catalizadores: la actualización de mediados de noviembre y los resultados de marzo de 2027. Los foros están divididos y empeoran desde la caída de agosto; no señalan un riesgo nuevo.</w:t>
      </w:r>
    </w:p>
    <w:p>
      <w:pPr>
        <w:spacing w:after="100"/>
      </w:pPr>
      <w:r>
        <w:rPr>
          <w:b/>
        </w:rPr>
        <w:t xml:space="preserve">Qué cambiaría la decisión.</w:t>
      </w:r>
      <w:r>
        <w:t xml:space="preserve"> Compraríamos por debajo de 58,62 GBP y venderíamos por encima de 86,80. Pasaríamos a Comprar con un margen ajustado de 2026 por encima del 20,5 % y STS creciendo más del 4 % en el segundo semestre, y a Vender si el BPA ajustado de 2026 quedara por debajo de 3,00 GBP.</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83,91 GBP</w:t>
      </w:r>
      <w:r>
        <w:t xml:space="preserve"> (rentabilidad +20,8 % (base +20,6 %)) · Valor intrínseco: 58,62 GBP (-17,3 % sobre 70,90) · con la prima implícita del mercado: 66,51 (-6,2 %)</w:t>
      </w:r>
    </w:p>
    <w:p>
      <w:pPr>
        <w:spacing w:after="100"/>
      </w:pPr>
      <w:r>
        <w:t xml:space="preserve">Spirax vende recambios y servicio para sistemas de vapor, calentamiento eléctrico y bombas peristálticas: cerca del 85 % de sus ventas es mantenimiento [13], con márgenes operativos ajustados del 20-25 % y un crecimiento orgánico que bate a la producción industrial por 3,5 puntos [1, 2].</w:t>
      </w:r>
    </w:p>
    <w:p>
      <w:pPr>
        <w:spacing w:after="100"/>
      </w:pPr>
      <w:r>
        <w:t xml:space="preserve">El precio de 70,90 GBP equivale a 20,6 veces nuestro BPA ajustado de 2027e, el múltiplo más bajo de los últimos cinco años salvo los mínimos de 2024, y a un descuento frente a los comparables (28 veces). Pero el DCF inverso pide un 8,5 % de crecimiento anual con nuestro WACC del 9,46 %: el precio descuenta tipos británicos más bajos, no un negocio en crisis.</w:t>
      </w:r>
    </w:p>
    <w:p>
      <w:pPr>
        <w:spacing w:after="100"/>
      </w:pPr>
      <w:r>
        <w:t xml:space="preserve">Para invertir hay que creer que STS vuelve a crecer y que el margen va hacia el 22-23 % de la propia empresa [3]. Con nuestro base (21,5 % en 2030e), el objetivo a 12 meses da un 10,2 % ponderado: suficiente para mantener, no para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 × 3,22 = 58,28 · 22,7x × 3,69 = 83,76 · 30,6x × 4,01 = 122,71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 / 20,6 %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81,19 (nuestro base +3,2 %)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 / -50,7 %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9,5 %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58,62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58,62 y 95,13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95,13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58,62 GBP: pasaríamos a Comprar.</w:t>
      </w:r>
    </w:p>
    <w:p>
      <w:pPr>
        <w:pStyle w:val="ListParagraph"/>
        <w:numPr>
          <w:ilvl w:val="0"/>
          <w:numId w:val="2"/>
        </w:numPr>
        <w:spacing w:after="60"/>
      </w:pPr>
      <w:r>
        <w:t xml:space="preserve">Precio por encima de 86,80 GBP: pasaríamos a Vender.</w:t>
      </w:r>
    </w:p>
    <w:p>
      <w:pPr>
        <w:pStyle w:val="ListParagraph"/>
        <w:numPr>
          <w:ilvl w:val="0"/>
          <w:numId w:val="2"/>
        </w:numPr>
        <w:spacing w:after="60"/>
      </w:pPr>
      <w:r>
        <w:t xml:space="preserve">Margen operativo ajustado de 2026 por encima del 20,5 % y STS por encima del 4 % orgánico en 2S26: revisaríamos al alza.</w:t>
      </w:r>
    </w:p>
    <w:p>
      <w:pPr>
        <w:pStyle w:val="ListParagraph"/>
        <w:numPr>
          <w:ilvl w:val="0"/>
          <w:numId w:val="2"/>
        </w:numPr>
        <w:spacing w:after="60"/>
      </w:pPr>
      <w:r>
        <w:t xml:space="preserve">BPA ajustado de 2026 por debajo de 3,00 GBP: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BPA ajustado vuelva a crecer por encima del 10 % anual (consenso NIIF de 3,12 GBP en 2026e y 3,55 en 2028e) y que el múltiplo se mantenga cerca de 20-22 veces [25, 26].</w:t>
      </w:r>
    </w:p>
    <w:p>
      <w:pPr>
        <w:keepNext/>
        <w:spacing w:after="100"/>
      </w:pPr>
      <w:r>
        <w:rPr>
          <w:b/>
          <w:bCs/>
        </w:rPr>
        <w:t xml:space="preserve">Lo que creemos nosotros.</w:t>
      </w:r>
    </w:p>
    <w:p>
      <w:pPr>
        <w:spacing w:after="100"/>
      </w:pPr>
      <w:r>
        <w:t xml:space="preserve">Coincidimos en el beneficio (nuestro BPA ajustado de 2028e, 3,69 GBP, está un 5 % por debajo del consenso ajustado estimado), pero con un bono británico cerca del 5 % el flujo de caja no justifica más de 50-60 GBP.</w:t>
      </w:r>
    </w:p>
    <w:p>
      <w:pPr>
        <w:keepNext/>
        <w:spacing w:after="100"/>
      </w:pPr>
      <w:r>
        <w:rPr>
          <w:b/>
          <w:bCs/>
        </w:rPr>
        <w:t xml:space="preserve">Por qué podemos tener razón.</w:t>
      </w:r>
    </w:p>
    <w:p>
      <w:pPr>
        <w:spacing w:after="100"/>
      </w:pPr>
      <w:r>
        <w:t xml:space="preserve">La tesis de «calidad castigada» se apoya en el múltiplo histórico, que se formó con tipos a cero. Sin una bajada de tipos, el precio ya refleja la mejora prevista.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7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Recambio recurrente</w:t>
      </w:r>
      <w:r>
        <w:t xml:space="preserve">: cerca del 85 % de las ventas es mantenimiento [13].</w:t>
      </w:r>
    </w:p>
    <w:p>
      <w:pPr>
        <w:pStyle w:val="ListParagraph"/>
        <w:numPr>
          <w:ilvl w:val="0"/>
          <w:numId w:val="2"/>
        </w:numPr>
        <w:spacing w:after="60"/>
      </w:pPr>
      <w:r>
        <w:rPr>
          <w:b/>
        </w:rPr>
        <w:t xml:space="preserve">Crece por encima de su mercado</w:t>
      </w:r>
      <w:r>
        <w:t xml:space="preserve">: +5 % orgánico frente al 1,5 % de la producción industrial [1].</w:t>
      </w:r>
    </w:p>
    <w:p>
      <w:pPr>
        <w:pStyle w:val="ListParagraph"/>
        <w:numPr>
          <w:ilvl w:val="0"/>
          <w:numId w:val="2"/>
        </w:numPr>
        <w:spacing w:after="60"/>
      </w:pPr>
      <w:r>
        <w:rPr>
          <w:b/>
        </w:rPr>
        <w:t xml:space="preserve">PER en la parte baja de su historia</w:t>
      </w:r>
      <w:r>
        <w:t xml:space="preserve">: 20,6 veces frente a 26,1 de mediana en 2022-2025.</w:t>
      </w:r>
    </w:p>
    <w:p>
      <w:pPr>
        <w:pStyle w:val="ListParagraph"/>
        <w:numPr>
          <w:ilvl w:val="0"/>
          <w:numId w:val="2"/>
        </w:numPr>
        <w:spacing w:after="60"/>
      </w:pPr>
      <w:r>
        <w:rPr>
          <w:b/>
        </w:rPr>
        <w:t xml:space="preserve">Electrificación</w:t>
      </w:r>
      <w:r>
        <w:t xml:space="preserve">: ETS +11 % orgánico y semiconductores +26 % [4].</w:t>
      </w:r>
    </w:p>
    <w:p>
      <w:pPr>
        <w:pStyle w:val="ListParagraph"/>
        <w:numPr>
          <w:ilvl w:val="0"/>
          <w:numId w:val="2"/>
        </w:numPr>
        <w:spacing w:after="60"/>
      </w:pPr>
      <w:r>
        <w:rPr>
          <w:b/>
        </w:rPr>
        <w:t xml:space="preserve">Dividendo creciente</w:t>
      </w:r>
      <w:r>
        <w:t xml:space="preserve"> durante más de 55 años: 170 peniques en 2025 [2].</w:t>
      </w:r>
    </w:p>
    <w:p>
      <w:pPr>
        <w:pStyle w:val="Heading2"/>
      </w:pPr>
      <w:r>
        <w:t xml:space="preserve">En contra</w:t>
      </w:r>
    </w:p>
    <w:p>
      <w:pPr>
        <w:pStyle w:val="ListParagraph"/>
        <w:numPr>
          <w:ilvl w:val="0"/>
          <w:numId w:val="2"/>
        </w:numPr>
        <w:spacing w:after="60"/>
      </w:pPr>
      <w:r>
        <w:rPr>
          <w:b/>
        </w:rPr>
        <w:t xml:space="preserve">STS estancado</w:t>
      </w:r>
      <w:r>
        <w:t xml:space="preserve">: +1 % en 1S26 y margen −140 pb [4].</w:t>
      </w:r>
    </w:p>
    <w:p>
      <w:pPr>
        <w:pStyle w:val="ListParagraph"/>
        <w:numPr>
          <w:ilvl w:val="0"/>
          <w:numId w:val="2"/>
        </w:numPr>
        <w:spacing w:after="60"/>
      </w:pPr>
      <w:r>
        <w:rPr>
          <w:b/>
        </w:rPr>
        <w:t xml:space="preserve">ROIC del 12,3 %</w:t>
      </w:r>
      <w:r>
        <w:t xml:space="preserve"> frente a un WACC del 9,46 %: poca creación de valor.</w:t>
      </w:r>
    </w:p>
    <w:p>
      <w:pPr>
        <w:pStyle w:val="ListParagraph"/>
        <w:numPr>
          <w:ilvl w:val="0"/>
          <w:numId w:val="2"/>
        </w:numPr>
        <w:spacing w:after="60"/>
      </w:pPr>
      <w:r>
        <w:rPr>
          <w:b/>
        </w:rPr>
        <w:t xml:space="preserve">Valor intrínseco de 58,62 GBP</w:t>
      </w:r>
      <w:r>
        <w:t xml:space="preserve">, un 17,3 % por debajo del precio.</w:t>
      </w:r>
    </w:p>
    <w:p>
      <w:pPr>
        <w:pStyle w:val="ListParagraph"/>
        <w:numPr>
          <w:ilvl w:val="0"/>
          <w:numId w:val="2"/>
        </w:numPr>
        <w:spacing w:after="60"/>
      </w:pPr>
      <w:r>
        <w:rPr>
          <w:b/>
        </w:rPr>
        <w:t xml:space="preserve">Ajustes grandes</w:t>
      </w:r>
      <w:r>
        <w:t xml:space="preserve">: 74,5 M GBP entre beneficio reportado y ajustado en 2025 [2].</w:t>
      </w:r>
    </w:p>
    <w:p>
      <w:pPr>
        <w:pStyle w:val="ListParagraph"/>
        <w:numPr>
          <w:ilvl w:val="0"/>
          <w:numId w:val="2"/>
        </w:numPr>
        <w:spacing w:after="60"/>
      </w:pPr>
      <w:r>
        <w:rPr>
          <w:b/>
        </w:rPr>
        <w:t xml:space="preserve">Margen ajustado del 20,0 %</w:t>
      </w:r>
      <w:r>
        <w:t xml:space="preserve">, lejos del 25,3 % de 2021 [6].</w:t>
      </w:r>
    </w:p>
    <w:p>
      <w:pPr>
        <w:pStyle w:val="Heading2"/>
      </w:pPr>
      <w:r>
        <w:t xml:space="preserve">Qué tiene que pasar para que la tesis funcione</w:t>
      </w:r>
    </w:p>
    <w:p>
      <w:pPr>
        <w:spacing w:after="100"/>
      </w:pPr>
      <w:r>
        <w:t xml:space="preserve">La tesis depende de que STS vuelva a crecer por encima del 3-4 % orgánico y de que el margen ajustado del grupo supere el 20,5 % en 2026. Una actualización de noviembre con STS plano y la conversión de caja por debajo del 85 % dirían que el margen no vuelve.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STS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en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del grupo.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proyectado.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ajustada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85 %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caras.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26,4x / 22,2x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Spirax-Sarco nace en Cheltenham (Reino Unido) en los años veinte como distribuidor de purgadores de vapor estadounidenses y crece como fabricante propio con una red de ingenieros de ventas en más de 60 países [15]. Compró Watson-Marlow (bombas peristálticas) en 1990 y, en 2017, Chromalox (calentamiento eléctrico, EE. UU.), base del negocio eléctrico; en 2022 añadió Vulcanic y Durex [6, 8]. En 2024 cambió su nombre a Spirax Group y reorganizó la marca en tres negocios [15]. Tras el pico de 2021 (margen ajustado del 25,3 %) el beneficio retrocedió tres años por la caída de biofarma y semiconductores, y en 2025 cerró una reestructuración con 40 M GBP de ahorro anual [6,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Watson-Marlow, origen del negocio de bombas peristálticas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Chromalox, base de Electric Thermal Solutions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récord: margen operativo ajustado del 25,3 % y BPA ajustado de 338,9 peniques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Vulcanic (261,7 M EUR) y Durex; la deuda sube a 1,5 veces el EBITDA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−17 % por la caída de volumen en biofarma y semiconductores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Spirax Group y día del inversor con objetivos a medio plazo [2,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40 M GBP de ahorro anual con un coste de 40 M [2].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Spirax Group (antes Spirax-Sarco Engineering; nombre nuevo desde 2024) fabrica y vende equipos y servicios para la gestión de energía térmica y de fluidos industriales [2, 10]. Tiene tres negocios: Steam Thermal Solutions (STS, vapor: purgadores, válvulas, intercambiadores y servicio; 853,4 M GBP en 2025), Electric Thermal Solutions (ETS, calentamiento eléctrico industrial a partir de Chromalox, Thermocoax, Vulcanic y Durex; 441,3 M) y Watson-Marlow Fluid Technology Solutions (WMFTS, bombas peristálticas y componentes para biofarma, alimentación y agua; 408,2 M) [2]. Vende a través de una red comercial propia de ingenieros de ventas que atiende directamente a decenas de miles de plantas (alimentación, farmacia, química, hospitales, semiconductores) [2, 13].</w:t>
      </w:r>
    </w:p>
    <w:p>
      <w:pPr>
        <w:pStyle w:val="Heading2"/>
      </w:pPr>
      <w:r>
        <w:t xml:space="preserve">Cómo gana dinero</w:t>
      </w:r>
    </w:p>
    <w:p>
      <w:pPr>
        <w:spacing w:after="100"/>
      </w:pPr>
      <w:r>
        <w:t xml:space="preserve">Cerca del 85 % de las ventas viene del mantenimiento y de pequeñas mejoras de sistemas ya instalados, no de grandes proyectos [13]: es gasto operativo del cliente, recurrente y poco sensible al precio porque un purgador o una bomba cuestan poco frente a la energía o el producto que protegen. El margen depende del volumen (apalancamiento operativo de una red comercial directa con costes fijos), del precio (subidas anuales por encima de la inflación de costes) y de la mezcla: STS gana un 23,5 % y Watson-Marlow un 26,2 %, frente al 16,2 % de ETS [2]. En 2023 la caída de volumen en biofarma y semiconductores, los negocios de más margen, bajó el margen ajustado del 23,6 % al 20,7 %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Steam Thermal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Electric Thermal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Watson-Marlow</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y ajustes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Steam Thermal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Electric Thermal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Watson-Marlow</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y ajustes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pStyle w:val="Heading2"/>
      </w:pPr>
      <w:r>
        <w:t xml:space="preserve">Clientes, recurrencia y poder de precios</w:t>
      </w:r>
    </w:p>
    <w:p>
      <w:pPr>
        <w:spacing w:after="100"/>
      </w:pPr>
      <w:r>
        <w:t xml:space="preserve">Decenas de miles de plantas industriales y hospitales en más de 60 países, sin concentración relevante declarada [13, 15]. El poder de precios se ve en que la empresa crece por encima de la producción industrial: +5 % orgánico en 2025 y en 1S26 frente al 1,5 % de la producción industrial mundial [1,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Frente a una producción industrial mundial del 1,5 % (sin China)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1S25: 19,3 %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19,8 %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completo: 20,0 %; 2021: 25,3 % [1,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ajustada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54 %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 frente al 1S25 (61 %)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Estacional; la empresa espera ~89-90 % en el año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STS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envíos de grandes proyectos en China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orgánico de ETS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 +11 %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1S26: +11 %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Semiconductores +26 % en el semestre [4, 11].</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Equipos y servicios de gestión térmica industrial (vapor y calentamiento eléctrico) y bombas para fluidos sensibles. Es un nicho dentro del equipamiento de control de flujos; su demanda depende sobre todo de la producción industrial y del gasto de mantenimiento de plantas existentes (alrededor del 85 % de las ventas del grupo según PitchBook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industrial mundial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toma la producción industrial como referencia: +1,5 % en 1S26 (sin China) frente a su crecimiento orgánico del 5 % [2,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Descarbonización del calor industrial (electrificación)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ETS crece un 11 % orgánico en 2025 y en 1S26 [2,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Semiconductores y biofarma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Semiconductores +26 % en ETS en 1S26; la caída de 2023 explicó el −17 % del BPA [4,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Grandes proyectos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envíos de proyectos en China frenan STS (+1 % en 1S26)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en vapor compite con Armstrong International, TLV y Gestra (privadas) y con Emerson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Decenas de miles de plantas; el producto es una parte pequeña del coste de la planta y crítico para su eficiencia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Metales y componentes estándar; sin dependencia de un proveedor declarada.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ingenieros de ventas y la base instalada se tardan décadas en construir.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electrificación sustituye vapor a largo plazo; la empresa la cubre con ETS [2].</w:t>
            </w:r>
          </w:p>
        </w:tc>
      </w:tr>
    </w:tbl>
    <w:p>
      <w:pPr>
        <w:spacing w:after="160" w:before="0"/>
      </w:pPr>
    </w:p>
    <w:p>
      <w:pPr>
        <w:pStyle w:val="Heading2"/>
      </w:pPr>
      <w:r>
        <w:t xml:space="preserve">Ciclo</w:t>
      </w:r>
    </w:p>
    <w:p>
      <w:pPr>
        <w:spacing w:after="100"/>
      </w:pPr>
      <w:r>
        <w:t xml:space="preserve">La producción industrial mundial crece en torno al 1,5 % (sin China) y la empresa crece un 5 % orgánico en 1S26 tras tres años de beneficio a la baja (2022-2024) por el ciclo de biofarma y semiconductores [2, 4, 7].</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sistemas de vapor industrial y en bombas peristálticas (según la propia empresa); en calentamiento eléctrico, uno de los mayores especialistas [13,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Armstrong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principal rival en purgadores y sistemas de vapor.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TLV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fuerte en Asia.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Rotork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Actuadores de válvulas; comparable de control de flujos cotizado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IMI</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Válvulas y control de fluidos; comparable cotizado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Cerca del 85 % de las ventas viene de mantenimiento y pequeñas mejoras de sistemas ya instalados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Spirax Sarco, Chromalox y Watson-Marlow; homologaciones en biofarma.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20,0 % en 2025 y del 25,3 % en el pico de 2021 [3,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comercial directa en más de 60 países difícil de replicar [1].</w:t>
            </w:r>
          </w:p>
        </w:tc>
      </w:tr>
    </w:tbl>
    <w:p>
      <w:pPr>
        <w:spacing w:after="160" w:before="0"/>
      </w:pP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spacing w:after="100"/>
      </w:pPr>
      <w:r>
        <w:t xml:space="preserve">Crecimiento anual compuesto 2021-2025: ingresos </w:t>
      </w:r>
      <w:r>
        <w:rPr>
          <w:b/>
          <w:bCs/>
        </w:rPr>
        <w:t xml:space="preserve">6,1 %</w:t>
      </w:r>
      <w:r>
        <w:t xml:space="preserve">, EBITDA </w:t>
      </w:r>
      <w:r>
        <w:rPr>
          <w:b/>
          <w:bCs/>
        </w:rPr>
        <w:t xml:space="preserve">1,1 %</w:t>
      </w:r>
      <w:r>
        <w:t xml:space="preserve">, BPA </w:t>
      </w:r>
      <w:r>
        <w:rPr>
          <w:b/>
          <w:bCs/>
        </w:rPr>
        <w:t xml:space="preserve">-8,6 %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Ingresos de 1.344,5 M GBP en 2021 a 1.702,9 M en 2025, con las compras de ETS de 2022 (Vulcanic y Durex) como salto principal [5, 8]. El beneficio operativo ajustado tocó techo en 2022 (380,2 M, 23,6 %) y cayó a 349,1 M en 2023 (20,7 %) por la mezcla: menos volumen en biofarma y semiconductores [7]. En 2025 subió a 339,9 M ajustados (20,0 %, +30 pb orgánico), con 40 M de ahorros de la reestructuración [2]. El BPA ajustado pasó de 377,2 peniques en 2022 a 296,3 en 2025 [2, 7]. En 1S26, ingresos +5 % (863,8 M), margen ajustado del 19,8 % y BPA ajustado de 150,0 peniques (+9 %) [1].</w:t>
      </w:r>
    </w:p>
    <w:p>
      <w:pPr>
        <w:pStyle w:val="Heading2"/>
      </w:pPr>
      <w:r>
        <w:t xml:space="preserve">Ajustes y partidas no recurrentes</w:t>
      </w:r>
    </w:p>
    <w:p>
      <w:pPr>
        <w:spacing w:after="100"/>
      </w:pPr>
      <w:r>
        <w:t xml:space="preserve">La empresa publica cifras ajustadas sin amortización de intangibles de compras (≈34,6 M en 2025, estimación propia por diferencia entre el beneficio operativo de 305,3 M antes de reestructuración y el ajustado de 339,9 M [2, 10]) ni costes de reestructuración (40 M en 2025 [2]). El informe usa la cuenta reportada y devuelve al EBITDA los 40 M de reestructuración (no recurrentes). El objetivo a 12 meses y el PER histórico usan el BPA ajustado, la base que sigue el mercado.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marzo de 2026 la dirección presentó la reestructuración como cerrada (40 M GBP de ahorro anual) y guio a un crecimiento orgánico de un dígito medio con mejora del margen sobre el 19,8 % ajustado por divisa [2]. En agosto reiteró la guía: ventas +5 % orgánico, ETS +11 % y Watson-Marlow +7 %, pero STS solo +1 % con margen −140 pb por calendario de envíos e inversión comercial adelantada [1, 4, 11]. Las preguntas se centraron en STS y en China (menos envíos de grandes proyectos) y en la conversión de caja (54 % en el semestre frente al 61 %), que la empresa espera llevar al 89-90 % en el año [3, 4]. La dirección no dio cifras de pedidos de STS más allá de una «cartera fuerte» [1]. La acción cayó entre un 5,6 % y un 11 % en la sesión [4, 11].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Compras de Vulcanic (261,7 M EUR, cerrada el 30-sep-22) y Durex (EE. UU.) en ETS: la cuenta de 2022 recoge solo parte del año.). Los ratios de balance de ese año (días, circulante, deuda neta / EBITDA, ROIC) y los indicadores de calidad contable no son comparables con los anteriores.</w:t>
      </w:r>
    </w:p>
    <w:p>
      <w:pPr>
        <w:spacing w:after="100"/>
      </w:pPr>
      <w:r>
        <w:t xml:space="preserve">La deuda neta subió con las compras de 2022 (Vulcanic, 261,7 M EUR) hasta 1,7 veces el EBITDA a fin de 2023 y ha bajado a 564,7 M GBP (1,5 veces) en 2025 [2, 8]. En jun-26 sube a 618,2 M (1,6 veces) por el pago del dividendo final y la estacionalidad del circulante [3]. El balance no limita la estrategia: con 1,5 veces el EBITDA hay margen para compras pequeñas sin ampliar capital.</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2023-2025: FCF </w:t>
      </w:r>
      <w:r>
        <w:rPr>
          <w:b/>
          <w:bCs/>
        </w:rPr>
        <w:t xml:space="preserve">840</w:t>
      </w:r>
      <w:r>
        <w:t xml:space="preserve">, conversión </w:t>
      </w:r>
      <w:r>
        <w:rPr>
          <w:b/>
          <w:bCs/>
        </w:rPr>
        <w:t xml:space="preserve">156 %</w:t>
      </w:r>
      <w:r>
        <w:t xml:space="preserve"> del beneficio neto; adquisiciones 0, dividendos 122, recompras 0.</w:t>
      </w:r>
    </w:p>
    <w:p>
      <w:pPr>
        <w:spacing w:after="100"/>
      </w:pPr>
      <w:r>
        <w:t xml:space="preserve">El flujo operativo fue de 299 M GBP en 2023, 312,8 M en 2024 y 296,2 M en 2025 (con 22 M de caja de reestructuración) [2, 14]. La conversión de caja ajustada fue del 89 % en 2025 con un capex del 4 % de las ventas [2]. No hay desglose de capex de mantenimiento; estimación propia: la amortización de inmovilizado, software y arrendamientos (≈4 % de las ventas) es la referencia del mantenimiento.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Las diferencias entre lo reportado y lo ajustado son grandes y repetidas: 74,5 M GBP en 2025 (amortización de intangibles de compras y reestructuración) y 64,7 M en 2023 [2, 7]. La amortización de intangibles es real pero no de caja; la reestructuración de 2025 se presenta como única. El Altman Z de 3,20 está en zona segura; el Piotroski F de 4 sale con datos incompletos y no es concluyente; el Beneish M no se puede calcular sin circulante.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recurrentes al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de 40 M en 2025 tras ajustes también en 2023; vigilar que no se repita [2, 7].</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9,5 %.</w:t>
      </w:r>
    </w:p>
    <w:p>
      <w:pPr>
        <w:spacing w:after="100"/>
      </w:pPr>
      <w:r>
        <w:t xml:space="preserve">El ROIC es del 12,3 % en 2025 (NOPAT de 221 M GBP sobre 1.796 M de capital invertido con el fondo de comercio), frente a un WACC del 9,46 %: crea valor, pero con un margen de unos 2,8 puntos, lejos del de un compuesto de calidad. El ROIC ha caído porque el NOPAT bajó de 241 M en 2021 a 221 M en 2025 mientras el capital crecía con las compras de 2022. La palanca es el margen, no la rotación (1,28 veces).</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neta de 564,7 M GBP a dic-25 (596,2 M a dic-24), 1,5 veces el EBITDA; 618,2 M y 1,6 veces a jun-26 según un resumen secundario [2, 3, 12].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Los detalles de pensiones, provisiones y vencimientos no estaban accesibles (ver huecos). La deuda neta publicada incluye arrendamientos; el objetivo de apalancamiento es 1-1,5 veces el EBITDA [2, 3].</w:t>
      </w:r>
    </w:p>
    <w:p>
      <w:pPr>
        <w:pStyle w:val="Heading1"/>
      </w:pPr>
      <w:r>
        <w:t xml:space="preserve">12. Asignación de capital</w:t>
      </w:r>
    </w:p>
    <w:p>
      <w:pPr>
        <w:pStyle w:val="Confianza"/>
        <w:spacing w:after="100"/>
      </w:pPr>
      <w:r>
        <w:t xml:space="preserve">Confianza: Baja</w:t>
      </w:r>
    </w:p>
    <w:p>
      <w:pPr>
        <w:spacing w:after="100"/>
      </w:pPr>
      <w:r>
        <w:t xml:space="preserve">Dividendo progresivo durante más de 55 años: 170 peniques en 2025 (+3 %) e interino de 50,4 peniques en 2026 (+3,1 %) [1, 2]. Sin recompras. Prioridad: inversión orgánica (capex del 4 % de las ventas), compras complementarias y apalancamiento entre 1 y 1,5 veces el EBITDA [2,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Vulcanic (Francia, calentamiento eléctrico)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ETS; ETS creció un 11 % orgánico en 2025 con margen del 16,2 %, por debajo del 23,5 % de STS [2,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Durex Industries (EE. UU., calentamiento eléctrico a medida)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 en ETS; precio no localizado [8].</w:t>
            </w:r>
          </w:p>
        </w:tc>
      </w:tr>
    </w:tbl>
    <w:p>
      <w:pPr>
        <w:spacing w:after="160" w:before="0"/>
      </w:pPr>
    </w:p>
    <w:p>
      <w:pPr>
        <w:spacing w:after="100"/>
      </w:pPr>
      <w:r>
        <w:t xml:space="preserve">La asignación de capital es el punto flojo de los últimos cinco años: las compras de ETS de 2022 se pagaron en máximos del ciclo y ETS gana un 16,2 % frente al 23,5 % de STS [2]. El NOPAT del grupo bajó de 241 M GBP en 2021 a 221 M en 2025 con un capital invertido mayor: el ROIC actual es del 12,3 %.</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Nimesh Patel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del grupo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desde 2023; dirigió la reestructuración de 2025 (40 M GBP de ahorro anual) y fijó los objetivos de medio plazo de octubre de 2024 [1,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Louisa Burdett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no ejecutiva de SEGRO desde el 1-may-2026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ventas y mejora del margen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orgánico; margen ajustado +30 pb orgánico (20,0 %)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un dígito medio y más margen orgánico sobre el 19,8 % ajustado por divisa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+5 % orgánico, margen 19,8 %; guía reiterada el 11-ago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con tres años en el cargo y una guía cumplida en 2025 [2]. La reestructuración ha devuelto el margen ajustado al 20 % pero no al 23-25 % de 2021-2022. Sin datos de participación de los directivos ni del plan de sucesión.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Nimesh Patel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Louisa Burdett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Antoniou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Tim Cobbold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 la de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APG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4,99 % (sep-24)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Eleva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mar-25 (acciones e instrumentos)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Norges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del 3,29 % el 17-jul-26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 mayo de 2026 aprobó una nueva política de remuneración y las reglas del plan de acciones; el apoyo más bajo de las 24 propuestas fue del 85,57 % [22]. No se ha podido ver qué propuesta recibió ese voto ni las métricas del variable (ver huecos).</w:t>
      </w:r>
    </w:p>
    <w:p>
      <w:pPr>
        <w:pStyle w:val="Heading2"/>
      </w:pPr>
      <w:r>
        <w:t xml:space="preserve">Operaciones vinculadas, estructura de control y defensas</w:t>
      </w:r>
    </w:p>
    <w:p>
      <w:pPr>
        <w:spacing w:after="100"/>
      </w:pPr>
      <w:r>
        <w:t xml:space="preserve">Capital disperso: 73.826.048 acciones ordinarias sin autocartera a 11-mar-26 y ningún accionista declarado por encima del 5 % en los avisos hallados [19, 20, 21]. Una sola clase de acciones. En la junta del 13-may-2026 se aprobaron las 24 propuestas, con votos a favor entre el 85,57 % y el 99,99 %, incluida una nueva política de remuneración y las reglas del plan de acciones [22].</w:t>
      </w:r>
    </w:p>
    <w:p>
      <w:pPr>
        <w:pStyle w:val="Heading2"/>
      </w:pPr>
      <w:r>
        <w:t xml:space="preserve">Señales de alerta</w:t>
      </w:r>
    </w:p>
    <w:p>
      <w:pPr>
        <w:pStyle w:val="ListParagraph"/>
        <w:numPr>
          <w:ilvl w:val="0"/>
          <w:numId w:val="2"/>
        </w:numPr>
        <w:spacing w:after="60"/>
      </w:pPr>
      <w:r>
        <w:t xml:space="preserve">Ninguna relevante detectada en los avisos de participaciones y el resultado de la junta revisados.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Para 2026: crecimiento orgánico de las ventas de un dígito medio y mejora orgánica del margen operativo ajustado sobre el 19,8 % ajustado por divisa de 2025; confirmado el 13-may-26 y el 11-ago-26 [1, 2]. A medio plazo (día del inversor de octubre de 2024): crecimiento orgánico de un dígito medio, mejora del margen y del rendimiento del capital; un resumen secundario cita un margen del 22-23 %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compilado por la empresa, mediana a 3-ago-2026 (BPA básico NIIF; EBIT = beneficio operativo ajustado)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(S&amp;P Global), beneficio neto de 238 M ÷ 73,83 M acciones, 28-jul-2026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(S&amp;P Global), beneficio neto de 262 M ÷ 73,83 M acciones, 14 analistas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68,00 – 105,00</w:t>
            </w:r>
          </w:p>
        </w:tc>
      </w:tr>
    </w:tbl>
    <w:p>
      <w:pPr>
        <w:spacing w:after="160" w:before="0"/>
      </w:pPr>
    </w:p>
    <w:p>
      <w:pPr>
        <w:pStyle w:val="Heading2"/>
      </w:pPr>
      <w:r>
        <w:t xml:space="preserve">Revisiones de estimaciones</w:t>
      </w:r>
    </w:p>
    <w:p>
      <w:pPr>
        <w:spacing w:after="100"/>
      </w:pPr>
      <w:r>
        <w:t xml:space="preserve">El consenso de la empresa para 2026 bajó ligeramente de 318 peniques de BPA básico (24-mar-26) a 312 (3-ago-26) [25]. Las estimaciones de 2027 y 2028 vienen de una sola fuente (Simply Wall St) en base NIIF; el objetivo medio y el rango, de Investing.com (marzo de 2026). Tras los resultados, Jefferies mantiene «comprar» con 87,40 GBP y Stifel «mantener» con 72,50 [28, 35].</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Spirax cotizó a 23-33 veces el BPA ajustado en 2022-2025 y a 46 veces en 2021 (excluido por burbuja de múltiplos de calidad) [2, 7, 29]. Hoy, a 70,90 GBP, cotiza a 20,6 veces nuestro BPA ajustado de 2027e: el descuento frente a su historia refleja tipos más altos (bono británico a 10 años cerca del 5 % [34]) y tres años de beneficio a la baja.</w:t>
      </w:r>
    </w:p>
    <w:p>
      <w:pPr>
        <w:pStyle w:val="Heading1"/>
      </w:pPr>
      <w:r>
        <w:t xml:space="preserve">18. Comparables cotizados</w:t>
      </w:r>
    </w:p>
    <w:p>
      <w:pPr>
        <w:pStyle w:val="Confianza"/>
        <w:spacing w:after="100"/>
      </w:pPr>
      <w:r>
        <w:t xml:space="preserve">Confianza: Baja</w:t>
      </w:r>
    </w:p>
    <w:p>
      <w:pPr>
        <w:spacing w:after="100"/>
      </w:pPr>
      <w:r>
        <w:t xml:space="preserve">Industriales británicos y europeos de control de flujos e instrumentación con márgenes altos y negocio de recambio: Rotork (actuadores), IMI (válvulas), Halma (instrumentación de nicho) y Atlas Copco (compresores y vacío). No se incluyen Armstrong ni TLV (no cotizan). Solo PER adelantado: los EV/EBITDA no eran verificables.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Spirax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Rotork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 / 28,0x / 28,5x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r>
    </w:tbl>
    <w:p>
      <w:pPr>
        <w:spacing w:after="160" w:before="0"/>
      </w:pPr>
    </w:p>
    <w:p>
      <w:pPr>
        <w:spacing w:after="100"/>
      </w:pPr>
      <w:r>
        <w:t xml:space="preserve">La mediana del PER adelantado de los cuatro comparables es de 28 veces (Rotork 27,7, Halma 29,0, Atlas Copco 28,3 e IMI 21,9) [16, 30, 32, 33]. Spirax cotiza con descuento a todos salvo IMI, pese a márgenes superiores. El descuento se explica por el estancamiento de STS y por tres años de beneficio a la baja; no por la calidad del negocio.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3,5 % en 2026e (fijo: +5 % orgánico en el semestre menos divisa, en línea con los 1.760 M del consenso [25]), 5 % en 2027-2028e (guía de un dígito medio orgánico [2]) y bajada gradual al 2,5 % en 2035e. La media 2021-2025 fue del 6 % con compras; la orgánica de 2025, del 5 % [2].</w:t>
      </w:r>
    </w:p>
    <w:p>
      <w:pPr>
        <w:keepNext/>
        <w:spacing w:after="100"/>
      </w:pPr>
      <w:r>
        <w:rPr>
          <w:b/>
          <w:bCs/>
        </w:rPr>
        <w:t xml:space="preserve">Márgenes.</w:t>
      </w:r>
    </w:p>
    <w:p>
      <w:pPr>
        <w:spacing w:after="100"/>
      </w:pPr>
      <w:r>
        <w:t xml:space="preserve">EBITDA ajustado del 24,3 % en 2026e (beneficio operativo ajustado del 20,3 %, igual que los 360 M del consenso [25]) que sube al 25,5 % en 2030e: equivale a un margen operativo ajustado del 21,5 %, por debajo del objetivo del 22-23 % y del 23,6 % de 2022 [3, 7].</w:t>
      </w:r>
    </w:p>
    <w:p>
      <w:pPr>
        <w:keepNext/>
        <w:spacing w:after="100"/>
      </w:pPr>
      <w:r>
        <w:rPr>
          <w:b/>
          <w:bCs/>
        </w:rPr>
        <w:t xml:space="preserve">Inversión y circulante.</w:t>
      </w:r>
    </w:p>
    <w:p>
      <w:pPr>
        <w:spacing w:after="100"/>
      </w:pPr>
      <w:r>
        <w:t xml:space="preserve">Amortización del 4 % de las ventas (inmovilizado, software y derechos de uso, sin intangibles de compras) y capex del 5,4 % hasta 2030e y del 4,9 % después: incluye el 4 % de capex publicado [2] más ~0,8-1,4 puntos por el circulante (≈18 % de las ventas, estimación propia) y los arrendamientos, porque el balance no da el circulante.</w:t>
      </w:r>
    </w:p>
    <w:p>
      <w:pPr>
        <w:keepNext/>
        <w:spacing w:after="100"/>
      </w:pPr>
      <w:r>
        <w:rPr>
          <w:b/>
          <w:bCs/>
        </w:rPr>
        <w:t xml:space="preserve">Coste del capital.</w:t>
      </w:r>
    </w:p>
    <w:p>
      <w:pPr>
        <w:spacing w:after="100"/>
      </w:pPr>
      <w:r>
        <w:t xml:space="preserve">Bono británico a 10 años del 4,9 % (5,05 % en julio de 2026 [34]; estimación a la fecha de corte), beta de 0,95 (estimación propia; sin bolsa.mjs), prima del 5,5 %, coste de la deuda del 5,5 % y 11 % de deuda a mercado. WACC del 9,46 %.</w:t>
      </w:r>
    </w:p>
    <w:p>
      <w:pPr>
        <w:keepNext/>
        <w:spacing w:after="100"/>
      </w:pPr>
      <w:r>
        <w:rPr>
          <w:b/>
          <w:bCs/>
        </w:rPr>
        <w:t xml:space="preserve">Valor terminal.</w:t>
      </w:r>
    </w:p>
    <w:p>
      <w:pPr>
        <w:spacing w:after="100"/>
      </w:pPr>
      <w:r>
        <w:t xml:space="preserve">Gordon con un 2,5 %: inflación del 2 % más un crecimiento real bajo, por debajo de la tasa libre del 4,9 % menos medio punto.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M (7 % del NOPAT)</w:t>
            </w:r>
          </w:p>
        </w:tc>
      </w:tr>
    </w:tbl>
    <w:p>
      <w:pPr>
        <w:spacing w:after="160" w:before="0"/>
      </w:pPr>
    </w:p>
    <w:p>
      <w:pPr>
        <w:spacing w:after="100"/>
      </w:pPr>
      <w:r>
        <w:t xml:space="preserve">La proyección apenas necesita inversión neta de la amortización (reinversión acumulada de 241 M, el 7 % del NOPAT, con un capex bruto medio del 5,2 % de las ventas). En un negocio de activos ligeros, el crecimiento medio del 3,7 %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≈3 % (subidas anuales por encima de la inflación) y volumen ≈2 % (producción industrial del 1,5 % más ETS); la divisa resta ~1,5 puntos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crecimiento orgánico de un dígito medio: volumen 2 % y precio 3 %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se apoya en ETS (electrificación y semiconductores) y en la recuperación de STS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más bajo al normalizarse semiconductores.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al crecimiento nominal de la producción industrial más precio.</w:t>
            </w:r>
          </w:p>
        </w:tc>
      </w:tr>
    </w:tbl>
    <w:p>
      <w:pPr>
        <w:spacing w:after="160" w:before="0"/>
      </w:pPr>
    </w:p>
    <w:p>
      <w:pPr>
        <w:spacing w:after="100"/>
      </w:pPr>
      <w:r>
        <w:t xml:space="preserve">La proyección pide un 3,7 % anual de crecimiento medio, por debajo del 5 % orgánico de 2025 y del 1S26, y apenas necesita capital nuevo (reinversión del 7 % del NOPAT). En un negocio de recambio con un 85 % de ventas de mantenimiento [13], la prueba es el poder de precios: la empresa crece 3,5 puntos por encima de la producción industrial [1]. El margen proyectado (21,5 % operativo ajustado en 2030e) queda por debajo del de 2021-2022 y del objetivo de la empresa. La cuota no se puede medir (sin tamaño de mercado).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 (base: 25,5 %)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9,5 %)</w:t>
            </w:r>
          </w:p>
        </w:tc>
      </w:tr>
    </w:tbl>
    <w:p>
      <w:pPr>
        <w:spacing w:after="160" w:before="0"/>
      </w:pP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STS sigue estancado (China, ciclo de proyectos) y semiconductores se enfría como en 2023: crecimiento 2,5 puntos menor y margen 1,5 puntos menor, como la caída de 2022-2023 [7].</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un dígito medio y margen operativo ajustado que sube poco a poco al 21,5 %.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STS vuelve a crecer por encima del 4 % y ETS mantiene dos dígitos: margen 1 punto mayor, hacia el objetivo del 22-23 %.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GBP) · precio actual 7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46,70 GBP (-34,1 %).</w:t>
      </w:r>
    </w:p>
    <w:p>
      <w:pPr>
        <w:spacing w:after="100"/>
      </w:pPr>
      <w:r>
        <w:t xml:space="preserve">Con nuestro WACC, los tres escenarios del DCF quedan por debajo del precio: el problema es la tasa (bono británico cerca del 5 %), no el negocio. A 12 meses la lectura cambia: con la regla común de múltiplos, el bajista pierde en torno a un 20 % y el alcista gana más de un 50 %, pero la ponderada queda por debajo del umbral de compra.</w:t>
      </w:r>
    </w:p>
    <w:p>
      <w:pPr>
        <w:pStyle w:val="Heading1"/>
      </w:pPr>
      <w:r>
        <w:t xml:space="preserve">22. Suma de partes</w:t>
      </w:r>
    </w:p>
    <w:p>
      <w:pPr>
        <w:pStyle w:val="Confianza"/>
        <w:spacing w:after="100"/>
      </w:pPr>
      <w:r>
        <w:t xml:space="preserve">Confianza: Baja</w:t>
      </w:r>
    </w:p>
    <w:p>
      <w:pPr>
        <w:spacing w:after="100"/>
      </w:pPr>
      <w:r>
        <w:t xml:space="preserve">No aplica: los tres negocios comparten clientes, red comercial y perfil de márgenes, y no hay comparables puros verificables de cada uno.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GBP) · precio actual 7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58,62 GBP (-17,3 % sobre 70,90).</w:t>
      </w:r>
    </w:p>
    <w:p>
      <w:pPr>
        <w:spacing w:after="100"/>
      </w:pPr>
      <w:r>
        <w:t xml:space="preserve">Pesos: DCF 50 %, comparables 25 % y escenarios 25 %. El DCF es el método más exigente porque el WACC (9,46 %) es alto para un negocio de recambio; los comparables (PER de 28 veces) dan el valor más alto. La dispersión entre métodos es grande y muestra que la conclusión depende de la tasa de descuento más que de las cifras de la empresa. Sin transacciones con múltiplo verificable, peso 0.</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(20.6x) × 1.1 (tope: la mediana de 5 años, 40.4x,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122,71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+75,5 %</w:t>
            </w:r>
          </w:p>
        </w:tc>
      </w:tr>
    </w:tbl>
    <w:p>
      <w:pPr>
        <w:spacing w:after="160" w:before="0"/>
      </w:pPr>
    </w:p>
    <w:p>
      <w:pPr>
        <w:spacing w:after="100"/>
      </w:pPr>
      <w:r>
        <w:rPr>
          <w:b/>
          <w:bCs/>
        </w:rPr>
        <w:t xml:space="preserve">Objetivo a 12 meses (ponderado):</w:t>
      </w:r>
      <w:r>
        <w:t xml:space="preserve"> 83,91 GBP · rentabilidad +20,8 % (base +20,6 %) · señal Mantener.</w:t>
      </w:r>
    </w:p>
    <w:p>
      <w:pPr>
        <w:spacing w:after="100"/>
      </w:pPr>
      <w:r>
        <w:t xml:space="preserve">Para comparar, con la regla v2 (historia al cierre, mismo precio): 17,5x / 20,6x / 26,8x, 10,2 % Mantener; con el tope anterior del base (×1,3, 14-oct mediodía): 42,3 % Mantener. Decide la regla vigente (v3 con tope ×1,1; METODO-VIGENTE.md).</w:t>
      </w:r>
    </w:p>
    <w:p>
      <w:pPr>
        <w:keepNext/>
        <w:spacing w:after="100"/>
      </w:pPr>
      <w:r>
        <w:rPr>
          <w:b/>
          <w:bCs/>
        </w:rPr>
        <w:t xml:space="preserve">Frente al consenso (solo contraste).</w:t>
      </w:r>
    </w:p>
    <w:p>
      <w:pPr>
        <w:spacing w:after="100"/>
      </w:pPr>
      <w:r>
        <w:t xml:space="preserve">Nuestro BPA ajustado de 2028e (3,69 GBP) no se compara directamente con el consenso disponible, que es NIIF: 3,55 GBP en 2028e [26]; sumando ≈0,36 GBP de amortización de intangibles de compras después de impuestos, el consenso ajustado rondaría 3,90, un 5 % por encima del nuestro. La diferencia está en el margen: proyectamos un 21 % operativo ajustado en 2028e, por debajo del objetivo del 22-23 %. Nuestro precio base queda cerca del objetivo medio de los analistas (81,19 GBP).</w:t>
      </w:r>
    </w:p>
    <w:p>
      <w:pPr>
        <w:keepNext/>
        <w:spacing w:after="100"/>
      </w:pPr>
      <w:r>
        <w:rPr>
          <w:b/>
          <w:bCs/>
        </w:rPr>
        <w:t xml:space="preserve">Del valor intrínseco al objetivo a 12 meses.</w:t>
      </w:r>
    </w:p>
    <w:p>
      <w:pPr>
        <w:spacing w:after="100"/>
      </w:pPr>
      <w:r>
        <w:t xml:space="preserve">El objetivo a 12 meses queda muy por encima del valor intrínseco del DCF con nuestro WACC: el mercado paga 20 veces beneficios por un negocio con un 85 % de ventas recurrentes, y nuestro DCF con un bono británico cerca del 5 % solo justifica unas 14 veces. Lo que cerraría la distancia es una bajada de tipos en Reino Unido, no un hecho de la empresa;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 (mediados)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negocio de los diez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la recuperación de STS y la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 (principios)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año frente al 19,8 % y conversión de caja ~89-90 %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negocio del 1T27 y junta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 pedidos de STS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Bajadas de tipos del Banco de Inglaterra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Reduce el WACC y sostiene el PER de los valores de calidad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STS (la mitad de las ventas) sigue estancado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a 12 meses: −20 % aprox.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fuerte según la empresa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STS por debajo del 3 % en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semiconductores y biofarma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Como en 2023: BPA ajustado −17 % [7]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por sectores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ETS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británicos altos más tiempo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DCF ya da 49,10 GBP con un bono del 4,9 %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recambio defensivo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de proyectos en China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en ETS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Dilución del ROIC (12,3 %)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objetivo de 1-1,5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más de 15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recurrentes al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PER real más alto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declarada cerrada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reestructuración en 2026-27</w:t>
            </w:r>
          </w:p>
        </w:tc>
      </w:tr>
    </w:tbl>
    <w:p>
      <w:pPr>
        <w:spacing w:after="160" w:before="0"/>
      </w:pPr>
    </w:p>
    <w:p>
      <w:pPr>
        <w:pStyle w:val="Heading2"/>
      </w:pPr>
      <w:r>
        <w:t xml:space="preserve">Pre-mortem</w:t>
      </w:r>
    </w:p>
    <w:p>
      <w:pPr>
        <w:spacing w:after="100"/>
      </w:pPr>
      <w:r>
        <w:t xml:space="preserve">Octubre de 2029, la acción ha perdido un 40 %. STS no se recuperó: los grandes proyectos en China siguieron cayendo y la electrificación del calor industrial empezó a sustituir vapor más rápido de lo que ETS podía compensar con su margen más bajo. A la vez, los semiconductores entraron en otra fase baja como en 2023, y el BPA ajustado volvió a caer por debajo de 3 GBP. La dirección respondió con otra reestructuración y una compra grande en eléctrico a múltiplo alto. El mercado dejó de pagar prima de calidad: el PER bajó a 17-18 veces, como el de un industrial normal. Las señales que lo habrían anticipado: el crecimiento orgánico de STS por debajo de la producción industrial dos semestres seguidos, el margen ajustado del grupo sin pasar del 20 % en 2026 y una conversión de caja por debajo del 85 %.</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margen de STS en 1S26 es calendario y qué parte inversión comercial que se queda?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mitad del grupo y su margen bajó 140 pb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puede alcanzar ETS a medio plazo y qué peso tienen los semiconductores en sus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ETS crece un 11 % pero gana un 16,2 %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ROIC de las compras de ETS de 2022 frente al precio pagado?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grupo ha caído al 12,3 %.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bajó la conversión de caja al 54 % en 1S26 y qué garantiza el 89-90 % del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 al FCF y a la deuda neta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más costes de reestructuración en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Ajustes de 74,5 M en 2025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mantiene el margen del 22-23 % a medio plazo y en qué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Nuestro base solo llega al 21,5 %.</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con comentarios de mercado (Alliance News vía AJ Bell y HL)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lectura dominante tras el semestre: la guía sin cambios decepciona a un mercado que esperaba más y la acción cae hasta un 11 % en la sesión [11,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Business News Today y Proactive (análisis de la caída)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centran en el vapor (STS), que es la mitad del grupo y solo crece un 1 %, y en que las expectativas iban por delante de la guía [4,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Notas de corredores difundidas en prensa (Zonebourse)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ve un punto de entrada y Stifel mantiene «mantener» porque la valoración sigue alta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de autor independiente)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está barata, pero ya no está sobrevalorada»: sube a mantener con un PER de unas 23 veces y advierte de aranceles y China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narrativas apoyan la tesis de descarbonización y venta digital, pero la valoración automática de abril la daba un 20 % por encima de su valor razonable [39].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vapor (STS) se estanca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STS creció un 1 % en 1S26 y su margen bajó 140 pb; la empresa lo atribuye a calendario de envíos y a inversión comercial, y espera recuperar margen en la segunda mitad [4,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¿calidad a buen precio o aún cara?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70,90 GBP la acción cotiza a unas 20 veces nuestro BPA ajustado de 2027e, frente a 23-33 veces en 2022-2025.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semiconductores como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ETS crece un 11 % orgánico y semiconductores un 26 % en el semestre, pero ETS tiene el margen más bajo del grupo (16,2 % en 2025)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creciente durante más de 55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 170 peniques en 2025 (+3 %) e interino de 50,4 peniques (+3,1 %) [36].</w:t>
            </w:r>
          </w:p>
        </w:tc>
      </w:tr>
    </w:tbl>
    <w:p>
      <w:pPr>
        <w:spacing w:after="160" w:before="0"/>
      </w:pPr>
    </w:p>
    <w:p>
      <w:pPr>
        <w:spacing w:after="100"/>
      </w:pPr>
      <w:r>
        <w:t xml:space="preserve">El sentimiento de los particulares y de la prensa es dividido y empeora desde agosto: la guía sin cambios y el vapor estancado pesan más que la mejora del margen. No es capitulación: el precio está a mitad de su rango de 52 semanas (59,50-80,50 GBP) [23]. Coincide con nuestra lectura de que el catalizador es la recuperación de STS, no la valoración. No señala riesgos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17 controles correctos y 1 explicados. Fuentes: 40 (12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comparables. Explicación: Solo cuatro comparables con PER adelantado verificable en la búsqueda (Rotork, Halma, IMI, Atlas Copco); Alfa Laval, Weir e IDEX no tenían cifra de 2026. Peso de comparables limitado al 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3,2 %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2026-10-08, 4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24,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2021-2024; coste de ventas y gastos generales; resultado financiero, BAI e impuestos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de resultados anuales 2021-2025 buscados en el NSM de la FCA e Investegate: la búsqueda solo devuelve las cifras de cabecera; 2) Stock Analysis, Kalkine y Macrotrends: solo ingresos, EBIT, beneficio y la amortización de 2025 (102,2 M); 3) estimación propia de las amortizaciones de 2021-2024 (70, 85, 100 y 101 M) por la pendiente de las compras de ETS de 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2021-2023 y partidas de circulante, fondo de comercio y pensiones de 2024-2025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balance de los RNS anuales (NSM de la FCA): sin texto accesible en la búsqueda; 2) Stockopedia y Simply Wall St: solo caja, deuda y patrimonio; 3) Kalkine: activo y pasivo totales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adquisiciones y dividendos pagados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 los RNS anuales: sin texto en la búsqueda; 2) Stockopedia y Fintel: solo flujo operativo; 3) Macrotrends: en USD del ADR y sin línea de capex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semestres de 2024 y desglose de EBITDA semestral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RNS de resultados semestrales 2024 (NSM): solo cabeceras; 2) Quartr y Edison: solo 2026; 3) derivación desde el año: no hay EBITDA semestral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años de 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(aviso de publicación en Stockopedia): sin el texto del informe del auditor; 2) búsqueda de cambio de auditor: sin resultados; 3) prensa: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serie,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día del inversor de 2024: sin cifra de mercado en la búsqueda; 2) informes de KPMG sobre control de flujos: múltiplos, no tamaño; 3) informes de mercado de purgadores y calentamiento eléctrico: solo resúmenes promocionales sin fuente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ingresos y márgenes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Armstrong, TLV y Gestra no cotizan; 2) Rotork e IMI: sin cuentas en la búsqueda; 3) prensa sectorial: sin cuotas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materialidad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no aparece en la búsqueda; 2) MSCI y Sustainalytics: sin resultados; 3) prensa: sin controversias halladas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composición completa, voto de remuneración y remuneración del primer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Resultado de la junta del 13-may-26: rango de votos sin desglosar por propuesta; 2) informe anual 2025 (aviso de publicación): sin texto del informe de remuneraciones; 3) Simply Wall St: 1,35 M GBP de remuneración, cifra de tercero no usada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Avisos «Director/PDMR Shareholding» de mar-26 y abr-26: la búsqueda no da importes; 2) Investegate: mismo resultado; 3) prensa: sin compras o ventas relevantes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 Yahoo: sin red en este entorno; 2) Google Finance en la búsqueda: último dato 7.090 p del 8-oct (intradía); 3) HL, AJ Bell y Stockopedia: precios sin fecha o antiguos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rentabilidad total y beta: sin cifras fiables con fecha; 3) registro de cortos de la FCA: no accesible por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 cierre de cada ejercicio en peniques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cierres en GBX: solo instantáneas sueltas; 3) cierres del ADR SPXSY de Macrotrends × 2 (1 ADR = 0,5 acciones) ÷ GBP/USD de fin de año (1,3496; 1,2083; 1,2730; 1,2529; 1,345)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crecimiento, márgenes y capitalización de los comparables; más de cuatro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y Stock Analysis por búsqueda: solo PER adelantado suelto; 2) KPMG «flow control»: tablas desordenadas; 3) Alfa Laval, Weir, IDEX y Watts: sin PER adelantado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Vulcanic (261,7 M EUR) sin EBITDA publicado; 2) Durex: sin precio; 3) KPMG «flow control» M&amp;A: sin múltiplos legibles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del consenso y recomendaciones desglosadas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Consenso de la empresa: solo ingresos, beneficio operativo ajustado y BPA; 2) MarketScreener: no aparece en la búsqueda; 3) Investing.com: objetivo medio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LSE Chat e interactive investor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y Stocktwits sobre Spirax en 2026: sin resultados; 2) LSE Chat e iii: sin hilos devueltos por la búsqueda; 3) Motley Fool UK: sin artículos de 2026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y bono británico a 10 años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para la beta: sin red; 2) búsqueda del rendimiento del gilt en octubre de 2026: último dato de julio (5,05 %); 3) estimación propia: beta 0,95 y bono 4,9 %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 Half Year Results (RNS 0289Q)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https://data.fca.org.uk/artefacts/NSM/RNS/a14e85a6-df40-4136-8180-15921866a912.html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Full Year Results (RNS 9254V)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https://data.fca.org.uk/artefacts/NSM/RNS/e88ced31-23e1-477d-a2c4-aef28e6e3e0d.html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(SPX) H1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https://quartr.com/events/spirax-group-plc-spx-h1-2026_oqcEVTTD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shares fall as unchanged outlook collides with higher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Proactive Investors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https://www.proactiveinvestors.co.uk/companies/news/1096940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plc (LON:SPX)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https://stockanalysis.com/quote/lon/SPX/financials/income-statement/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Spirax-Sarco Engineering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https://www.investegate.co.uk/announcement/rns/spirax-group-plc--spx/2021-full-year-results/6845103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Spirax-Sarco Engineering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https://www.lse.co.uk/rns/SPX/2023-full-year-results-y999kzkacs2ks71.html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Completion of the acquisition of Vulcanic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Spirax-Sarco Engineering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https://www.investegate.co.uk/announcement/rns/spirax-group-plc--spx/completion-of-the-acquisition-of-vulcanic/7171196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https://www.lse.co.uk/rns/SPX/2024-full-year-results-j3jh406ycnlmsv6.html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plc (LSE:SPX), datos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https://kalkinemedia.com/uk/companies/lon-spx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posts sharp rise in H1 profit as margins widen across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https://www.hl.co.uk/shares/stock-market-news/company--news/spirax-posts-sharp-rise-in-h1-profit-as-margins-widen-across-group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Balance Sheet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https://simplywall.st/stocks/gb/capital-goods/lse-spx/spirax-group-shares/health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Overview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PitchBook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https://pitchbook.com/profiles/company/62257-87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cash flow statement, Spirax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https://stockopedia.com/share-prices/spirax-LON:SPX/cashflow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nueva identidad corporativa y perfil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https://www.spiraxgroup.com/en/news-and-media/news/spirax-group-announces-2025-half-year-results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Rotork plc (ROR.L) quote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https://finance.yahoo.com/quote/ROR.l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IMI plc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https://ca.marketscreener.com/quote/stock/IMI-PLC-120788413/valuation/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Director Details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https://www.ticker.app/lse/SPX/rns/2026-02-10/Change-in-Director-Details/4170S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(APG)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https://www.ticker.app/lse/SPX/rns/2024-09-13/holdings-in-company/1550E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(Eleva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https://www.ticker.app/lse/SPX/rns/2025-03-19/holdings-in-company/3265B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 shareholding in Spirax Group declines below 3% threshold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https://kalkine.co.uk/news/announcements/norges-bank-shareholding-in-spirax-group-declines-below-3-threshold-following-voting-rights-adjustment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https://www.ticker.app/lse/SPX/rns/2026-05-13/Result-of-AGM/2189E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(SPX:LON) quote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https://www.google.com/finance/beta/quote/SPX:LON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 TR-1: 73.826.048 acciones a 11-mar-2026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https://pdf.dfcfw.com/pdf/H22_AN202603111820498629_1.pdf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forecasts (update 3 August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https://www.spiraxgroup.com/en/investors/investment-case/consensus-forecasts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Future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https://simplywall.st/stocks/de/capital-goods/fra-1ln/spirax-group-shares/future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Spirax-Sarco Engineering PLC (SPX)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https://www.investing.com/equities/spirax-consensus-estimates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victime de dégagements, Jefferies voit un point d'entrée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https://www.optionfinance.fr/info-financiere-en-continu/d/2026-08-11-spirax-victime-de-degagements-jefferies-voit-un-point-dentree.html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- 12 Year Stock Price History (SPXSY)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https://www.macrotrends.net/stocks/charts/SPXSY/spirax-group/stock-price-history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(HLMAF)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https://stockanalysis.com/quote/otc/HLMAF/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(LSE:HLMA) market research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https://www.ajbell.co.uk/market-research/LSE%3AHLMA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IMI plc: resultados semestrales 2026 y guía de BPA ajustado de 136-142 peniques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Parqet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https://app.parqet.com/en/stocks/imi-plc-GB00BGLP8L22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(ATLFF)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https://stockanalysis.com/quote/otc/ATLFF/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10Y Bond Yield (julio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https://tradingeconomics.com/united-kingdom/government-bond-yield/news/568883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Stifel raises Spirax target to 7,250p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https://www.marketbeat.com/instant-alerts/spirax-sarco-engineering-lonspx-price-target-raised-to-gbx-7250-at-stifel-nicolaus-2026-03-11/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shares fall as leaves outlook unchanged; profit and dividend 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https://www.ajbell.co.uk/news/articles/spirax-shares-fall-leaves-outlook-unchanged-profit-and-dividend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shares fall 5.6% as unchanged 2026 outlook collides with higher investor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News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https://business-news-today.com/spirax-group-lse-spx-shares-fall-5-6-as-unchanged-2026-outlook-collides-with-higher-investor-expectations/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Not Cheap, But No Longer Overpriced (Rating Upgrade)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https://seekingalpha.com/article/4790773-spirax-group-not-cheap-but-no-longer-overpriced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narratives (community)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https://simplywall.st/community/narratives/gb/capital-goods/lse-spx/spirax-group-shares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72,9 %</w:t>
      </w:r>
      <w:r>
        <w:t xml:space="preserve"> · Secciones con menos del 60 % de campos cubiertos: </w:t>
      </w:r>
      <w:r>
        <w:rPr>
          <w:b/>
          <w:bCs/>
        </w:rPr>
        <w:t xml:space="preserve">sector, gobierno, bolsa, transacciones, esg, calidad, balance</w:t>
      </w:r>
      <w:r>
        <w:t xml:space="preserve"> · Generado el 14 oct 2026.</w:t>
      </w:r>
    </w:p>
    <w:p>
      <w:pPr>
        <w:pStyle w:val="Nota"/>
        <w:spacing w:after="100"/>
      </w:pPr>
      <w:r>
        <w:t xml:space="preserve">Entorno sin acceso a documentos: todas las cifras salen de resultados de búsqueda web (comunicados RNS de resultados citados, Stock Analysis, Kalkine, prensa financiera), con su URL. Cotiza en peniques (GBp) en la Bolsa de Londres; el informe trabaja en libras (1 GBP = 100 peniques). Precio: 7.090 peniques (70,90 GBP) del 8-oct-2026, último dato disponible (no el cierre del 13-oct). Amortizaciones de 2021-2024 estimadas; balance solo de 2024-2025 y sin circulante, por lo que el DCF lleva el circulante en el capex (0,8 puntos de las ventas). Precios de cierre de cada año derivados del ADR (SPXSY) y del tipo GBP/USD. Deuda neta del puente (jun-26) de un resumen secundario: incluye arrendamientos según la definición de la empresa.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Spirax Group plc (SPX)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70,90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(59,50 – 80,50)</c:v>
                </c:pt>
                <c:pt idx="1">
                  <c:v>Precio objetivo de los analistas (68,00 – 105,00)</c:v>
                </c:pt>
                <c:pt idx="2">
                  <c:v>Comparables: PER NTM (83,96 – 91,08)</c:v>
                </c:pt>
                <c:pt idx="3">
                  <c:v>DCF (WACC y g ± 0,5) (43,37 – 56,70)</c:v>
                </c:pt>
                <c:pt idx="4">
                  <c:v>Escenarios (bajista – alcista) (34,92 – 58,37)</c:v>
                </c:pt>
                <c:pt idx="5">
                  <c:v>DCF con la prima implícita del mercado (4,2 %)</c:v>
                </c:pt>
                <c:pt idx="6">
                  <c:v>Precio actual (70,90)</c:v>
                </c:pt>
              </c:strCache>
            </c:strRef>
          </c:cat>
          <c:val>
            <c:numRef>
              <c:f>Hoja1!$B$2:$B$8</c:f>
              <c:numCache>
                <c:formatCode>#,##0</c:formatCode>
                <c:ptCount val="7"/>
                <c:pt idx="0">
                  <c:v>59.5</c:v>
                </c:pt>
                <c:pt idx="1">
                  <c:v>68</c:v>
                </c:pt>
                <c:pt idx="2">
                  <c:v>83.96</c:v>
                </c:pt>
                <c:pt idx="3">
                  <c:v>43.37</c:v>
                </c:pt>
                <c:pt idx="4">
                  <c:v>34.92</c:v>
                </c:pt>
                <c:pt idx="5">
                  <c:v>54.49</c:v>
                </c:pt>
                <c:pt idx="6">
                  <c:v>70.55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(59,50 – 80,50)</c:v>
                </c:pt>
                <c:pt idx="1">
                  <c:v>Precio objetivo de los analistas (68,00 – 105,00)</c:v>
                </c:pt>
                <c:pt idx="2">
                  <c:v>Comparables: PER NTM (83,96 – 91,08)</c:v>
                </c:pt>
                <c:pt idx="3">
                  <c:v>DCF (WACC y g ± 0,5) (43,37 – 56,70)</c:v>
                </c:pt>
                <c:pt idx="4">
                  <c:v>Escenarios (bajista – alcista) (34,92 – 58,37)</c:v>
                </c:pt>
                <c:pt idx="5">
                  <c:v>DCF con la prima implícita del mercado (4,2 %)</c:v>
                </c:pt>
                <c:pt idx="6">
                  <c:v>Precio actual (70,90)</c:v>
                </c:pt>
              </c:strCache>
            </c:strRef>
          </c:cat>
          <c:val>
            <c:numRef>
              <c:f>Hoja1!$C$2:$C$8</c:f>
              <c:numCache>
                <c:formatCode>#,##0</c:formatCode>
                <c:ptCount val="7"/>
                <c:pt idx="0">
                  <c:v>21</c:v>
                </c:pt>
                <c:pt idx="1">
                  <c:v>37</c:v>
                </c:pt>
                <c:pt idx="2">
                  <c:v>7.1200000000000045</c:v>
                </c:pt>
                <c:pt idx="3">
                  <c:v>13.330000000000005</c:v>
                </c:pt>
                <c:pt idx="4">
                  <c:v>23.449999999999996</c:v>
                </c:pt>
                <c:pt idx="5">
                  <c:v>11.71</c:v>
                </c:pt>
                <c:pt idx="6">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Steam Thermal Solutions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867.9</c:v>
                </c:pt>
                <c:pt idx="1">
                  <c:v>853.4</c:v>
                </c:pt>
              </c:numCache>
            </c:numRef>
          </c:val>
        </c:ser>
        <c:ser>
          <c:idx val="1"/>
          <c:order val="1"/>
          <c:tx>
            <c:strRef>
              <c:f>Hoja1!$C$1</c:f>
              <c:strCache>
                <c:ptCount val="1"/>
                <c:pt idx="0">
                  <c:v>Electric Thermal Solutions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404.6</c:v>
                </c:pt>
                <c:pt idx="1">
                  <c:v>441.3</c:v>
                </c:pt>
              </c:numCache>
            </c:numRef>
          </c:val>
        </c:ser>
        <c:ser>
          <c:idx val="2"/>
          <c:order val="2"/>
          <c:tx>
            <c:strRef>
              <c:f>Hoja1!$D$1</c:f>
              <c:strCache>
                <c:ptCount val="1"/>
                <c:pt idx="0">
                  <c:v>Watson-Marlow</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392.7</c:v>
                </c:pt>
                <c:pt idx="1">
                  <c:v>408.2</c:v>
                </c:pt>
              </c:numCache>
            </c:numRef>
          </c:val>
        </c:ser>
        <c:ser>
          <c:idx val="3"/>
          <c:order val="3"/>
          <c:tx>
            <c:strRef>
              <c:f>Hoja1!$E$1</c:f>
              <c:strCache>
                <c:ptCount val="1"/>
                <c:pt idx="0">
                  <c:v>Costes centrales y ajustes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-0.3</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Steam Thermal Solutions</c:v>
                </c:pt>
                <c:pt idx="1">
                  <c:v>Electric Thermal Solutions</c:v>
                </c:pt>
                <c:pt idx="2">
                  <c:v>Watson-Marlow</c:v>
                </c:pt>
                <c:pt idx="3">
                  <c:v>Costes centrales y ajustes</c:v>
                </c:pt>
              </c:strCache>
            </c:strRef>
          </c:cat>
          <c:val>
            <c:numRef>
              <c:f>Hoja1!$B$2:$B$5</c:f>
              <c:numCache>
                <c:formatCode>General</c:formatCode>
                <c:ptCount val="4"/>
                <c:pt idx="0">
                  <c:v>50.1</c:v>
                </c:pt>
                <c:pt idx="1">
                  <c:v>25.9</c:v>
                </c:pt>
                <c:pt idx="2">
                  <c:v>24</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Spirax</c:v>
                </c:pt>
                <c:pt idx="1">
                  <c:v>Armstrong International</c:v>
                </c:pt>
                <c:pt idx="2">
                  <c:v>TLV</c:v>
                </c:pt>
                <c:pt idx="3">
                  <c:v>Rotork</c:v>
                </c:pt>
                <c:pt idx="4">
                  <c:v>IMI</c:v>
                </c:pt>
              </c:strCache>
            </c:strRef>
          </c:cat>
          <c:val>
            <c:numRef>
              <c:f>Hoja1!$B$2:$B$6</c:f>
              <c:numCache>
                <c:formatCode>0.0"%"</c:formatCode>
                <c:ptCount val="5"/>
                <c:pt idx="0">
                  <c:v>17.9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1344.5</c:v>
                </c:pt>
                <c:pt idx="1">
                  <c:v>1610.6</c:v>
                </c:pt>
                <c:pt idx="2">
                  <c:v>1682.6</c:v>
                </c:pt>
                <c:pt idx="3">
                  <c:v>1664.9</c:v>
                </c:pt>
                <c:pt idx="4">
                  <c:v>1702.9</c:v>
                </c:pt>
                <c:pt idx="5">
                  <c:v>1763</c:v>
                </c:pt>
                <c:pt idx="6">
                  <c:v>1851</c:v>
                </c:pt>
                <c:pt idx="7">
                  <c:v>1943</c:v>
                </c:pt>
                <c:pt idx="8">
                  <c:v>2031</c:v>
                </c:pt>
                <c:pt idx="9">
                  <c:v>2112</c:v>
                </c:pt>
                <c:pt idx="10">
                  <c:v>2186</c:v>
                </c:pt>
                <c:pt idx="11">
                  <c:v>2251</c:v>
                </c:pt>
                <c:pt idx="12">
                  <c:v>2319</c:v>
                </c:pt>
                <c:pt idx="13">
                  <c:v>2383</c:v>
                </c:pt>
                <c:pt idx="14">
                  <c:v>2442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390.9</c:v>
                </c:pt>
                <c:pt idx="1">
                  <c:v>403.8</c:v>
                </c:pt>
                <c:pt idx="2">
                  <c:v>384.4</c:v>
                </c:pt>
                <c:pt idx="3">
                  <c:v>405.6</c:v>
                </c:pt>
                <c:pt idx="4">
                  <c:v>407.6</c:v>
                </c:pt>
                <c:pt idx="5">
                  <c:v>428</c:v>
                </c:pt>
                <c:pt idx="6">
                  <c:v>457</c:v>
                </c:pt>
                <c:pt idx="7">
                  <c:v>486</c:v>
                </c:pt>
                <c:pt idx="8">
                  <c:v>514</c:v>
                </c:pt>
                <c:pt idx="9">
                  <c:v>539</c:v>
                </c:pt>
                <c:pt idx="10">
                  <c:v>557</c:v>
                </c:pt>
                <c:pt idx="11">
                  <c:v>574</c:v>
                </c:pt>
                <c:pt idx="12">
                  <c:v>591</c:v>
                </c:pt>
                <c:pt idx="13">
                  <c:v>608</c:v>
                </c:pt>
                <c:pt idx="14">
                  <c:v>623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29.1</c:v>
                </c:pt>
                <c:pt idx="1">
                  <c:v>25.1</c:v>
                </c:pt>
                <c:pt idx="2">
                  <c:v>22.8</c:v>
                </c:pt>
                <c:pt idx="3">
                  <c:v>24.4</c:v>
                </c:pt>
                <c:pt idx="4">
                  <c:v>23.9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23.9</c:v>
                </c:pt>
                <c:pt idx="1">
                  <c:v>19.8</c:v>
                </c:pt>
                <c:pt idx="2">
                  <c:v>16.9</c:v>
                </c:pt>
                <c:pt idx="3">
                  <c:v>18.3</c:v>
                </c:pt>
                <c:pt idx="4">
                  <c:v>17.9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17.4</c:v>
                </c:pt>
                <c:pt idx="1">
                  <c:v>14</c:v>
                </c:pt>
                <c:pt idx="2">
                  <c:v>10.9</c:v>
                </c:pt>
                <c:pt idx="3">
                  <c:v>11.5</c:v>
                </c:pt>
                <c:pt idx="4">
                  <c:v>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4">
                  <c:v>5.1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4">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299</c:v>
                </c:pt>
                <c:pt idx="1">
                  <c:v>312.8</c:v>
                </c:pt>
                <c:pt idx="2">
                  <c:v>228.1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183.6</c:v>
                </c:pt>
                <c:pt idx="1">
                  <c:v>191.2</c:v>
                </c:pt>
                <c:pt idx="2">
                  <c:v>163.4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12.5</c:v>
                </c:pt>
                <c:pt idx="4">
                  <c:v>12.3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9.5</c:v>
                </c:pt>
                <c:pt idx="1">
                  <c:v>9.5</c:v>
                </c:pt>
                <c:pt idx="2">
                  <c:v>9.5</c:v>
                </c:pt>
                <c:pt idx="3">
                  <c:v>9.5</c:v>
                </c:pt>
                <c:pt idx="4">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3">
                  <c:v>15.8</c:v>
                </c:pt>
                <c:pt idx="4">
                  <c:v>13.4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0.0"x"</c:formatCode>
                <c:ptCount val="2"/>
                <c:pt idx="0">
                  <c:v>1.47</c:v>
                </c:pt>
                <c:pt idx="1">
                  <c:v>1.39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2">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2">
                  <c:v>121.8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APG Asset Management</c:v>
                </c:pt>
                <c:pt idx="1">
                  <c:v>Eleva Capital</c:v>
                </c:pt>
                <c:pt idx="2">
                  <c:v>Norges Bank</c:v>
                </c:pt>
              </c:strCache>
            </c:strRef>
          </c:cat>
          <c:val>
            <c:numRef>
              <c:f>Hoja1!$B$2:$B$4</c:f>
              <c:numCache>
                <c:formatCode>0.0"%"</c:formatCode>
                <c:ptCount val="3"/>
                <c:pt idx="0">
                  <c:v>3.97</c:v>
                </c:pt>
                <c:pt idx="1">
                  <c:v>3.08</c:v>
                </c:pt>
                <c:pt idx="2">
                  <c:v>2.94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238</c:v>
                </c:pt>
                <c:pt idx="1">
                  <c:v>256</c:v>
                </c:pt>
                <c:pt idx="2">
                  <c:v>273</c:v>
                </c:pt>
                <c:pt idx="3">
                  <c:v>289</c:v>
                </c:pt>
                <c:pt idx="4">
                  <c:v>304</c:v>
                </c:pt>
                <c:pt idx="5">
                  <c:v>326</c:v>
                </c:pt>
                <c:pt idx="6">
                  <c:v>336</c:v>
                </c:pt>
                <c:pt idx="7">
                  <c:v>346</c:v>
                </c:pt>
                <c:pt idx="8">
                  <c:v>355</c:v>
                </c:pt>
                <c:pt idx="9">
                  <c:v>364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1911</c:v>
                </c:pt>
                <c:pt idx="1">
                  <c:v>2333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70,90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34.92</c:v>
                </c:pt>
                <c:pt idx="1">
                  <c:v>49.1</c:v>
                </c:pt>
                <c:pt idx="2">
                  <c:v>58.37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70,90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(59,50 – 80,50)</c:v>
                </c:pt>
                <c:pt idx="1">
                  <c:v>Precio objetivo de los analistas (68,00 – 105,00)</c:v>
                </c:pt>
                <c:pt idx="2">
                  <c:v>Comparables: PER NTM (83,96 – 91,08)</c:v>
                </c:pt>
                <c:pt idx="3">
                  <c:v>DCF (WACC y g ± 0,5) (43,37 – 56,70)</c:v>
                </c:pt>
                <c:pt idx="4">
                  <c:v>Escenarios (bajista – alcista) (34,92 – 58,37)</c:v>
                </c:pt>
                <c:pt idx="5">
                  <c:v>DCF con la prima implícita del mercado (4,2 %)</c:v>
                </c:pt>
                <c:pt idx="6">
                  <c:v>Precio actual (70,90)</c:v>
                </c:pt>
              </c:strCache>
            </c:strRef>
          </c:cat>
          <c:val>
            <c:numRef>
              <c:f>Hoja1!$B$2:$B$8</c:f>
              <c:numCache>
                <c:formatCode>#,##0</c:formatCode>
                <c:ptCount val="7"/>
                <c:pt idx="0">
                  <c:v>59.5</c:v>
                </c:pt>
                <c:pt idx="1">
                  <c:v>68</c:v>
                </c:pt>
                <c:pt idx="2">
                  <c:v>83.96</c:v>
                </c:pt>
                <c:pt idx="3">
                  <c:v>43.37</c:v>
                </c:pt>
                <c:pt idx="4">
                  <c:v>34.92</c:v>
                </c:pt>
                <c:pt idx="5">
                  <c:v>54.49</c:v>
                </c:pt>
                <c:pt idx="6">
                  <c:v>70.55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(59,50 – 80,50)</c:v>
                </c:pt>
                <c:pt idx="1">
                  <c:v>Precio objetivo de los analistas (68,00 – 105,00)</c:v>
                </c:pt>
                <c:pt idx="2">
                  <c:v>Comparables: PER NTM (83,96 – 91,08)</c:v>
                </c:pt>
                <c:pt idx="3">
                  <c:v>DCF (WACC y g ± 0,5) (43,37 – 56,70)</c:v>
                </c:pt>
                <c:pt idx="4">
                  <c:v>Escenarios (bajista – alcista) (34,92 – 58,37)</c:v>
                </c:pt>
                <c:pt idx="5">
                  <c:v>DCF con la prima implícita del mercado (4,2 %)</c:v>
                </c:pt>
                <c:pt idx="6">
                  <c:v>Precio actual (70,90)</c:v>
                </c:pt>
              </c:strCache>
            </c:strRef>
          </c:cat>
          <c:val>
            <c:numRef>
              <c:f>Hoja1!$C$2:$C$8</c:f>
              <c:numCache>
                <c:formatCode>#,##0</c:formatCode>
                <c:ptCount val="7"/>
                <c:pt idx="0">
                  <c:v>21</c:v>
                </c:pt>
                <c:pt idx="1">
                  <c:v>37</c:v>
                </c:pt>
                <c:pt idx="2">
                  <c:v>7.1200000000000045</c:v>
                </c:pt>
                <c:pt idx="3">
                  <c:v>13.330000000000005</c:v>
                </c:pt>
                <c:pt idx="4">
                  <c:v>23.449999999999996</c:v>
                </c:pt>
                <c:pt idx="5">
                  <c:v>11.71</c:v>
                </c:pt>
                <c:pt idx="6">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