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Straumann Holding AG</w:t>
      </w:r>
    </w:p>
    <w:p>
      <w:pPr>
        <w:spacing w:after="60"/>
        <w:rPr>
          <w:color w:val="52514E"/>
          <w:sz w:val="22"/>
          <w:szCs w:val="22"/>
        </w:rPr>
      </w:pPr>
      <w:r>
        <w:rPr>
          <w:color w:val="52514E"/>
          <w:sz w:val="22"/>
          <w:szCs w:val="22"/>
        </w:rPr>
        <w:t xml:space="preserve">STMN · SIX Swiss Exchange · ISIN CH1175448666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92,00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115,05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+26,1 %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75,97 CHF · mercado 92,49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Straumann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STMN / CH1175448666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(dental)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1954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https://www.straumann.com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14.802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115,05 CHF</w:t>
      </w:r>
      <w:r>
        <w:t xml:space="preserve"> frente a 92,00 · Rentabilidad a 12 meses </w:t>
      </w:r>
      <w:r>
        <w:rPr>
          <w:b/>
          <w:bCs/>
        </w:rPr>
        <w:t xml:space="preserve">+26,1 % (base +21,2 %)</w:t>
      </w:r>
      <w:r>
        <w:t xml:space="preserve"> · Valor intrínseco 75,97 CHF · con la prima implícita del mercado: 92,49 (+0,5 %) · Alcista / bajista -3,3 % / -42,2 %</w:t>
      </w:r>
    </w:p>
    <w:p>
      <w:pPr>
        <w:spacing w:after="100"/>
      </w:pPr>
      <w:r>
        <w:rPr>
          <w:b/>
        </w:rPr>
        <w:t xml:space="preserve">La recomendación y por qué.</w:t>
      </w:r>
      <w:r>
        <w:t xml:space="preserve"> Mantener con convicción baja. El objetivo a 12 meses es de 104,34 CHF (nuestro PER por nuestro BPA de 2028e), una rentabilidad ponderada del 14,5 % y del 10,2 % en el caso base, con dividendo; el valor intrínseco es de 75,97 CHF (−17,4 %) y el objetivo medio de los analistas, de 114,75 CHF. No llega a Comprar porque la base queda por debajo del 12 % y el valor intrínseco por debajo del precio de 92,00 CHF. La convicción es baja porque las reglas discrepan (Vender con nuestro WACC, Mantener con la prima del mercado) y la diferencia es de tasa de descuento, no de cifras; subiría si los resultados de febrero de 2027 confirman un margen core publicado por encima del 26 % y APAC vuelve a crecer.</w:t>
      </w:r>
    </w:p>
    <w:p>
      <w:pPr>
        <w:spacing w:after="100"/>
      </w:pPr>
      <w:r>
        <w:rPr>
          <w:b/>
        </w:rPr>
        <w:t xml:space="preserve">El negocio.</w:t>
      </w:r>
      <w:r>
        <w:t xml:space="preserve"> Straumann es el primer fabricante mundial de implantes dentales (&gt;32 % de cuota) con un margen bruto del 70 % y un ROIC del 25,6 %, más de 18 puntos por encima del WACC (7,41 %) [24, 26]. </w:t>
      </w:r>
      <w:r>
        <w:rPr>
          <w:b/>
        </w:rPr>
        <w:t xml:space="preserve">Sostenibilidad: Sí</w:t>
      </w:r>
      <w:r>
        <w:t xml:space="preserve">: el 5,7 % anual que proyectamos está por debajo del orgánico de cada uno de los últimos cinco años y del mercado (6,9-8,3 %), y no necesita ganar cuota. El problema no es el negocio sino que su BPA core apenas ha subido desde 2021 (2,85 a 3,00) [10, 11].</w:t>
      </w:r>
    </w:p>
    <w:p>
      <w:pPr>
        <w:spacing w:after="100"/>
      </w:pPr>
      <w:r>
        <w:rPr>
          <w:b/>
        </w:rPr>
        <w:t xml:space="preserve">Finanzas.</w:t>
      </w:r>
      <w:r>
        <w:t xml:space="preserve"> El crecimiento orgánico fue del 8,9 % en 2025 y del 7,8 % en el 1S26, pero en francos solo del 4,1 % y del 2,3 %: la divisa resta ≈5 puntos y ≈1,2 de margen [1, 3]. La caja libre fue de 290 M en 2025 (11,1 % de las ventas) por un capex alto del 8,6 %; la deuda neta es casi nula. El beneficio IFRS (≈356 M) queda ≈120 M por debajo del core [2].</w:t>
      </w:r>
    </w:p>
    <w:p>
      <w:pPr>
        <w:spacing w:after="100"/>
      </w:pPr>
      <w:r>
        <w:rPr>
          <w:b/>
        </w:rPr>
        <w:t xml:space="preserve">Equipo y gobierno.</w:t>
      </w:r>
      <w:r>
        <w:t xml:space="preserve"> En 2026 coinciden la salida del fundador del consejo y el relevo del primer ejecutivo (Norbye desde el 1-dic); el bono de retención solo obtuvo un 74 % de votos [31]. Sin accionista de control: los dos fundadores suman el 25,7 % [21].</w:t>
      </w:r>
    </w:p>
    <w:p>
      <w:pPr>
        <w:spacing w:after="100"/>
      </w:pPr>
      <w:r>
        <w:rPr>
          <w:b/>
        </w:rPr>
        <w:t xml:space="preserve">Valoración.</w:t>
      </w:r>
      <w:r>
        <w:t xml:space="preserve"> El DCF da 75,15 CHF y el DCF inverso dice que el precio descuenta un crecimiento del 9,3 % anual de 2027e a 2032e, frente al 6,2 % de nuestro base: exigente. Con la prima implícita del mercado (4,2 %) el valor sube a 92,49 CHF, el precio. Los comparables cotizan a ≈23x frente a 26,2x de Straumann. El PER core está en mínimos de su historia limpia (28,6x frente a una mediana de 34,9x), y por eso el objetivo a 12 meses, que usa el PER actual de 26,7x, sí da rentabilidad: es apuesta por el crecimiento del BPA (≈10 % anual hasta 2028e), no por la expansión del múltiplo. Nuestro base queda un 12,5 % por debajo del consenso porque proyectamos menos ventas en francos.</w:t>
      </w:r>
    </w:p>
    <w:p>
      <w:pPr>
        <w:spacing w:after="100"/>
      </w:pPr>
      <w:r>
        <w:rPr>
          <w:b/>
        </w:rPr>
        <w:t xml:space="preserve">Riesgos y catalizadores.</w:t>
      </w:r>
      <w:r>
        <w:t xml:space="preserve"> El mayor riesgo es la segunda licitación de implantes en China, que puede favorecer a los locales (APAC creció un 0,5 % en el 1T26) [16]; el segundo, el franco. Catalizadores: ventas del 3T26 el 28-oct, llegada de Norbye el 1-dic y resultados y guía en febrero de 2027. Los foros están divididos y no señalan un riesgo nuevo.</w:t>
      </w:r>
    </w:p>
    <w:p>
      <w:pPr>
        <w:spacing w:after="100"/>
      </w:pPr>
      <w:r>
        <w:rPr>
          <w:b/>
        </w:rPr>
        <w:t xml:space="preserve">Qué cambiaría la decisión.</w:t>
      </w:r>
      <w:r>
        <w:t xml:space="preserve"> Compraríamos por debajo de 75,97 CHF, donde el precio quedaría bajo el valor intrínseco y, con el objetivo de hoy fijo, la ponderada y la base superarían el 15 % y el 12 %; venderíamos por encima de 117,05 CHF. Pasaríamos a Comprar si el BPA core de 2026 supera 3,40 CHF con guía de margen al alza para 2027, y a Vender si APAC cae dos trimestres o el nuevo CEO rebaja los objetivos.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115,05 CHF</w:t>
      </w:r>
      <w:r>
        <w:t xml:space="preserve"> (rentabilidad +26,1 % (base +21,2 %)) · Valor intrínseco: 75,97 CHF (-17,4 % sobre 92,00) · con la prima implícita del mercado: 92,49 (+0,5 %)</w:t>
      </w:r>
    </w:p>
    <w:p>
      <w:pPr>
        <w:spacing w:after="100"/>
      </w:pPr>
      <w:r>
        <w:t xml:space="preserve">Straumann es el líder mundial de implantes dentales, con un 32 % de cuota, un margen bruto del 70 % y un ROIC del 25,6 %; crece al 8-9 % orgánico en un mercado que lo hará al 7-8 % durante una década [1, 24, 26]. Su foso (evidencia clínica, costes de cambio de los componentes y ecosistema digital) es amplio y estable.</w:t>
      </w:r>
    </w:p>
    <w:p>
      <w:pPr>
        <w:spacing w:after="100"/>
      </w:pPr>
      <w:r>
        <w:t xml:space="preserve">El precio (92,00 CHF, 26,2x el BPA de los próximos 12 meses) descuenta un crecimiento del 9,3 % anual hasta 2032, más del que esperamos (6,2 %) y del previsto para el mercado; el DCF da 75,15 CHF con nuestro WACC y 92,49 CHF con la prima de riesgo que hoy pide el mercado.</w:t>
      </w:r>
    </w:p>
    <w:p>
      <w:pPr>
        <w:spacing w:after="100"/>
      </w:pPr>
      <w:r>
        <w:t xml:space="preserve">El mercado acierta al pagar calidad, pero lleva cuatro años sin que el BPA crezca por la divisa, China y el capex. Para invertir hay que creer que el BPA core sube un 10 % anual hasta 2028 y que el franco deja de restar: entonces el PER actual basta para ganar un 10 % al año. No da margen de seguridad frente al valor intrínseco.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 × 3,35 = 78,73 · 29,4x × 3,76 = 110,54 · 39,6x × 4,05 = 160,38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 (nuestro base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 -42,2 %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7,4 %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75,97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75,97 y 128,94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75,97 CHF: pasaríamos a Comprar (valor intrínseco ≥ precio; con el objetivo fijo, ponderada &gt; 15 % y base &gt; 12 %).</w:t>
      </w:r>
    </w:p>
    <w:p>
      <w:pPr>
        <w:pStyle w:val="ListParagraph"/>
        <w:numPr>
          <w:ilvl w:val="0"/>
          <w:numId w:val="2"/>
        </w:numPr>
        <w:spacing w:after="60"/>
      </w:pPr>
      <w:r>
        <w:t xml:space="preserve">Precio por encima de 117,05 CHF: Vender.</w:t>
      </w:r>
    </w:p>
    <w:p>
      <w:pPr>
        <w:pStyle w:val="ListParagraph"/>
        <w:numPr>
          <w:ilvl w:val="0"/>
          <w:numId w:val="2"/>
        </w:numPr>
        <w:spacing w:after="60"/>
      </w:pPr>
      <w:r>
        <w:t xml:space="preserve">BPA core de 2026 por encima de 3,40 CHF con guía de margen al alza para 2027: revisaríamos al alza la base.</w:t>
      </w:r>
    </w:p>
    <w:p>
      <w:pPr>
        <w:pStyle w:val="ListParagraph"/>
        <w:numPr>
          <w:ilvl w:val="0"/>
          <w:numId w:val="2"/>
        </w:numPr>
        <w:spacing w:after="60"/>
      </w:pPr>
      <w:r>
        <w:t xml:space="preserve">Crecimiento de APAC negativo en el 3T26 o en el 4T26: rebajaríamos a la mitad la probabilidad del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Straumann volverá a crecer al ritmo de 2022-2024 (≈9 % anual) y que su prima sobre los comparables se mantiene; los analistas, con un objetivo medio de 114,75 CHF, esperan un BPA de 4,17 CHF en 2028.</w:t>
      </w:r>
    </w:p>
    <w:p>
      <w:pPr>
        <w:keepNext/>
        <w:spacing w:after="100"/>
      </w:pPr>
      <w:r>
        <w:rPr>
          <w:b/>
          <w:bCs/>
        </w:rPr>
        <w:t xml:space="preserve">Lo que creemos nosotros.</w:t>
      </w:r>
    </w:p>
    <w:p>
      <w:pPr>
        <w:spacing w:after="100"/>
      </w:pPr>
      <w:r>
        <w:t xml:space="preserve">El negocio es igual de bueno, pero la divisa y China dejan el crecimiento en francos en el 6-7 % y el BPA de 2028e en 3,76 CHF; a nuestro coste de capital el valor es de 75,97 CHF.</w:t>
      </w:r>
    </w:p>
    <w:p>
      <w:pPr>
        <w:keepNext/>
        <w:spacing w:after="100"/>
      </w:pPr>
      <w:r>
        <w:rPr>
          <w:b/>
          <w:bCs/>
        </w:rPr>
        <w:t xml:space="preserve">Por qué podemos tener razón.</w:t>
      </w:r>
    </w:p>
    <w:p>
      <w:pPr>
        <w:spacing w:after="100"/>
      </w:pPr>
      <w:r>
        <w:t xml:space="preserve">Cuatro años de BPA plano con crecimiento orgánico alto demuestran que la divisa no es un efecto pasajero para una empresa con costes en francos; el consenso de ingresos ya ha bajado de 2.818 a 2.749 M para 2026 desde diciembre [32].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amplio</w:t>
      </w:r>
      <w:r>
        <w:t xml:space="preserve">: &gt;32 % de cuota mundial y margen bruto del 70 % [24, 26].</w:t>
      </w:r>
    </w:p>
    <w:p>
      <w:pPr>
        <w:pStyle w:val="ListParagraph"/>
        <w:numPr>
          <w:ilvl w:val="0"/>
          <w:numId w:val="2"/>
        </w:numPr>
        <w:spacing w:after="60"/>
      </w:pPr>
      <w:r>
        <w:rPr>
          <w:b/>
        </w:rPr>
        <w:t xml:space="preserve">ROIC del 25,6 %</w:t>
      </w:r>
      <w:r>
        <w:t xml:space="preserve">, más de 18 puntos por encima del WACC.</w:t>
      </w:r>
    </w:p>
    <w:p>
      <w:pPr>
        <w:pStyle w:val="ListParagraph"/>
        <w:numPr>
          <w:ilvl w:val="0"/>
          <w:numId w:val="2"/>
        </w:numPr>
        <w:spacing w:after="60"/>
      </w:pPr>
      <w:r>
        <w:rPr>
          <w:b/>
        </w:rPr>
        <w:t xml:space="preserve">PER en mínimos</w:t>
      </w:r>
      <w:r>
        <w:t xml:space="preserve">: 28,6x los últimos 12 meses frente a una mediana histórica de 34,9x.</w:t>
      </w:r>
    </w:p>
    <w:p>
      <w:pPr>
        <w:pStyle w:val="ListParagraph"/>
        <w:numPr>
          <w:ilvl w:val="0"/>
          <w:numId w:val="2"/>
        </w:numPr>
        <w:spacing w:after="60"/>
      </w:pPr>
      <w:r>
        <w:rPr>
          <w:b/>
        </w:rPr>
        <w:t xml:space="preserve">Guía de margen al alza</w:t>
      </w:r>
      <w:r>
        <w:t xml:space="preserve">: +140-170 pb a tipos constantes en 2026, confirmada en agosto [3, 15].</w:t>
      </w:r>
    </w:p>
    <w:p>
      <w:pPr>
        <w:pStyle w:val="ListParagraph"/>
        <w:numPr>
          <w:ilvl w:val="0"/>
          <w:numId w:val="2"/>
        </w:numPr>
        <w:spacing w:after="60"/>
      </w:pPr>
      <w:r>
        <w:rPr>
          <w:b/>
        </w:rPr>
        <w:t xml:space="preserve">Balance sin deuda neta</w:t>
      </w:r>
      <w:r>
        <w:t xml:space="preserve"> y caja libre del 11-12 % de las ventas [2, 3].</w:t>
      </w:r>
    </w:p>
    <w:p>
      <w:pPr>
        <w:pStyle w:val="Heading2"/>
      </w:pPr>
      <w:r>
        <w:t xml:space="preserve">En contra</w:t>
      </w:r>
    </w:p>
    <w:p>
      <w:pPr>
        <w:pStyle w:val="ListParagraph"/>
        <w:numPr>
          <w:ilvl w:val="0"/>
          <w:numId w:val="2"/>
        </w:numPr>
        <w:spacing w:after="60"/>
      </w:pPr>
      <w:r>
        <w:rPr>
          <w:b/>
        </w:rPr>
        <w:t xml:space="preserve">BPA core plano</w:t>
      </w:r>
      <w:r>
        <w:t xml:space="preserve"> desde 2021 (2,85 a 3,00 CHF) [10, 11].</w:t>
      </w:r>
    </w:p>
    <w:p>
      <w:pPr>
        <w:pStyle w:val="ListParagraph"/>
        <w:numPr>
          <w:ilvl w:val="0"/>
          <w:numId w:val="2"/>
        </w:numPr>
        <w:spacing w:after="60"/>
      </w:pPr>
      <w:r>
        <w:rPr>
          <w:b/>
        </w:rPr>
        <w:t xml:space="preserve">Valor intrínseco de 75,97 CHF</w:t>
      </w:r>
      <w:r>
        <w:t xml:space="preserve">, un 17,4 % bajo el precio.</w:t>
      </w:r>
    </w:p>
    <w:p>
      <w:pPr>
        <w:pStyle w:val="ListParagraph"/>
        <w:numPr>
          <w:ilvl w:val="0"/>
          <w:numId w:val="2"/>
        </w:numPr>
        <w:spacing w:after="60"/>
      </w:pPr>
      <w:r>
        <w:rPr>
          <w:b/>
        </w:rPr>
        <w:t xml:space="preserve">China</w:t>
      </w:r>
      <w:r>
        <w:t xml:space="preserve">: APAC creció un 0,5 % en el 1T26 y la licitación puede favorecer a los locales [16].</w:t>
      </w:r>
    </w:p>
    <w:p>
      <w:pPr>
        <w:pStyle w:val="ListParagraph"/>
        <w:numPr>
          <w:ilvl w:val="0"/>
          <w:numId w:val="2"/>
        </w:numPr>
        <w:spacing w:after="60"/>
      </w:pPr>
      <w:r>
        <w:rPr>
          <w:b/>
        </w:rPr>
        <w:t xml:space="preserve">Divisa</w:t>
      </w:r>
      <w:r>
        <w:t xml:space="preserve">: resta ≈5 puntos de crecimiento y ≈1,2 de margen [3].</w:t>
      </w:r>
    </w:p>
    <w:p>
      <w:pPr>
        <w:pStyle w:val="ListParagraph"/>
        <w:numPr>
          <w:ilvl w:val="0"/>
          <w:numId w:val="2"/>
        </w:numPr>
        <w:spacing w:after="60"/>
      </w:pPr>
      <w:r>
        <w:rPr>
          <w:b/>
        </w:rPr>
        <w:t xml:space="preserve">Doble relevo</w:t>
      </w:r>
      <w:r>
        <w:t xml:space="preserve"> (fundador y CEO) en 2026 con un bono de retención al 74 % de votos [31].</w:t>
      </w:r>
    </w:p>
    <w:p>
      <w:pPr>
        <w:pStyle w:val="Heading2"/>
      </w:pPr>
      <w:r>
        <w:t xml:space="preserve">Qué tiene que pasar para que la tesis funcione</w:t>
      </w:r>
    </w:p>
    <w:p>
      <w:pPr>
        <w:spacing w:after="100"/>
      </w:pPr>
      <w:r>
        <w:t xml:space="preserve">La tesis depende de que el BPA core crezca al 10 % anual hasta 2028e (de 3,00 a 3,76 CHF). La señal de que no se cumple sería un margen EBIT core publicado de 2026 por debajo del 25 %, APAC por debajo del 3 % orgánico dos trimestres seguidos o una rebaja de los objetivos a medio plazo del nuevo CEO en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core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+140-170 pb.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APAC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Licitación china.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orgánico − francos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 / 26,2x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1954 en Waldenburg (Suiza) como instituto de investigación de metalurgia, Straumann se especializó en implantes dentales en los años setenta y salió a bolsa en 1998. Desde 2012 ha pasado de ser un fabricante premium a un grupo multimarca: compró Neodent (Brasil) para entrar en el segmento de valor, añadió Anthogyr, Medentika y ClearCorrect (ortodoncia invisible) y escáneres y software digitales. La apuesta por la ortodoncia directa al paciente (DrSmile) terminó en una pérdida de 202 M en 2023 y su venta en 2024. En 2022 desdobló la acción 1:10. En 2026 el fundador Thomas Straumann dejó el consejo y Christopher Norbye sustituirá a Guillaume Daniellot como primer ejecutivo el 1-dic-2026 [18,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Reinhard Straumann funda el instituto en Waldenburg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Neodent (Brasil), base del negocio de valor en Latinoamérica y Asia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ClearCorrect: entrada en la ortodoncia invisible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1:10 de la acción (20-abr-2022)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DrSmile pasa a operación interrumpida (−202 M en 2023) y se vende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Straumann deja la presidencia de honor del consejo; Petra Rumpf, presidenta; Norbye, CEO desde el 1-dic [18,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Straumann es el mayor fabricante mundial de implantes dentales y uno de los primeros de ortodoncia invisible. Vende implantes, pilares y prótesis (marcas Straumann en premium y Neodent, Anthogyr y Medentika en el segmento de valor), biomateriales para regenerar hueso, alineadores transparentes (ClearCorrect) y un ecosistema digital (escáneres intraorales, software de planificación, fresado e impresión 3D). Sus clientes son clínicas dentales, cirujanos maxilofaciales, ortodoncistas y laboratorios en más de 100 países, a los que llega sobre todo con fuerza de ventas propia. EMEA es la primera región (≈43 % de las ventas), seguida de Norteamérica, Asia-Pacífico (con China) y Latinoamérica [2, 23].</w:t>
      </w:r>
    </w:p>
    <w:p>
      <w:pPr>
        <w:pStyle w:val="Heading2"/>
      </w:pPr>
      <w:r>
        <w:t xml:space="preserve">Cómo gana dinero</w:t>
      </w:r>
    </w:p>
    <w:p>
      <w:pPr>
        <w:spacing w:after="100"/>
      </w:pPr>
      <w:r>
        <w:t xml:space="preserve">El implante es un producto de bajo coste de fabricación y precio alto: el margen bruto ronda el 70 % [24]. El beneficio depende del volumen de tratamientos (pacientes que pagan de su bolsillo, sensible a la confianza del consumidor), de la mezcla premium/valor (el valor crece más, pero con menos margen) y de la divisa: más del 95 % de las ventas está fuera de Suiza y los costes en francos pesan, por lo que el franco fuerte resta ≈1,3 puntos de margen en 2025. Los consumibles y la recompra de componentes por los mismos dentistas dan ingresos muy recurrentes; la formación clínica fideliza [2, 23].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operativo publicado por regiones)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operativo publicado por regiones)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r>
    </w:tbl>
    <w:p>
      <w:pPr>
        <w:spacing w:after="160" w:before="0"/>
      </w:pPr>
    </w:p>
    <w:p>
      <w:pPr>
        <w:pStyle w:val="Heading2"/>
      </w:pPr>
      <w:r>
        <w:t xml:space="preserve">Clientes, recurrencia y poder de precios</w:t>
      </w:r>
    </w:p>
    <w:p>
      <w:pPr>
        <w:spacing w:after="100"/>
      </w:pPr>
      <w:r>
        <w:t xml:space="preserve">Muy atomizados: decenas de miles de clínicas, ningún cliente relevante. El poder de precios se ve en el margen bruto estable (≈70 %) y en que el grupo absorbió los aranceles de EE. UU. de 2025-2026 y aun así elevó la guía de margen (+140-170 puntos básicos a tipos constantes) [15, 24]. En China, la compra centralizada (VBP) de 2023 bajó los precios de los implantes un 50-60 % pero multiplicó el volumen; la segunda ronda, retrasada a 2026, puede favorecer a los fabricantes locales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7,8 %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tras el rebote pospandemia; el 2T26 acelera al 8,5 % [1,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(2025); 25,7 %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a tipos constantes 26,5 % en 2025 y 26,9 %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(2025); 12,2 %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capex alto en 2025 (8,6 % de las ventas)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(2024, estimación con el estado de flujos)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de capacidad y digital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EMEA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grande (~43 % de las ventas) [1,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débil en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en APAC en el 1T26 por el retraso de la segunda licitación centralizada (VBP)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China, el grupo habría crecido ~10 % en el 1T26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implantes dentales (implantes y pilares), el que más pesa en el beneficio de Straumann. Las estimaciones varían por perímetro: 4.000 M USD (iData, solo implantes) a 7.000 M USD con pilares finales; uso como referencia Global Market Insights (5.200 M USD en 2025) porque publica también cuotas [26, 27]. La ortodoncia invisible es otro mercado (Align domina) que no se suma aquí.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 M USD en 2025 (Global Market Insights), 5.640 M USD (Market Research Future) [26,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pérdida de piezas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6,9-8,3 % anual hasta 2034-2035 [26,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en países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multiplicó volúmenes tras la VBP de 2023; Latinoamérica crece a doble dígito [23,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del bolsillo del paciente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creció solo 1,8 % orgánico en el 1T25 con consumo débil, y 7,7 % en el 1T26 [16,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centralizada en China (VBP)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ronda retrasada; APAC creció 0,5 % en el 1T26 [16,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del flujo clínico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Escáneres y planificación digital fidelizan al dentista y suben el ticket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(Straumann, Envista/Nobel, Dentsply Sirona, Osstem) con el 80 % del mercado, pero guerra de precios en el segmento de valor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solo los compradores públicos chinos (VBP) negocian precio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Titanio y cerámica, coste pequeño frente al precio (margen bruto ≈70 %)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clínicas y regulatorias en premium; fabricantes coreanos y chinos entran por precio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Puentes y prótesis removibles son peores clínicamente; el implante gana cuota a largo plazo [26].</w:t>
            </w:r>
          </w:p>
        </w:tc>
      </w:tr>
    </w:tbl>
    <w:p>
      <w:pPr>
        <w:spacing w:after="160" w:before="0"/>
      </w:pPr>
    </w:p>
    <w:p>
      <w:pPr>
        <w:pStyle w:val="Heading2"/>
      </w:pPr>
      <w:r>
        <w:t xml:space="preserve">Ciclo</w:t>
      </w:r>
    </w:p>
    <w:p>
      <w:pPr>
        <w:spacing w:after="100"/>
      </w:pPr>
      <w:r>
        <w:t xml:space="preserve">Tras el pico pospandemia (2021-2022, crecimiento orgánico del 15,7 % en 2022) el mercado se enfrió en 2023-2025 con el consumo débil en EE. UU. y China; en 2026 Norteamérica vuelve al 7-8 % orgánico. En 2008-09 y en 2020 los tratamientos electivos cayeron de forma brusca y se recuperaron en uno o dos años; el mercado no tiene ciclo de inventario largo [10, 16, 23].</w:t>
      </w:r>
    </w:p>
    <w:p>
      <w:pPr>
        <w:pStyle w:val="Heading2"/>
      </w:pPr>
      <w:r>
        <w:t xml:space="preserve">Regulación</w:t>
      </w:r>
    </w:p>
    <w:p>
      <w:pPr>
        <w:spacing w:after="100"/>
      </w:pPr>
      <w:r>
        <w:t xml:space="preserve">Reglamento europeo de productos sanitarios (MDR) que encarece la certificación de los fabricantes pequeños; aranceles de EE. UU. sobre importaciones suizas (2025-2026), que Straumann absorbió mejor de lo esperado y por los que subió la guía en junio de 2026; segunda ronda de compra centralizada de implantes en China, retrasada a 2026, en la que los productos locales pueden tener preferencia [15, 25].</w:t>
      </w:r>
    </w:p>
    <w:p>
      <w:pPr>
        <w:pStyle w:val="Heading2"/>
      </w:pPr>
      <w:r>
        <w:t xml:space="preserve">Tendencias y disrupción</w:t>
      </w:r>
    </w:p>
    <w:p>
      <w:pPr>
        <w:spacing w:after="100"/>
      </w:pPr>
      <w:r>
        <w:t xml:space="preserve">Flujo digital (escáner intraoral, planificación guiada, impresión 3D) que favorece a quien tiene el ecosistema completo; segmento de valor que crece más rápido que el premium, donde Straumann compite con Neodent; fabricantes coreanos (Osstem, Dentium, Megagen) y chinos que ganan cuota en Asia; consolidación de clínicas (DSO) que compran con volumen [26,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implantes dentales (&gt;32 % en 2024); también relevante en ortodoncia invisible (2.º-3.º tras Align)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Envista (Nobel Biocare, Implant Direct)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NVST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en implantes, a pocos puntos de Straumann en implantes y pilares según iData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Dentsply Sirona (MIS, Astra 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XRAY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MIS en el segmento de valor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Osstem Implant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Asia por precio; excluido de bolsa tras la OPA de MBK en 2023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ALGN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alineadores (Invisalign) y escáneres iTero; competidor de ClearCorrect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formación clínica (ITI) y comunidad de dentistas que forman a otros en el sistema Straumann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protésicos y kits quirúrgicos propios: el dentista que coloca el implante compra los pilares durante años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premium con evidencia clínica de décadas; cuota del 32 % y margen bruto ≈70 % estables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Neodent y producción en Brasil y China permiten competir en valor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Fuerza de ventas directa y logística global que los nuevos no igualan [11].</w:t>
            </w:r>
          </w:p>
        </w:tc>
      </w:tr>
    </w:tbl>
    <w:p>
      <w:pPr>
        <w:spacing w:after="160" w:before="0"/>
      </w:pPr>
    </w:p>
    <w:p>
      <w:pPr>
        <w:pStyle w:val="Heading2"/>
      </w:pPr>
      <w:r>
        <w:t xml:space="preserve">Amenazas</w:t>
      </w:r>
    </w:p>
    <w:p>
      <w:pPr>
        <w:spacing w:after="100"/>
      </w:pPr>
      <w:r>
        <w:t xml:space="preserve">La principal es el precio en China: una segunda VBP que prime a los locales recortaría volumen y precio en el mercado que más crecía (probabilidad media). La segunda, la entrada de fabricantes coreanos y chinos en el segmento de valor fuera de Asia (Latinoamérica, Europa del Este), que presiona a Neodent. La tercera, la consolidación de clínicas (DSO) en EE. UU., que negocian precio [25,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spacing w:after="100"/>
      </w:pPr>
      <w:r>
        <w:t xml:space="preserve">Crecimiento anual compuesto 2021-2025: ingresos </w:t>
      </w:r>
      <w:r>
        <w:rPr>
          <w:b/>
          <w:bCs/>
        </w:rPr>
        <w:t xml:space="preserve">6,5 %</w:t>
      </w:r>
      <w:r>
        <w:t xml:space="preserve">, EBITDA </w:t>
      </w:r>
      <w:r>
        <w:rPr>
          <w:b/>
          <w:bCs/>
        </w:rPr>
        <w:t xml:space="preserve">n.d.</w:t>
      </w:r>
      <w:r>
        <w:t xml:space="preserve">, BPA </w:t>
      </w:r>
      <w:r>
        <w:rPr>
          <w:b/>
          <w:bCs/>
        </w:rPr>
        <w:t xml:space="preserve">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2.022 M en 2021 a 2.605 M en 2025 (con DrSmile fuera desde 2023): el crecimiento orgánico fue del 15,7 % en 2022, del 13,7 % en 2024 y del 8,9 % en 2025, pero el franco fuerte lo recorta mucho en la cifra publicada (+4,1 % en 2025 y +2,3 % en el 1S26, frente a +7,8 % orgánico) [1, 3, 9, 10]. El margen EBIT core bajó del 27,4 % de 2021 al 25,2 % de 2025; a tipos constantes fue del 26,5 %, así que casi toda la erosión es divisa (costes en francos, ventas en euros, dólares, reales y yuanes) [1, 10]. En 2026 la guía pide +140-170 puntos básicos a tipos constantes; el 1S26 dio un 26,9 % a tipos constantes y un 25,7 % publicado [3, 15]. El BPA core apenas se ha movido en cinco años (2,85 en 2021, 3,00 en 2025): el crecimiento orgánico se lo ha comido la divisa y el ciclo de inversión [9, 10, 11].</w:t>
      </w:r>
    </w:p>
    <w:p>
      <w:pPr>
        <w:pStyle w:val="Heading2"/>
      </w:pPr>
      <w:r>
        <w:t xml:space="preserve">Ajustes y partidas no recurrentes</w:t>
      </w:r>
    </w:p>
    <w:p>
      <w:pPr>
        <w:spacing w:after="100"/>
      </w:pPr>
      <w:r>
        <w:t xml:space="preserve">Usamos las cifras core de la empresa. La diferencia con el IFRS es la amortización de intangibles de compras (PPA), deterioros y reestructuración: ≈120 M en 2025 (BPA IFRS 2,23 frente a 3,00 core) y ≈43 M en 2024 (2,87 frente a 3,14) [1, 2, 5, 9]. En 2023 la pérdida de DrSmile (−202 M) va como operación interrumpida [5]. La amortización de PPA es recurrente mientras haya intangibles comprados, pero no es caja; la reestructuración de 2025 sí se ha repetido dos años y es la parte que más sobrestima el core.</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(19-ago) el crecimiento orgánico aceleró al 8,5 % (7,1 % en el 1T26), con ventas de 707,0 M; el margen EBIT core del semestre fue del 25,7 % publicado y del 26,9 % a tipos constantes, y el beneficio core subió un 15,7 % hasta 262 M [3, 4, 14]. La dirección confirmó la guía elevada en junio (+140-170 pb de margen a tipos constantes), repartida por igual entre semestres, y anunció que Christopher Norbye sustituirá a Guillaume Daniellot como primer ejecutivo el 1-dic-2026 [18]. Frente a febrero, el discurso cambió de «prudencia por aranceles» a «aranceles menores de lo previsto» [15]. Las preguntas se centraron en China (APAC creció solo un 0,5 % en el 1T26 por el retraso de la segunda licitación centralizada) y en la divisa; sin China el grupo habría crecido ≈10 % [16]. La caja libre del semestre fue de 169 M (12,2 % de las ventas, +49 %) [3,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DrSmile (alineadores directos al paciente) pasa a operación interrumpida y se vende en 2024: los ingresos de 2023 están reexpresados sin ella (2.277 M); 2021-2022 la incluyen. El BPA core de 2023 (2,76) es el publicado entonces, con DrSmile.). Los ratios de balance de ese año (días, circulante, deuda neta / EBITDA, ROIC) y los indicadores de calidad contable no son comparables con los anteriores.</w:t>
      </w:r>
    </w:p>
    <w:p>
      <w:pPr>
        <w:spacing w:after="100"/>
      </w:pPr>
      <w:r>
        <w:t xml:space="preserve">El balance es de caja neta casi nula: 504 M de caja frente a ≈509 M de deuda con arrendamientos al cierre de 2025, y 381 M de caja en junio de 2026 tras pagar el dividendo [2, 7, 19]. El patrimonio subió de 1.500 M (2021) a 2.165 M (2025) y el activo total, de 2.968 M a 3.758 M [8]. La caja bajó de 880 M en 2021 a 375 M en 2024 por el ciclo de capex y las compras de distribuidores; en 2025 se recupera. No hay presión financiera: el riesgo del balance es nulo frente al de la cuenta.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1.657</w:t>
      </w:r>
      <w:r>
        <w:t xml:space="preserve">, conversión </w:t>
      </w:r>
      <w:r>
        <w:rPr>
          <w:b/>
          <w:bCs/>
        </w:rPr>
        <w:t xml:space="preserve">70 %</w:t>
      </w:r>
      <w:r>
        <w:t xml:space="preserve"> del beneficio neto; adquisiciones 0, dividendos 615, recompras 0.</w:t>
      </w:r>
    </w:p>
    <w:p>
      <w:pPr>
        <w:spacing w:after="100"/>
      </w:pPr>
      <w:r>
        <w:t xml:space="preserve">El flujo operativo ha sido estable (415-560 M), pero el capex subió del 5,2 % de las ventas en 2021 al 8,6 % en 2025 (223 M con intangibles), y la caja libre de la empresa fue de 290 M en 2025 (11,1 % de las ventas): una conversión de ≈61 % del beneficio core [2, 6]. En el 1S26 la caja libre subió un 49 % a 169 M por menos capex [3, 19]. La dirección habla de un «ciclo alto de capex» (capacidad en implantes y alineadores y digital) que ya baja; estimación propia: el mantenimiento ronda la amortización (≈5,4 % de las ventas) y el resto (≈3 puntos) es crecimiento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contable es buena pero la base core exige vigilancia: la distancia con el IFRS pasó de ≈43 M en 2024 a ≈120 M en 2025 por deterioros y reestructuración [1, 2, 9]. El Altman Z (6,80) sitúa a la empresa lejos de cualquier tensión; el Piotroski (5) es mediocre porque la cuenta y el balance llegan incompletos, y el Beneish no se puede calcular sin circulante. No hay señales de capitalización agresiva ni de cambios de criterio en las fuentes leídas; la venta de DrSmile limpió un negocio con pérdidas. Lo que más pesa es la divisa, que no es contable.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persistente entre beneficio core e IFRS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core (478 M) supera al IFRS (≈356 M) en ≈120 M por amortización de intangibles de compras, deterioros y reestructuración; en 2024 la distancia fue de ≈43 M (BPA core 3,14 frente a 2,87 IFRS) [1, 2,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en abril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cayó ≈2 % ese día; sin efecto visible en el 2T26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5,8 % · </w:t>
      </w:r>
      <w:r>
        <w:rPr>
          <w:b/>
          <w:bCs/>
        </w:rPr>
        <w:t xml:space="preserve">WACC</w:t>
      </w:r>
      <w:r>
        <w:t xml:space="preserve">: 7,4 %.</w:t>
      </w:r>
    </w:p>
    <w:p>
      <w:pPr>
        <w:spacing w:after="100"/>
      </w:pPr>
      <w:r>
        <w:t xml:space="preserve">Straumann crea mucho valor: el ROIC (NOPAT core entre capital invertido) es del 25,6 % en 2025 frente a un WACC del 7,41 %, más de 18 puntos de diferencia, aunque baja desde el 31,5 % de 2024 porque el capital invertido sube con el ciclo de capex y el NOPAT apenas crece. Lo mueve el margen (EBIT core del 25-27 %) más que la rotación (0,7 veces). El ROIC incremental que calcula el motor (5,8 %) no es representativo: el capital de 2021-2024 llega sin deuda y mezcla la pérdida de DrSmile. Frente a los comparables, solo Edwards y los audífonos premium se le acercan; Coloplast rinde un 11,9 % [39].</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504 M al cierre de 2025 y de 381 M a 30-jun-2026 (tras pagar 160 M de dividendo en abril) [2, 19]; deuda total de ≈509 M a cierre de 2025 según Stock Analysis (incluye arrendamientos)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localizado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No se han podido leer las notas del informe anual: sin datos de provisiones, garantías, pagos aplazados de compras ni opciones de venta de minoritarios. El grupo no tiene rating público ni covenants conocidos. La deuda total de 509 M de 2025 incluye arrendamientos según Stock Analysis [7]; Simply Wall St daba ≈231 M de deuda financiera a mediados de 2025, lo que dejaría ≈280 M de arrendamientos (estimación sin verificar).</w:t>
      </w:r>
    </w:p>
    <w:p>
      <w:pPr>
        <w:pStyle w:val="Heading1"/>
      </w:pPr>
      <w:r>
        <w:t xml:space="preserve">12. Asignación de capital</w:t>
      </w:r>
    </w:p>
    <w:p>
      <w:pPr>
        <w:pStyle w:val="Confianza"/>
        <w:spacing w:after="100"/>
      </w:pPr>
      <w:r>
        <w:t xml:space="preserve">Confianza: Media</w:t>
      </w:r>
    </w:p>
    <w:p>
      <w:pPr>
        <w:spacing w:after="100"/>
      </w:pPr>
      <w:r>
        <w:t xml:space="preserve">Dividendo de ≈1/3 del BPA core, creciente: 1,00 CHF por 2025 (+5 %, payout ≈33 %) [1]. Sin recompras: la caja se dedica a capex (8,6 % de las ventas en 2025) y a compras pequeñas de distribuidores y tecnología digital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DrSmile (alineadores directos al paciente)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por operación interrumpida de 202 M en 2023: la apuesta por el canal directo al consumidor no funcionó [5].</w:t>
            </w:r>
          </w:p>
        </w:tc>
      </w:tr>
    </w:tbl>
    <w:p>
      <w:pPr>
        <w:spacing w:after="160" w:before="0"/>
      </w:pPr>
    </w:p>
    <w:p>
      <w:pPr>
        <w:spacing w:after="100"/>
      </w:pPr>
      <w:r>
        <w:t xml:space="preserve">La asignación de capital es correcta pero sin brillo en la última década: el ROIC sigue alto (25,6 % en 2025), pero el BPA core apenas ha subido desde 2021 (2,85 a 3,00) por la divisa, el ciclo de capex y la aventura de DrSmile, que costó 202 M de pérdida en 2023 [5, 9, 10]. No hay recompras y el dividendo crece despacio (payout ≈33 %) [1]. La caja libre acumulada se ha dedicado a capex y a comprar distribuidores; con caja neta nula, la empresa no tiene margen para recompras grandes sin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Daniellot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(hasta el 30-nov-2026)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su mandato el grupo creció un 8,9 % orgánico en 2025 y elevó la guía de margen de 2026; deja el cargo en diciembre de 2026 [18,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Norbye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sucesor en la presentación del 1S26; trayectoria previa no verificada en las fuentes disponibles [18,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Rumpf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Reelegida presidenta en la junta del 17-abr-2026 con el 96,73 % de los votos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Straumann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honor (fuera del consejo desde abril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la etapa moderna del grupo y primer accionista (15,5 %) [21,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alto y mejora del margen EBIT core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orgánico; margen core 26,5 % a tipos constantes (25,2 % con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dígito alto orgánico y +30-60 pb de margen a tipos constantes; junio: +140-170 pb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7,8 % orgánico y margen core del 26,9 % a tipos constantes (+≈1,3 puntos); confirmado en agosto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ha cumplido la guía de 2025 y en junio de 2026 subió la de margen (de +30-60 a +140-170 puntos básicos) al pesar menos los aranceles de EE. UU. El cambio de primer ejecutivo (Daniellot sale el 30-nov-2026, entra Norbye) y la salida del fundador del consejo concentran dos relevos en un año: el riesgo es de continuidad estratégica, no de credibilidad. La sucesión se anunció con tres meses y medio de antelación [18, 30,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Rumpf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Wolfgang Becker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Sébastien Schatzmann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Straumann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 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Gabriella Straumann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 2026 el informe de remuneración de 2025 obtuvo un 85,59 % a favor y el importe máximo del consejo un 94,37 %; el punto más contestado fue un bono único de retención para la dirección, aprobado con solo un 74,02 % a favor, lo que indica que una parte relevante del capital no presente en el control familiar rechaza pagar por quedarse en plena sucesión [31]. No se ha podido leer el informe de remuneraciones (métricas del variable).</w:t>
      </w:r>
    </w:p>
    <w:p>
      <w:pPr>
        <w:pStyle w:val="Heading2"/>
      </w:pPr>
      <w:r>
        <w:t xml:space="preserve">Operaciones vinculadas, estructura de control y defensas</w:t>
      </w:r>
    </w:p>
    <w:p>
      <w:pPr>
        <w:spacing w:after="100"/>
      </w:pPr>
      <w:r>
        <w:t xml:space="preserve">No hay accionista de control: los dos mayores (Thomas Straumann, 15,5 %, y Rudolf Maag, 10,2 %) suman un 25,7 % y los participantes significativos, un 38,5 % (42,0 % un año antes) [21]. Acción única nominativa. Con una asistencia del 68,1 % del capital en la junta de 2026, los dos fundadores pesan ≈38 % de los votos presentes, suficiente para bloquear pero no para imponer [21, 31].</w:t>
      </w:r>
    </w:p>
    <w:p>
      <w:pPr>
        <w:pStyle w:val="Heading2"/>
      </w:pPr>
      <w:r>
        <w:t xml:space="preserve">Señales de alerta</w:t>
      </w:r>
    </w:p>
    <w:p>
      <w:pPr>
        <w:pStyle w:val="ListParagraph"/>
        <w:numPr>
          <w:ilvl w:val="0"/>
          <w:numId w:val="2"/>
        </w:numPr>
        <w:spacing w:after="60"/>
      </w:pPr>
      <w:r>
        <w:t xml:space="preserve">Relevo del primer ejecutivo (1-dic-2026) y salida del fundador del consejo en el mismo año.</w:t>
      </w:r>
    </w:p>
    <w:p>
      <w:pPr>
        <w:pStyle w:val="ListParagraph"/>
        <w:numPr>
          <w:ilvl w:val="0"/>
          <w:numId w:val="2"/>
        </w:numPr>
        <w:spacing w:after="60"/>
      </w:pPr>
      <w:r>
        <w:t xml:space="preserve">Bono de retención aprobado con solo un 74 % a favor (junta 2026).</w:t>
      </w:r>
    </w:p>
    <w:p>
      <w:pPr>
        <w:pStyle w:val="ListParagraph"/>
        <w:numPr>
          <w:ilvl w:val="0"/>
          <w:numId w:val="2"/>
        </w:numPr>
        <w:spacing w:after="60"/>
      </w:pPr>
      <w:r>
        <w:t xml:space="preserve">Ciberataque en abril de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2026: crecimiento orgánico de un dígito alto y mejora del margen EBIT core de 140-170 puntos básicos a tipos de 2025 (subida desde +30-60 pb el 17-jun-2026 por aranceles de EE. UU. menores de lo previsto), confirmada el 19-ago-2026 con la mejora repartida por igual entre semestres [3,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(15 analistas; BPA = beneficio 497 M ÷ 159,5 M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(15 analistas; beneficio 578 M)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(12 analistas; beneficio 665 M)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81,11 – 152,83</w:t>
            </w:r>
          </w:p>
        </w:tc>
      </w:tr>
    </w:tbl>
    <w:p>
      <w:pPr>
        <w:spacing w:after="160" w:before="0"/>
      </w:pPr>
    </w:p>
    <w:p>
      <w:pPr>
        <w:pStyle w:val="Heading2"/>
      </w:pPr>
      <w:r>
        <w:t xml:space="preserve">Revisiones de estimaciones</w:t>
      </w:r>
    </w:p>
    <w:p>
      <w:pPr>
        <w:spacing w:after="100"/>
      </w:pPr>
      <w:r>
        <w:t xml:space="preserve">El consenso de ingresos de 2026 bajó de 2.818 M (diciembre de 2025) a 2.749 M (julio de 2026) por la divisa, mientras los de beneficio subieron tras la nueva guía de margen; TheScreener señala revisiones al alza del BPA en las siete semanas previas a julio [32, 33]. Tras el 2T26, UBS subió a Comprar (1-sep, objetivo 115 CHF) y Deutsche Bank bajó a Mantener (objetivo 119 CHF) [34]. Solo hay una fuente con estimaciones completas; el objetivo y las recomendaciones se contrastan con Stocksguide y Fintel [35, 36].</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El PER core de los últimos 12 meses (28,6x) está en el mínimo de su historia limpia (2022: 34,9x; 2023: 49,1x; 2025: 31,2x) [11, 38]. Excluimos 2021 (68x, burbuja pospandemia) y no hay precio de cierre de 2024. El descuento se explica por el BPA estancado cuatro años y por la entrada de competidores de valor en China; no por un deterioro de la rentabilidad, que sigue por encima del 25 %. 2019 (44,8x sobre un BPA core de 2,12) confirma que la media larga (≈40x) es de otra época de tipos [13].</w:t>
      </w:r>
    </w:p>
    <w:p>
      <w:pPr>
        <w:pStyle w:val="Heading1"/>
      </w:pPr>
      <w:r>
        <w:t xml:space="preserve">18. Comparables cotizados</w:t>
      </w:r>
    </w:p>
    <w:p>
      <w:pPr>
        <w:pStyle w:val="Confianza"/>
        <w:spacing w:after="100"/>
      </w:pPr>
      <w:r>
        <w:t xml:space="preserve">Confianza: Media</w:t>
      </w:r>
    </w:p>
    <w:p>
      <w:pPr>
        <w:spacing w:after="100"/>
      </w:pPr>
      <w:r>
        <w:t xml:space="preserve">Fabricantes europeos, australianos y estadounidenses de tecnología médica con consumibles recurrentes, pago parcial del paciente y márgenes altos: Sonova, Demant y Cochlear (audición), Coloplast y Smith &amp; Nephew (consumibles y ortopedia), Align (el único rival dental cotizado con datos homogéneos), Edwards (implantes de nicho) y Alcon (oftalmología). Envista y Dentsply Sirona no se incluyen porque no se obtuvieron sus cifras; Osstem ya no cotiza [29, 39, 40,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14,7x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22,9x / 25,5x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3,6x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Straumann cotiza a 26,2x el PER de los próximos 12 meses y 18,7x el EV/EBITDA de los últimos 12, por encima de la mediana de los comparables (PER ≈23x) y muy por encima de Align (15x), que es su competidor más directo pero crece menos [29]. La prima se justifica en parte por el ROIC (25,6 %) y el crecimiento orgánico del 8-9 %, por encima de casi todos, pero el crecimiento publicado en francos (≈3 % en 2026) no la sostiene. El valor implícito por comparables (PER NTM) es de 56,74-89,59 CHF, por debajo del precio.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+3,0 % en francos: 7,8 % orgánico en el 1S26 y guía de un dígito alto, menos ≈5 puntos de divisa (2,3 % publicado en el 1S26) [3, 15]. De 2027e a 2029e, 7,0-6,5 %: orgánico del 7-8 % (la mitad baja de la historia y en línea con el mercado) sin efecto divisa; luego baja al 5 % en 2032e. El consenso de ingresos de 2028e (3.306 M) es un 7,6 % superior a nuestro 3.072 M: asume menos divisa [32].</w:t>
      </w:r>
    </w:p>
    <w:p>
      <w:pPr>
        <w:keepNext/>
        <w:spacing w:after="100"/>
      </w:pPr>
      <w:r>
        <w:rPr>
          <w:b/>
          <w:bCs/>
        </w:rPr>
        <w:t xml:space="preserve">Márgenes.</w:t>
      </w:r>
    </w:p>
    <w:p>
      <w:pPr>
        <w:spacing w:after="100"/>
      </w:pPr>
      <w:r>
        <w:t xml:space="preserve">Margen EBITDA core del 30,8 % en 2026e (EBIT core ≈25,4 % publicado con la guía de +140-170 pb a tipos constantes y la divisa del 1S26) que sube al 33,0 % en 2031e por apalancamiento operativo y fin del ciclo de capex. Es el nivel de 2021 (EBIT core 27,4 %) con algo más de mezcla de valor [3, 10].</w:t>
      </w:r>
    </w:p>
    <w:p>
      <w:pPr>
        <w:keepNext/>
        <w:spacing w:after="100"/>
      </w:pPr>
      <w:r>
        <w:rPr>
          <w:b/>
          <w:bCs/>
        </w:rPr>
        <w:t xml:space="preserve">Inversión y circulante.</w:t>
      </w:r>
    </w:p>
    <w:p>
      <w:pPr>
        <w:spacing w:after="100"/>
      </w:pPr>
      <w:r>
        <w:t xml:space="preserve">Capex del 8,5 % de las ventas en 2026e-2027e, bajando al 7,0 % en 2032e; incluye ≈1,2 puntos de inversión en circulante, porque no se pudo reconstruir el circulante. Amortización del 5,4 % de las ventas (la core de 2025) [2, 6].</w:t>
      </w:r>
    </w:p>
    <w:p>
      <w:pPr>
        <w:keepNext/>
        <w:spacing w:after="100"/>
      </w:pPr>
      <w:r>
        <w:rPr>
          <w:b/>
          <w:bCs/>
        </w:rPr>
        <w:t xml:space="preserve">Coste del capital.</w:t>
      </w:r>
    </w:p>
    <w:p>
      <w:pPr>
        <w:spacing w:after="100"/>
      </w:pPr>
      <w:r>
        <w:t xml:space="preserve">Tasa libre del 0,54 % (bono suizo a 10 años del 8-oct-2026) [42]; beta de 1,10 (dispositivos de pago privado, más cíclicos que la media del sector salud; no se pudo calcular con bolsa.mjs); prima de mercado del 5,5 % y prima adicional de 1 punto porque los flujos están en euros, dólares, reales y yuanes y el bono suizo es anormalmente bajo, igual que en Roche y Givaudan en este repositorio. Coste de la deuda del 2 % y peso del 3 %. WACC del 7,41 %; con la prima implícita del mercado (4,2 %), el 6,0 %.</w:t>
      </w:r>
    </w:p>
    <w:p>
      <w:pPr>
        <w:keepNext/>
        <w:spacing w:after="100"/>
      </w:pPr>
      <w:r>
        <w:rPr>
          <w:b/>
          <w:bCs/>
        </w:rPr>
        <w:t xml:space="preserve">Valor terminal.</w:t>
      </w:r>
    </w:p>
    <w:p>
      <w:pPr>
        <w:spacing w:after="100"/>
      </w:pPr>
      <w:r>
        <w:t xml:space="preserve">Gordon al 1,0 %: crecimiento real bajo en francos con inflación suiza del ≈0,5-1 %. Queda por encima de la tasa libre menos medio punto, pero el bono suizo no refleja la inflación de las divisas en que se vende; con 0,5 % el valor baja ≈5 %. El múltiplo de salida implícito es coherente con la historia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Etapa de transición (DCF en tres etapas)</w:t>
      </w:r>
    </w:p>
    <w:p>
      <w:pPr>
        <w:spacing w:after="100"/>
      </w:pPr>
      <w:r>
        <w:t xml:space="preserve">Con la etapa de transición de 5 años el DCF da 75,15 por acción; sin ella (crecimiento terminal desde 2032e), 68,06.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implante dental está poco penetrado fuera de Europa y EE. UU. (China multiplicó volúmenes tras la licitación de 2023, y Latinoamérica y Asia crecen a doble dígito), y el mercado crecería un 6,9-8,3 % anual hasta 2034-2035 [26, 28]. Straumann es el primero con &gt;32 % de cuota y su ROIC (25,6 %) supera al WACC en más de 18 puntos: crecer crea valor. Cinco años de transición desde el 5,0 % de 2032e hasta el 1,0 % terminal recogen que la ventaja (marca clínica, costes de cambio, ecosistema digital) dura más que la proyección explícita [26].</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M (11 % del NOPAT)</w:t>
            </w:r>
          </w:p>
        </w:tc>
      </w:tr>
    </w:tbl>
    <w:p>
      <w:pPr>
        <w:spacing w:after="160" w:before="0"/>
      </w:pPr>
    </w:p>
    <w:p>
      <w:pPr>
        <w:spacing w:after="100"/>
      </w:pPr>
      <w:r>
        <w:t xml:space="preserve">La proyección apenas necesita inversión neta de la amortización (reinversión acumulada de 554 M, el 11 % del NOPAT, con un capex bruto medio del 7,9 % de las ventas). En un negocio de activos ligeros, el crecimiento medio del 5,7 %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5,8 % y precio 2,0 % (guía de crecimiento orgánico de un dígito alto: 7,8 % en el 1S26); divisa −4,8 puntos (1S26: −5,5)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(mercado 6,9-8,3 %, China estabilizada tras la licitación) y precio 2 % (historia de subidas anuales en premium); sin efecto divisa [26,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ningún aumento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4,5 % con 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 y precio 2 %: crecimiento por debajo del mercado previsto.</w:t>
            </w:r>
          </w:p>
        </w:tc>
      </w:tr>
    </w:tbl>
    <w:p>
      <w:pPr>
        <w:spacing w:after="160" w:before="0"/>
      </w:pPr>
    </w:p>
    <w:p>
      <w:pPr>
        <w:spacing w:after="100"/>
      </w:pPr>
      <w:r>
        <w:t xml:space="preserve">Sí. El crecimiento proyectado (5,7 % anual medio) es inferior al orgánico que la empresa ha logrado en cada uno de los últimos cinco años (8,9-15,7 %) y al del mercado de implantes (6,9-8,3 %), así que no exige ganar cuota (32 % hoy) [1, 26]. La reinversión es pequeña (≈11 % del NOPAT con capex del 7-8,5 % de las ventas) y el motor no hace la prueba por «activos ligeros»; a mano: con un ROIC del 25,6 %, cada punto de crecimiento pide ≈4 % del NOPAT, y el resto lo pone el poder de precios demostrado (margen bruto ≈70 % estable y aranceles absorbidos en 2026) [15, 24]. El riesgo no es de capacidad sino de precio en China.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7,4 %)</w:t>
            </w:r>
          </w:p>
        </w:tc>
      </w:tr>
    </w:tbl>
    <w:p>
      <w:pPr>
        <w:spacing w:after="160" w:before="0"/>
      </w:pPr>
    </w:p>
    <w:p>
      <w:pPr>
        <w:spacing w:after="100"/>
      </w:pPr>
      <w:r>
        <w:t xml:space="preserve">El DCF da 75,15 CHF por acción (−18,3 % sobre 92,00), con un WACC del 7,41 % y un valor terminal del 55 %; la sensibilidad (WACC y crecimiento ± 0,5 puntos) va de 66,40 a 87,05 CHF, siempre por debajo del precio. El DCF inverso dice que el mercado descuenta un crecimiento del 9,3 % anual de 2027e a 2032e, frente al 6,2 % de nuestro caso base y al 6,9 % previsto para el mercado de implantes: exigente, porque supone recuperar el crecimiento de 2022-2024 y ganar cuota. La rentabilidad implícita en el precio es del 6,3 %, por debajo de nuestro WACC (7,41 %) y por encima de lo que pide hoy el mercado (6,0 %). Con la prima implícita del mercado el valor sube a 92,49 CHF: el precio es justo si se acepta el coste de capital del mercado de hoy, no el nuestro. La diferencia es de tasa más que de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segunda licitación china prima a los fabricantes locales y el franco sigue fuerte: el crecimiento cae 3 puntos al año y el margen 1,5 puntos, como en 2023-2025, cuando el BPA no creció [9, 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7-8 %, divisa neutra desde 2027 y margen EBITDA core hasta el 33 % con el fin del ciclo de capex.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sigue al 7-8 %, China se estabiliza y la ortodoncia y el digital suman: 2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73,11 CHF (-20,5 %).</w:t>
      </w:r>
    </w:p>
    <w:p>
      <w:pPr>
        <w:spacing w:after="100"/>
      </w:pPr>
      <w:r>
        <w:t xml:space="preserve">El DCF da 53,18 CHF en el bajista (−42,2 %), 75,15 en el base y 88,96 en el alcista (−3,3 %): ni el alcista llega al precio con nuestro WACC. Con la prima del mercado el rango sube a 67,87-114,82. La asimetría del valor intrínseco es negativa; la del objetivo a 12 meses es favorable (3,04x) porque el PER actual ya está en mínimos de su historia.</w:t>
      </w:r>
    </w:p>
    <w:p>
      <w:pPr>
        <w:pStyle w:val="Heading1"/>
      </w:pPr>
      <w:r>
        <w:t xml:space="preserve">22. Suma de partes</w:t>
      </w:r>
    </w:p>
    <w:p>
      <w:pPr>
        <w:pStyle w:val="Confianza"/>
        <w:spacing w:after="100"/>
      </w:pPr>
      <w:r>
        <w:t xml:space="preserve">Confianza: Media</w:t>
      </w:r>
    </w:p>
    <w:p>
      <w:pPr>
        <w:spacing w:after="100"/>
      </w:pPr>
      <w:r>
        <w:t xml:space="preserve">No aplica: la empresa publica un solo segmento operativo.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75,97 CHF (-17,4 % sobre 92,00).</w:t>
      </w:r>
    </w:p>
    <w:p>
      <w:pPr>
        <w:spacing w:after="100"/>
      </w:pPr>
      <w:r>
        <w:t xml:space="preserve">El DCF pesa un 50 %: es un negocio de caja estable con poca inversión. Los comparables, un 25 %, porque el sector cotiza por PER y Straumann lleva prima; los escenarios, el 25 % restante. No hay transacciones con múltiplo. Todos los métodos quedan por debajo del precio (valor objetivo de 75,97 CHF, −17,4 %); solo el DCF con la prima del mercado (92,49) y el objetivo medio de los analistas (114,75) lo superan. La dispersión dice que el precio paga el crecimiento de 2022-2024 y un coste de capital bajo.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 1.1 (tope: la mediana de 5 años, 40.7x,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spacing w:after="100"/>
      </w:pPr>
      <w:r>
        <w:rPr>
          <w:b/>
          <w:bCs/>
        </w:rPr>
        <w:t xml:space="preserve">Objetivo a 12 meses (ponderado):</w:t>
      </w:r>
      <w:r>
        <w:t xml:space="preserve"> 115,05 CHF · rentabilidad +26,1 % (base +21,2 %) · señal Mantener.</w:t>
      </w:r>
    </w:p>
    <w:p>
      <w:pPr>
        <w:spacing w:after="100"/>
      </w:pPr>
      <w:r>
        <w:t xml:space="preserve">Para comparar, con la regla v2 (historia al cierre, mismo precio): 22,7x / 26,7x / 34,7x, 14,5 % Mantener; con el tope anterior del base (×1,3, 14-oct mediodía): 41,5 % Mantener. Decide la regla vigente (v3 con tope ×1,1; METODO-VIGENTE.md).</w:t>
      </w:r>
    </w:p>
    <w:p>
      <w:pPr>
        <w:keepNext/>
        <w:spacing w:after="100"/>
      </w:pPr>
      <w:r>
        <w:rPr>
          <w:b/>
          <w:bCs/>
        </w:rPr>
        <w:t xml:space="preserve">Frente al consenso (solo contraste).</w:t>
      </w:r>
    </w:p>
    <w:p>
      <w:pPr>
        <w:spacing w:after="100"/>
      </w:pPr>
      <w:r>
        <w:t xml:space="preserve">Nuestro base (100,39 CHF) queda un 12,5 % por debajo del objetivo medio de los analistas (114,75; 81-153). Casi todo sale del BPA: 3,44 en 2027e y 3,76 en 2028e frente a 3,62 y 4,17 del consenso (−5 % y −10 %) [32]. El consenso proyecta ventas de 3.306 M en 2028e frente a nuestros 3.072 M: supone menos divisa en contra; además nuestra conversión de EBIT a beneficio (72,9 %, la de 2025) no mejora. El múltiplo es parecido: 26,7x frente a ≈27-28x implícito en los objetivos.</w:t>
      </w:r>
    </w:p>
    <w:p>
      <w:pPr>
        <w:keepNext/>
        <w:spacing w:after="100"/>
      </w:pPr>
      <w:r>
        <w:rPr>
          <w:b/>
          <w:bCs/>
        </w:rPr>
        <w:t xml:space="preserve">Del valor intrínseco al objetivo a 12 meses.</w:t>
      </w:r>
    </w:p>
    <w:p>
      <w:pPr>
        <w:spacing w:after="100"/>
      </w:pPr>
      <w:r>
        <w:t xml:space="preserve">El objetivo a 12 meses (104,34 CHF ponderado; 100,39 el base) queda un 37 % por encima del valor intrínseco (75,97 CHF): el mercado paga por Straumann un coste de capital menor que el nuestro y lo seguirá haciendo mientras el BPA crezca al 10 % anual que proyectamos para 2026-2028. Para cerrar la distancia con el valor intrínseco haría falta una caída del PER hacia 20x, que solo se vio fuera de esta muestra, o una subida de tipos en francos. La tesis a 12 meses depende de que el BPA core crezca del 3,00 de 2025 al 3,76 de 2028e; el catalizador son los resultados anuales de febrero de 2027, con la guía de margen.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crecimiento orgánico del 7-9 %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Norbye,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cambio de prioridades o de revisión de objetivos a medio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tras +140-170 pb y primera guía del nuevo CEO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licitación centralizada de implantes en China (VBP)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cuota en China; preferencia por productos locales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(≈1,05 CHF) y votos de remuneración tras el bono de retención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segunda licitación (VBP) que favorece a fabricantes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(hacia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y Neodent en el segmento de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APAC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sostenida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Brasil, China y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orgánico y en francos &gt; 5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primer ejecutivo y salida del fundador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cambia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presidenta en el cargo y accionistas de referencia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los objetivos a medio plazo en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EE. UU. y pago del bolsillo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(EMEA ≈43 %)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por debajo del 3 %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valor (coreanos y chinos) fuera de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Neodent y Anthogyr en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68 %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importaciones suizas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fuera de Suiza; guía ya subida por aranceles menores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subida arancelaria a Suiza</w:t>
            </w:r>
          </w:p>
        </w:tc>
      </w:tr>
    </w:tbl>
    <w:p>
      <w:pPr>
        <w:spacing w:after="160" w:before="0"/>
      </w:pPr>
    </w:p>
    <w:p>
      <w:pPr>
        <w:pStyle w:val="Heading2"/>
      </w:pPr>
      <w:r>
        <w:t xml:space="preserve">Pre-mortem</w:t>
      </w:r>
    </w:p>
    <w:p>
      <w:pPr>
        <w:spacing w:after="100"/>
      </w:pPr>
      <w:r>
        <w:t xml:space="preserve">Es octubre de 2029 y la acción ha perdido un 40 %. China celebró la segunda licitación a finales de 2026 y los fabricantes locales se quedaron con los lotes de mayor volumen; Straumann mantuvo el precio en premium y perdió cuota en el que había sido su motor de crecimiento. A la vez, el franco siguió fuerte y el nuevo primer ejecutivo, llegado en diciembre de 2026, rebajó en febrero de 2027 los objetivos a medio plazo para «recentrar» la cartera y anunció reestructuración. El BPA core, que ya llevaba cinco años plano, cayó a 2,8 CHF y el mercado, que pagaba 27x por una recuperación, pasó a pagar 20x, como a Align. La señal estaba en los trimestres: APAC por debajo del 3 % orgánico dos veces seguidas y la diferencia entre crecimiento orgánico y en francos por encima de los 5 puntos.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del producto y la evidencia clínica (un fallo de implante a gran escala dañaría la marca premium), la ciberseguridad (ataque en abril de 2026) y el acceso a tratamientos en China (precios regulados). Las emisiones son pequeñas para el tamaño del grupo [20].</w:t>
      </w:r>
    </w:p>
    <w:p>
      <w:pPr>
        <w:pStyle w:val="Heading2"/>
      </w:pPr>
      <w:r>
        <w:t xml:space="preserve">Controversias</w:t>
      </w:r>
    </w:p>
    <w:p>
      <w:pPr>
        <w:spacing w:after="100"/>
      </w:pPr>
      <w:r>
        <w:t xml:space="preserve">Ciberataque en abril de 2026, sin efecto visible en las ventas del 2T26 [20]. No se han encontrado sanciones ni litigios relevantes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APAC depende de la segunda licitación y qué cuota de lotes espera con producción local?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con más efecto en el valor (bajista −42 %).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costes está en francos y qué cobertura natural queda tras las ampliaciones fuera de Suiza?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explica casi toda la erosión del margen publicado desde 2021.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nuevo CEO los objetivos de margen a medio plazo y por qué hizo falta un bono de retención?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74 % del capital presente lo aprobó.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capex al 6 % de las ventas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(11 % de las ventas)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frente a IFRS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 M de ajustes de 2025 es reestructuración que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a 12 meses se hace sobre BPA core.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 recompras ahora que el PER está en mínimos de una década?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caja neta nula, una recompra pediría deuda.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Aktienwelt360 (blog de inversión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la acción es compra a 92 CHF: resultados del 2T26 muy buenos pero la cotización «dormita», recuperada del mínimo de marzo (73 CHF) sin romper al alza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con foro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«Acción de la semana» tras la subida de la guía de margen (+12,8 % en una semana, máximo de once meses); el foro de la acción no tiene mensajes [45,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más reciente encontrado mantiene «Hold»: fundamentales excelentes pero PER por encima de 30x que limita el potencial; anterior a los tres últimos meses, solo de contexto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Kapitalmarktexperten y Goldesel (prensa de inversión alemana)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como «top pick 2026» de varios analistas y lectura positiva del 2T26 con el relevo de CEO [30,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narrativa alcista por la digitalización en Asia y Latinoamérica y otra centrada en el riesgo de la recuperación de EE. UU. y la estabilidad del margen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la historia (PER de 30x a 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core sobre el BPA de 2027e de nuestra proyección es de ≈26x, el más bajo de la última década fuera de 2025: la gente tiene razón en que ya no es cara frente a su historia, pero sigue por encima de los comparables de tecnología médica (≈23x).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la segunda licitación centralizada (VBP)</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APAC creció un 0,5 % en el 1T26; sin China el grupo crecía ≈10 %. Es el riesgo con fecha más claro y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CEO y salida del fundador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ha cumplido y subido con Daniellot; el bono de retención se aprobó con solo un 74 %: el informe lo trata como riesgo de continuidad, no de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Restó ≈5,5 puntos al crecimiento en francos en el 1S26 (7,8 % orgánico frente a 2,3 % en CHF) y ≈1,2 puntos al margen: es real y está en la proyección.</w:t>
            </w:r>
          </w:p>
        </w:tc>
      </w:tr>
    </w:tbl>
    <w:p>
      <w:pPr>
        <w:spacing w:after="160" w:before="0"/>
      </w:pPr>
    </w:p>
    <w:p>
      <w:pPr>
        <w:spacing w:after="100"/>
      </w:pPr>
      <w:r>
        <w:t xml:space="preserve">El inversor particular de habla alemana ve a Straumann como un valor de calidad que lleva dos años sin premiar: reconoce el crecimiento orgánico del 8 % y la subida de la guía, pero desconfía de China, del franco y del relevo en la cúpula. No hay euforia ni capitulación; el debate es escaso (el foro de cash.ch está vacío) y no contradice a los analistas, que mayoritariamente recomiendan comprar. No aporta un riesgo que el análisis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49 (14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25,6 % frente a WACC 7,4 %: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2026-10-03, 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y deuda por año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del informe anual 2025 (AR25 Financial Report): el buscador indexa el PDF pero no devuelve el balance; 2) Stock Analysis, Stockopedia y Fintel: solo activo total, patrimonio, caja e intangibles; 3) Simply Wall St: deuda de ≈231 M a mediados de 2025,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IFRS completa (coste de ventas, gastos, impuestos, resultado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FY2025 en PDF (no abre); 2) Stock Analysis (extracto solo con ingresos, EBIT y beneficio); 3) Google Finance (datos trimestrales mezclados)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trimestres con EBITDA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trimestrales de la empresa (solo ventas en 1T y 3T); 2) Quartr y AWP; 3) derivación por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(peso de cada región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FY2025; 2) AWP por trimestres; 3) suma de trimestres de EMEA (solo 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 Envista y Dentsply Sirona (solo devolvió Align); 2) búsqueda de cuotas de iData (sin porcentajes); 3) informes anuales de los competidores (no abren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2025 (no se buscaron por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primer ejecutivo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(PDF no accesible); 2) resultados de la junta 2026 (solo votos); 3) registro de operaciones de directivos de la SIX (anónimo y no accesible desde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WebSearch de la cotización de octubre en alemán e inglés (solo páginas sin fecha: 88,7-98,0 CHF); 3) artículo fechado del 3-oct-2026 con ≈92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Finance (no abre); 3) WebSearch (solo cotizaciones sueltas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 dental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OPA de MBK sobre Osstem (2023), sin múltiplo en las búsquedas; 2) compra de Byte por Dentsply (2021), sin EBITDA; 3) no hay más búsquedas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empresa (solo hasta 2023); 2) finanzen.net y boerse.de (sin dato en el extracto); 3) Macrotrends (en USD del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(Reddit, Stocktwits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 Reddit y Seeking Alpha sobre Straumann en 2026 (sin hilos); 2) foro de cash.ch (vacío); 3) búsqueda en alemán de foros de inversores (solo prensa y blogs)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propia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(no abren); 3) WebSearch (sin beta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 delivers strong 2025 performance (nota de prensa FY2025).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https://www.straumann.com/content/dam/media-center/group/en/documents/annual-report/2025/StraumannGroup-Press-Release-FY2025.pdf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 webcast presentation FY2025 (puente core-IFRS, FCF 290 M, capex 223 M, caja).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https://www.straumann.com/content/dam/data/media-release/de/2026/32053e54-7676-4f7e-9d3d-92d71b19e0ea/Straumann+Group_Webcast+presentation_FY2025.pdf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delivers strong second quarter performance and confirms upgraded profitability outlook for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https://live.deutsche-boerse.com/news/Straumann-Group-delivers-strong-second-quarter-performance-and-confirms-upgraded-profitability-outlook-for-2026-1bcb2130-eee5-44e7-b9a6-e7c5d020d7bb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Webcast presentation Q2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https://www.straumann.com/content/dam/media-center/group/en/documents/presentation/2026/20260819_EN_StraumannGroup_Webcast-presentation_Q2_2026.pdf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Balance Sheet (activo total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https://www-proxy.stockopedia.com/share-prices/straumann-holding-ag-SWX:STMN/balance-sheet/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2024 Straumann Group Media Release (BPA core 3,14; IFRS 2,87; beneficio core 502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https://www.straumann.com/content/dam/media-center/group/en/documents/media-release/2024/Full_Year_Results_2024_Straumann_Group_Media_Release.pdf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2022 FY Media Release (BPA core 3,03 y 2,85; margen EBIT core 26,0 % y 27,4 %)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https://straumann.com/content/dam/media-center/group/en/documents/media-release/2023/Straumann-Group-2022-FY-Media-Release.pdf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information (cotización al cierre de cada año, BPA core 2023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https://straumann.com/group/en/home/investors/share-information.html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H1 FY26 IFRS net profit rises 5.3% to CHF 250.7 million; revenue increases 2.3% to CHF 1.38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https://www.vermoegenszentrum.ch/en/stock-exchange-and-markets/news/straumann-h1-fy26-ifrs-net-profit-rises-53-chf-2507-million-revenue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2019 FY Presentation (BPA core 21,21 CHF antes del desdoblamiento 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https://straumann.com/content/dam/data/media-release/de/2020/aaed4c01-b76c-4718-8677-ba90155650a3/Straumann-2019-FY-Presentation.pdf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(STMN)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https://quartr.com/events/straumann-holding-ag-stmn-q2-2026_oqgU6eg2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Straumann Group raises its profitability guidance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https://www.straumann.com/content/dam/data/media-release/en/2026/25aba1a4-df97-4995-a415-07a6b3bf6956/20260617_StraumannGroup_Press+Release_Guidance2026.pdf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startet stärker als erwartet ins 2026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Südostschweiz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https://www.suedostschweiz.ch/schweiz-und-welt/straumann-startet-staerker-als-erwartet-ins-2026-2-1644731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generates higher sales in the third quarter - EMEA region drives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https://www.bluewin.ch/en/news/straumann-generates-higher-sales-in-the-third-quarter-emea-region-drives-growth-2939086.html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on track after first semester, gets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https://www.bluewin.ch/en/news/straumann-on-track-after-first-semester-gets-new-ceo-li.3567966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Medienmitteilung H1 2026 (caja de 381 M a 30-jun-2026; FCF 168,6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https://www.straumann.com/content/dam/data/media-release/de/2026/21928121-0ef4-46ed-9f32-1134d927069b/20260819_DE_Straumann_Group_Medienmitteilung_H1_2026.pdf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Straumann-Aktie: Hacker-Attacke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https://www.boerse-express.com/news/articles/straumann-aktie-hacker-attacke-892088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historia y estructura del grupo (web corporativa).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https://www.straumann.com/group/en/home/investors/corporate-governance/group-structure.html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shareholders approve all proposals (junta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https://live.deutsche-boerse.com/nachrichten/Straumann-Group-shareholders-approve-all-proposals-cebc7088-17eb-4215-8174-1e6d33cc4aab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nota de prensa FY2025 y notas trimestrales 2025 (regiones).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https://www.straumann.com/content/dam/data/media-release/en/2026/32053e54-7676-4f7e-9d3d-92d71b19e0ea/StraumannGroup_Press+Release_FY2025.pdf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margen bruto de los últimos 12 meses (70,1 %)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https://simplywall.st/stocks/at/healthcare/vie-stmn/straumann-holding-shares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beats earnings expectations (VBP china retrasada; preferencia por productos locales)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Global Banking &amp;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https://www.globalbankingandfinance.com/straumann-beats-earnings-expectations/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Dental Implants Market Size &amp; Share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https://www.gminsights.com/industry-analysis/dental-implants-market/amp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5 Dental Implant Companies Leading the Global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https://idataresearch.com/news/dental-implant-companies-leading-the-global-market/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Dental Implants Market Research Report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https://www.marketresearchfuture.com/reports/dental-implants-market-2753%C2%A0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 Technology: estadísticas de valoración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https://www.stockhub.kr/en/stock/ALGN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liefert starkes Q2: Norbye wird ab Dezember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https://goldesel.de/aktien/news/straumann-liefert-starkes-q2-norbye-wird-ab-dezember-ceo-2026er-profitabilitat-bleibt-auf-kurs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voting results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https://www.straumann.com/content/dam/data/media-release/en/2026/01595361-daed-4503-9515-495dcf705cfc/Straumann+Holding+AG_voting+results_AGM2026_EN.pdf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Future Growth (previsiones de ingresos y beneficio 2026-2028, actualizado el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https://simplywall.st/stocks/at/healthcare/vie-stmn/straumann-holding-shares/future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Hldg Rg (TheScreener, revisiones de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https://cug.tradedirect.ch/td/details/thescreener/117544866,4,1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(STMN):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https://za.investing.com/equities/straumann-holding-ag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forecast (objetivo medio 114,75 CHF, 22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https://stocksguide.com/en/forecast/Straumann-CH1175448666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 Straumann Holding AG (SWX): objetivos de analistas (81,11-152,83)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https://fintel.io/s/ch/stmn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Ist die Straumann-Aktie bei 92 Franken ein Kauf? (cotización de referencia y mínimo de marzo en 73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Aktienwelt360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https://www.aktienwelt360.de/2026/10/03/ist-die-straumann-aktie-bei-92-franken-ein-kauf/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(STMN) quote: precio al inicio del periodo 93,46 CHF el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https://www.fool.com/quote/xswx/stmn/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tecnología médica (Sonova, Demant, Coloplast, Cochlear, Smith &amp; Nephew) a 12-oct-2026, MarketScreener; tomados del informe de Coloplast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informes/coloplast-2026-10-12)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Align Technology y Alcon a 8-oct-2026, MarketScreener; tomados del informe de Cooper Companies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informes/cooper-companies-2026-10-09)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 Edwards Lifesciences a 8-oct-2026; tomado del informe de Cochlear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informes/cochlear-2026-10-08)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share price (Stockopedia: capitalización ≈15.600 M CHF, PER adelantado 29x)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https://stockopedia.com/share-prices/straumann-holding-ag-SWX:STMN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der Woche: verbesserte Margenprognose treibt Schweizer Medtech-Titel auf ein Elf-Monate-Hoch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https://www.cash.ch/news/top-news/aktie-der-woche-verbesserte-margenprognose-treibt-schweizer-medtech-titel-auf-ein-elf-monate-hoch-946815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Hldg N: página de la acción y foro (sin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https://www.cash.ch/aktien/straumann-hldg-n-117544866/swx/chf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A 'Hold' Despite Nice Growth Numbers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https://seekingalpha.com/article/4789933-straumann-a-hold-despite-nice-growth-numbers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Aktie: Top-Pick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Kapitalmarktexperten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https://www.kapitalmarktexperten.de/straumann-aktie-top-pick-2026/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future performance will depend on U.S. operational recovery and margin stability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https://www.simplywall.st/narratives/zvhaoc2x-stmn-future-performance-will-depend-on-u-s-operational-recovery-and-margin-stability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80,3 %</w:t>
      </w:r>
      <w:r>
        <w:t xml:space="preserve"> · Secciones con menos del 60 % de campos cubiertos: </w:t>
      </w:r>
      <w:r>
        <w:rPr>
          <w:b/>
          <w:bCs/>
        </w:rPr>
        <w:t xml:space="preserve">gobierno, bolsa, transacciones</w:t>
      </w:r>
      <w:r>
        <w:t xml:space="preserve"> · Generado el 14 oct 2026.</w:t>
      </w:r>
    </w:p>
    <w:p>
      <w:pPr>
        <w:pStyle w:val="Nota"/>
        <w:spacing w:after="100"/>
      </w:pPr>
      <w:r>
        <w:t xml:space="preserve">Análisis hecho desde la nube con la red limitada a la búsqueda web: la web de la empresa, Yahoo y los proveedores de datos no se pudieron abrir, así que las cifras salen de los extractos de búsqueda de las notas de prensa y presentaciones de Straumann, de Stock Analysis, Stockopedia y Fintel y de la prensa financiera suiza (AWP), cruzadas cuando fue posible. La confianza es menor que en un análisis normal: el balance solo tiene activo total, patrimonio, caja e intangibles, y la deuda solo el total de 2025 (509 M con arrendamientos). </w:t>
      </w:r>
      <w:r>
        <w:rPr>
          <w:b/>
        </w:rPr>
        <w:t xml:space="preserve">Precio</w:t>
      </w:r>
      <w:r>
        <w:t xml:space="preserve">: no se encontró un cierre fechado del 13-oct-2026; se usa 92,00 CHF, la cotización citada el 3-oct-2026 [37] (las páginas sin fecha daban 88,7-98,0 CHF) [44]. </w:t>
      </w:r>
      <w:r>
        <w:rPr>
          <w:b/>
        </w:rPr>
        <w:t xml:space="preserve">Cuenta en base core</w:t>
      </w:r>
      <w:r>
        <w:t xml:space="preserve"> (la de la empresa: sin amortización de intangibles de compras, deterioros ni reestructuración), que es la que sigue el mercado y la del objetivo a 12 meses; el beneficio IFRS de 2025 fue ≈356 M frente a 478 M core [1, 2, 5]. 2021-2022 incluyen DrSmile; 2023 en adelante, sin ella. Acción desdoblada 1:10 en 2022: precios y BPA anteriores divididos por diez [11]. El circulante no se pudo reconstruir: la inversión en circulante se suma al capex del DCF (≈1,2 puntos de las ventas).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Straumann Holding AG (STMN)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92,00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Hoja1!$B$2:$B$7</c:f>
              <c:numCache>
                <c:formatCode>#,##0</c:formatCode>
                <c:ptCount val="6"/>
                <c:pt idx="0">
                  <c:v>81.11</c:v>
                </c:pt>
                <c:pt idx="1">
                  <c:v>56.74</c:v>
                </c:pt>
                <c:pt idx="2">
                  <c:v>66.4</c:v>
                </c:pt>
                <c:pt idx="3">
                  <c:v>53.18</c:v>
                </c:pt>
                <c:pt idx="4">
                  <c:v>88.13</c:v>
                </c:pt>
                <c:pt idx="5">
                  <c:v>91.54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Hoja1!$C$2:$C$7</c:f>
              <c:numCache>
                <c:formatCode>#,##0</c:formatCode>
                <c:ptCount val="6"/>
                <c:pt idx="0">
                  <c:v>71.72000000000001</c:v>
                </c:pt>
                <c:pt idx="1">
                  <c:v>32.85</c:v>
                </c:pt>
                <c:pt idx="2">
                  <c:v>20.64999999999999</c:v>
                </c:pt>
                <c:pt idx="3">
                  <c:v>35.779999999999994</c:v>
                </c:pt>
                <c:pt idx="4">
                  <c:v>20.85000000000001</c:v>
                </c:pt>
                <c:pt idx="5">
                  <c:v>0.9199999999999875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Grupo (un solo segmento operativo publicado por regiones)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2022</c:v>
                </c:pt>
                <c:pt idx="1">
                  <c:v>2321</c:v>
                </c:pt>
                <c:pt idx="2">
                  <c:v>2277</c:v>
                </c:pt>
                <c:pt idx="3">
                  <c:v>2504</c:v>
                </c:pt>
                <c:pt idx="4">
                  <c:v>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(un solo segmento operativo publicado por regiones)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2034e</c:v>
                </c:pt>
              </c:strCache>
            </c:strRef>
          </c:cat>
          <c:val>
            <c:numRef>
              <c:f>Hoja1!$B$2:$B$3</c:f>
              <c:numCache>
                <c:formatCode>#,##0</c:formatCode>
                <c:ptCount val="2"/>
                <c:pt idx="0">
                  <c:v>5200</c:v>
                </c:pt>
                <c:pt idx="1">
                  <c:v>9600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Straumann</c:v>
                </c:pt>
                <c:pt idx="1">
                  <c:v>Envista (Nobel Biocare, Implant Direct)</c:v>
                </c:pt>
                <c:pt idx="2">
                  <c:v>Dentsply Sirona (MIS, Astra Tech)</c:v>
                </c:pt>
                <c:pt idx="3">
                  <c:v>Osstem Implant</c:v>
                </c:pt>
                <c:pt idx="4">
                  <c:v>Align Technology</c:v>
                </c:pt>
              </c:strCache>
            </c:strRef>
          </c:cat>
          <c:val>
            <c:numRef>
              <c:f>Hoja1!$B$2:$B$6</c:f>
              <c:numCache>
                <c:formatCode>0.0"%"</c:formatCode>
                <c:ptCount val="5"/>
                <c:pt idx="0">
                  <c:v>25.2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2022</c:v>
                </c:pt>
                <c:pt idx="1">
                  <c:v>2321</c:v>
                </c:pt>
                <c:pt idx="2">
                  <c:v>2277</c:v>
                </c:pt>
                <c:pt idx="3">
                  <c:v>2504</c:v>
                </c:pt>
                <c:pt idx="4">
                  <c:v>2605</c:v>
                </c:pt>
                <c:pt idx="5">
                  <c:v>2683</c:v>
                </c:pt>
                <c:pt idx="6">
                  <c:v>2871</c:v>
                </c:pt>
                <c:pt idx="7">
                  <c:v>3072</c:v>
                </c:pt>
                <c:pt idx="8">
                  <c:v>3272</c:v>
                </c:pt>
                <c:pt idx="9">
                  <c:v>3468</c:v>
                </c:pt>
                <c:pt idx="10">
                  <c:v>3659</c:v>
                </c:pt>
                <c:pt idx="11">
                  <c:v>3842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3">
                  <c:v>796</c:v>
                </c:pt>
                <c:pt idx="4">
                  <c:v>797</c:v>
                </c:pt>
                <c:pt idx="5">
                  <c:v>826</c:v>
                </c:pt>
                <c:pt idx="6">
                  <c:v>907</c:v>
                </c:pt>
                <c:pt idx="7">
                  <c:v>989</c:v>
                </c:pt>
                <c:pt idx="8">
                  <c:v>1067</c:v>
                </c:pt>
                <c:pt idx="9">
                  <c:v>1137</c:v>
                </c:pt>
                <c:pt idx="10">
                  <c:v>1207</c:v>
                </c:pt>
                <c:pt idx="11">
                  <c:v>1268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31.8</c:v>
                </c:pt>
                <c:pt idx="4">
                  <c:v>30.6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27.4</c:v>
                </c:pt>
                <c:pt idx="1">
                  <c:v>26</c:v>
                </c:pt>
                <c:pt idx="3">
                  <c:v>26</c:v>
                </c:pt>
                <c:pt idx="4">
                  <c:v>25.2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22.6</c:v>
                </c:pt>
                <c:pt idx="1">
                  <c:v>20.8</c:v>
                </c:pt>
                <c:pt idx="2">
                  <c:v>19.3</c:v>
                </c:pt>
                <c:pt idx="3">
                  <c:v>20</c:v>
                </c:pt>
                <c:pt idx="4">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455.19999999999993</c:v>
                </c:pt>
                <c:pt idx="1">
                  <c:v>253.6</c:v>
                </c:pt>
                <c:pt idx="2">
                  <c:v>352.3</c:v>
                </c:pt>
                <c:pt idx="3">
                  <c:v>315.59999999999997</c:v>
                </c:pt>
                <c:pt idx="4">
                  <c:v>280.6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456</c:v>
                </c:pt>
                <c:pt idx="1">
                  <c:v>482</c:v>
                </c:pt>
                <c:pt idx="2">
                  <c:v>440</c:v>
                </c:pt>
                <c:pt idx="3">
                  <c:v>502</c:v>
                </c:pt>
                <c:pt idx="4">
                  <c:v>478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67</c:v>
                </c:pt>
                <c:pt idx="1">
                  <c:v>50.9</c:v>
                </c:pt>
                <c:pt idx="3">
                  <c:v>31.5</c:v>
                </c:pt>
                <c:pt idx="4">
                  <c:v>25.6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30.4</c:v>
                </c:pt>
                <c:pt idx="1">
                  <c:v>28.7</c:v>
                </c:pt>
                <c:pt idx="2">
                  <c:v>23.8</c:v>
                </c:pt>
                <c:pt idx="3">
                  <c:v>25.9</c:v>
                </c:pt>
                <c:pt idx="4">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3">
                  <c:v>-0.47</c:v>
                </c:pt>
                <c:pt idx="4">
                  <c:v>0.01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92</c:v>
                </c:pt>
                <c:pt idx="1">
                  <c:v>108</c:v>
                </c:pt>
                <c:pt idx="2">
                  <c:v>128</c:v>
                </c:pt>
                <c:pt idx="3">
                  <c:v>136</c:v>
                </c:pt>
                <c:pt idx="4">
                  <c:v>151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Thomas Straumann</c:v>
                </c:pt>
                <c:pt idx="1">
                  <c:v>Rudolf Maag</c:v>
                </c:pt>
                <c:pt idx="2">
                  <c:v>UBS Fund Management (Switzerland)</c:v>
                </c:pt>
                <c:pt idx="3">
                  <c:v>BlackRock</c:v>
                </c:pt>
                <c:pt idx="4">
                  <c:v>Gabriella Straumann</c:v>
                </c:pt>
              </c:strCache>
            </c:strRef>
          </c:cat>
          <c:val>
            <c:numRef>
              <c:f>Hoja1!$B$2:$B$6</c:f>
              <c:numCache>
                <c:formatCode>0.0"%"</c:formatCode>
                <c:ptCount val="5"/>
                <c:pt idx="0">
                  <c:v>15.5</c:v>
                </c:pt>
                <c:pt idx="1">
                  <c:v>10.2</c:v>
                </c:pt>
                <c:pt idx="2">
                  <c:v>5.1</c:v>
                </c:pt>
                <c:pt idx="3">
                  <c:v>4.7</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Straumann</c:v>
                </c:pt>
                <c:pt idx="1">
                  <c:v>Sonova</c:v>
                </c:pt>
                <c:pt idx="2">
                  <c:v>Demant</c:v>
                </c:pt>
                <c:pt idx="3">
                  <c:v>Coloplast</c:v>
                </c:pt>
                <c:pt idx="4">
                  <c:v>Cochlear</c:v>
                </c:pt>
                <c:pt idx="5">
                  <c:v>Smith &amp; Nephew</c:v>
                </c:pt>
                <c:pt idx="6">
                  <c:v>Align Technology</c:v>
                </c:pt>
                <c:pt idx="7">
                  <c:v>Edwards Lifesciences</c:v>
                </c:pt>
                <c:pt idx="8">
                  <c:v>Alcon</c:v>
                </c:pt>
              </c:strCache>
            </c:strRef>
          </c:cat>
          <c:val>
            <c:numRef>
              <c:f>Hoja1!$B$2:$B$10</c:f>
              <c:numCache>
                <c:formatCode>0.0"x"</c:formatCode>
                <c:ptCount val="9"/>
                <c:pt idx="1">
                  <c:v>15.2</c:v>
                </c:pt>
                <c:pt idx="2">
                  <c:v>13.7</c:v>
                </c:pt>
                <c:pt idx="3">
                  <c:v>13.3</c:v>
                </c:pt>
                <c:pt idx="4">
                  <c:v>14.6</c:v>
                </c:pt>
                <c:pt idx="5">
                  <c:v>8.2</c:v>
                </c:pt>
                <c:pt idx="6">
                  <c:v>7.4</c:v>
                </c:pt>
                <c:pt idx="7">
                  <c:v>19.4</c:v>
                </c:pt>
                <c:pt idx="8">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Sonova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c:v>
                </c:pt>
              </c:numCache>
            </c:numRef>
          </c:xVal>
          <c:yVal>
            <c:numRef>
              <c:f>Hoja1!$C$2</c:f>
              <c:numCache>
                <c:formatCode>0.0"x"</c:formatCode>
                <c:ptCount val="1"/>
                <c:pt idx="0">
                  <c:v>15.2</c:v>
                </c:pt>
              </c:numCache>
            </c:numRef>
          </c:yVal>
          <c:smooth val="0"/>
        </c:ser>
        <c:ser>
          <c:idx val="1"/>
          <c:order val="1"/>
          <c:tx>
            <c:strRef>
              <c:f>Hoja1!$A$3</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10.2</c:v>
                </c:pt>
              </c:numCache>
            </c:numRef>
          </c:xVal>
          <c:yVal>
            <c:numRef>
              <c:f>Hoja1!$C$3</c:f>
              <c:numCache>
                <c:formatCode>0.0"x"</c:formatCode>
                <c:ptCount val="1"/>
                <c:pt idx="0">
                  <c:v>13.7</c:v>
                </c:pt>
              </c:numCache>
            </c:numRef>
          </c:yVal>
          <c:smooth val="0"/>
        </c:ser>
        <c:ser>
          <c:idx val="2"/>
          <c:order val="2"/>
          <c:tx>
            <c:strRef>
              <c:f>Hoja1!$A$4</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7.6</c:v>
                </c:pt>
              </c:numCache>
            </c:numRef>
          </c:xVal>
          <c:yVal>
            <c:numRef>
              <c:f>Hoja1!$C$4</c:f>
              <c:numCache>
                <c:formatCode>0.0"x"</c:formatCode>
                <c:ptCount val="1"/>
                <c:pt idx="0">
                  <c:v>13.3</c:v>
                </c:pt>
              </c:numCache>
            </c:numRef>
          </c:yVal>
          <c:smooth val="0"/>
        </c:ser>
        <c:ser>
          <c:idx val="3"/>
          <c:order val="3"/>
          <c:tx>
            <c:strRef>
              <c:f>Hoja1!$A$5</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c:v>
                </c:pt>
              </c:numCache>
            </c:numRef>
          </c:xVal>
          <c:yVal>
            <c:numRef>
              <c:f>Hoja1!$C$5</c:f>
              <c:numCache>
                <c:formatCode>0.0"x"</c:formatCode>
                <c:ptCount val="1"/>
                <c:pt idx="0">
                  <c:v>14.6</c:v>
                </c:pt>
              </c:numCache>
            </c:numRef>
          </c:yVal>
          <c:smooth val="0"/>
        </c:ser>
        <c:ser>
          <c:idx val="4"/>
          <c:order val="4"/>
          <c:tx>
            <c:strRef>
              <c:f>Hoja1!$A$6</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5.1</c:v>
                </c:pt>
              </c:numCache>
            </c:numRef>
          </c:xVal>
          <c:yVal>
            <c:numRef>
              <c:f>Hoja1!$C$6</c:f>
              <c:numCache>
                <c:formatCode>0.0"x"</c:formatCode>
                <c:ptCount val="1"/>
                <c:pt idx="0">
                  <c:v>8.2</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ser>
          <c:idx val="6"/>
          <c:order val="6"/>
          <c:tx>
            <c:strRef>
              <c:f>Hoja1!$A$8</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19.4</c:v>
                </c:pt>
              </c:numCache>
            </c:numRef>
          </c:yVal>
          <c:smooth val="0"/>
        </c:ser>
        <c:ser>
          <c:idx val="7"/>
          <c:order val="7"/>
          <c:tx>
            <c:strRef>
              <c:f>Hoja1!$A$9</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6.2</c:v>
                </c:pt>
              </c:numCache>
            </c:numRef>
          </c:xVal>
          <c:yVal>
            <c:numRef>
              <c:f>Hoja1!$C$9</c:f>
              <c:numCache>
                <c:formatCode>0.0"x"</c:formatCode>
                <c:ptCount val="1"/>
                <c:pt idx="0">
                  <c:v>10.6</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455</c:v>
                </c:pt>
                <c:pt idx="1">
                  <c:v>505</c:v>
                </c:pt>
                <c:pt idx="2">
                  <c:v>564</c:v>
                </c:pt>
                <c:pt idx="3">
                  <c:v>618</c:v>
                </c:pt>
                <c:pt idx="4">
                  <c:v>671</c:v>
                </c:pt>
                <c:pt idx="5">
                  <c:v>725</c:v>
                </c:pt>
                <c:pt idx="6">
                  <c:v>777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3132</c:v>
                </c:pt>
                <c:pt idx="1">
                  <c:v>2370</c:v>
                </c:pt>
                <c:pt idx="2">
                  <c:v>6613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92,00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53.18</c:v>
                </c:pt>
                <c:pt idx="1">
                  <c:v>75.15</c:v>
                </c:pt>
                <c:pt idx="2">
                  <c:v>88.96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92,00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Hoja1!$B$2:$B$7</c:f>
              <c:numCache>
                <c:formatCode>#,##0</c:formatCode>
                <c:ptCount val="6"/>
                <c:pt idx="0">
                  <c:v>81.11</c:v>
                </c:pt>
                <c:pt idx="1">
                  <c:v>56.74</c:v>
                </c:pt>
                <c:pt idx="2">
                  <c:v>66.4</c:v>
                </c:pt>
                <c:pt idx="3">
                  <c:v>53.18</c:v>
                </c:pt>
                <c:pt idx="4">
                  <c:v>88.13</c:v>
                </c:pt>
                <c:pt idx="5">
                  <c:v>91.54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Hoja1!$C$2:$C$7</c:f>
              <c:numCache>
                <c:formatCode>#,##0</c:formatCode>
                <c:ptCount val="6"/>
                <c:pt idx="0">
                  <c:v>71.72000000000001</c:v>
                </c:pt>
                <c:pt idx="1">
                  <c:v>32.85</c:v>
                </c:pt>
                <c:pt idx="2">
                  <c:v>20.64999999999999</c:v>
                </c:pt>
                <c:pt idx="3">
                  <c:v>35.779999999999994</c:v>
                </c:pt>
                <c:pt idx="4">
                  <c:v>20.85000000000001</c:v>
                </c:pt>
                <c:pt idx="5">
                  <c:v>0.9199999999999875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