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Texas Instruments Incorporated</w:t>
      </w:r>
    </w:p>
    <w:p>
      <w:pPr>
        <w:spacing w:after="60"/>
        <w:rPr>
          <w:color w:val="52514E"/>
          <w:sz w:val="22"/>
          <w:szCs w:val="22"/>
        </w:rPr>
      </w:pPr>
      <w:r>
        <w:rPr>
          <w:color w:val="52514E"/>
          <w:sz w:val="22"/>
          <w:szCs w:val="22"/>
        </w:rPr>
        <w:t xml:space="preserve">TXN · Nasdaq · ISIN US8825081040 · Tecnología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286,06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267,66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-4,5 % (base +3,3 %)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166,38 USD · mercado 206,30</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260.029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n.d.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Texas Instruments Incorporated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TXN / US8825081040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 / Semiconductores (analógico y embebido)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Dallas, Texas (EE. UU.) · 1930</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www.ti.com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286,06 (10 ago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152,73 – 333,92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909,0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260.029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267.029 M USD</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Baja · Objetivo a 12 meses </w:t>
      </w:r>
      <w:r>
        <w:rPr>
          <w:b/>
          <w:bCs/>
        </w:rPr>
        <w:t xml:space="preserve">267,66 USD</w:t>
      </w:r>
      <w:r>
        <w:t xml:space="preserve"> frente a 286,06 · Rentabilidad a 12 meses </w:t>
      </w:r>
      <w:r>
        <w:rPr>
          <w:b/>
          <w:bCs/>
        </w:rPr>
        <w:t xml:space="preserve">-4,5 % (base +3,3 %)</w:t>
      </w:r>
      <w:r>
        <w:t xml:space="preserve"> · Valor intrínseco 166,38 USD · con la prima implícita del mercado: 206,30 (-27,9 %) · Alcista / bajista -30,3 % / -58,8 %</w:t>
      </w:r>
    </w:p>
    <w:p>
      <w:pPr>
        <w:spacing w:after="100"/>
      </w:pPr>
      <w:r>
        <w:rPr>
          <w:b/>
        </w:rPr>
        <w:t xml:space="preserve">La recomendación y por qué.</w:t>
      </w:r>
      <w:r>
        <w:t xml:space="preserve"> Vender (o no comprar), con convicción baja. Con nuestro BPA de 2028e y el PER histórico limpio de TI, el objetivo a 12 meses es de 228,12 USD frente a 286,06 USD (último precio fechado, 10-ago-2026): −18,3 % ponderado con el dividendo y −15,2 % en el caso base. El valor intrínseco del DCF (167,92 USD, −41 %) también queda por debajo. El negocio es excelente (ROIC del 22 % frente a un WACC del 9,7 %, ≈12,6 puntos), pero la acción ya paga ≈30 veces nuestro BPA de 2027 frente a una mediana de 22x en los años normales: el precio descuenta un crecimiento del 13,5 % anual (DCF inverso). La convicción es baja porque el precio y buena parte de la historia contable no se pudieron verificar en fuentes primarias.</w:t>
      </w:r>
    </w:p>
    <w:p>
      <w:pPr>
        <w:spacing w:after="100"/>
      </w:pPr>
      <w:r>
        <w:rPr>
          <w:b/>
        </w:rPr>
        <w:t xml:space="preserve">El negocio.</w:t>
      </w:r>
      <w:r>
        <w:t xml:space="preserve"> Número uno en semiconductores analógicos, con fábricas propias de 300 mm recién terminadas. El ciclo ha girado: ventas del 2T26 +23 % (industrial +30 %, centros de datos ×2) y guía del 3T26 de 5.650-6.150 M [4]. El capex baja de ≈4.600 M (2025) a 2.000-3.000 M en 2026 y el FCF LTM ya es de 6.534 M (1.600 M de ayudas CHIPS) [2, 6].</w:t>
      </w:r>
    </w:p>
    <w:p>
      <w:pPr>
        <w:spacing w:after="100"/>
      </w:pPr>
      <w:r>
        <w:rPr>
          <w:b/>
        </w:rPr>
        <w:t xml:space="preserve">Sostenibilidad.</w:t>
      </w:r>
      <w:r>
        <w:t xml:space="preserve"> En parte: el +24,5 % de 2026 incluye precios y reposición de inventario de fase alta; el base crece +8 % y +5 % en 2027-28, por debajo del consenso, y el margen no supera el pico de 2022.</w:t>
      </w:r>
    </w:p>
    <w:p>
      <w:pPr>
        <w:spacing w:after="100"/>
      </w:pPr>
      <w:r>
        <w:rPr>
          <w:b/>
        </w:rPr>
        <w:t xml:space="preserve">Qué cambiaría la decisión.</w:t>
      </w:r>
      <w:r>
        <w:t xml:space="preserve"> Compraríamos por debajo de ≈166 USD, o si el 3T26 (hacia el 21-oct) y la guía del 4T muestran que el margen bruto vuelve al 63-65 % con volumen sostenido, lo que subiría nuestro BPA 2028e por encima de 12 USD. El consenso (objetivo medio 316 USD, 21 analistas) solo es contraste: su BPA de 2028 (10,11) es parecido al nuestro; la diferencia es el múltiplo (≈30x frente a 22,4x).</w:t>
      </w:r>
    </w:p>
    <w:p>
      <w:pPr>
        <w:spacing w:after="100"/>
      </w:pPr>
      <w:r>
        <w:rPr>
          <w:b/>
        </w:rPr>
        <w:t xml:space="preserve">Sentimiento.</w:t>
      </w:r>
      <w:r>
        <w:t xml:space="preserve"> Mixto y mejorando: entusiasmo por el ciclo y la IA, frenado por la valoración; sin hilos de foros localizados.</w:t>
      </w:r>
    </w:p>
    <w:p>
      <w:r>
        <w:br w:type="page"/>
      </w:r>
    </w:p>
    <w:p>
      <w:pPr>
        <w:pStyle w:val="Heading1"/>
      </w:pPr>
      <w:r>
        <w:t xml:space="preserve">Resumen ejecutivo</w:t>
      </w:r>
    </w:p>
    <w:p>
      <w:pPr>
        <w:pStyle w:val="Aviso"/>
        <w:spacing w:after="100"/>
      </w:pPr>
      <w:r>
        <w:t xml:space="preserve">Aviso: este informe no incluye «14. Gobierno corporativo», porque no se encontró información verificable tras tres búsquedas. Ver el anexo «Información no disponible».</w:t>
      </w:r>
    </w:p>
    <w:p>
      <w:pPr>
        <w:spacing w:after="100"/>
      </w:pPr>
      <w:r>
        <w:rPr>
          <w:b/>
          <w:bCs/>
        </w:rPr>
        <w:t xml:space="preserve">Recomendación: Vender</w:t>
      </w:r>
      <w:r>
        <w:t xml:space="preserve"> · Convicción: Baja · Horizonte: 12 meses · Objetivo a 12 meses: </w:t>
      </w:r>
      <w:r>
        <w:rPr>
          <w:b/>
          <w:bCs/>
        </w:rPr>
        <w:t xml:space="preserve">267,66 USD</w:t>
      </w:r>
      <w:r>
        <w:t xml:space="preserve"> (rentabilidad -4,5 % (base +3,3 %)) · Valor intrínseco: 166,38 USD (-41,8 % sobre 286,06) · con la prima implícita del mercado: 206,30 (-27,9 %)</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267,66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 × 8,86 = 176,31 · 27,4x × 10,58 = 289,89 · 27,4x × 11,48 = 314,55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 / 3,3 %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316,00 (nuestro base -8,3 %)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166,38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-30,3 % / -58,8 %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 frente a 9,7 % y 8,4 %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8,4 %)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206,30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13,5 % frente a 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(7,1 %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dos reglas dan Vender, rentabilidad del -39,9 % (-25,9 % con la prima del mercado) y el precio pide 8,4 puntos más de crecimiento que el caso base)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Alta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166,38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166,38 y 303,62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303,62 (ponderada a 12 meses ≤ -10 %)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286,0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40,5x / 30,0x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44,1x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13,49x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(2018-2025)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 de 13 (12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2. Modelo de negocio</w:t>
      </w:r>
    </w:p>
    <w:p>
      <w:pPr>
        <w:pStyle w:val="Confianza"/>
        <w:spacing w:after="100"/>
      </w:pPr>
      <w:r>
        <w:t xml:space="preserve">Confianza: Baja</w:t>
      </w:r>
    </w:p>
    <w:p>
      <w:pPr>
        <w:spacing w:after="100"/>
      </w:pPr>
      <w:r>
        <w:t xml:space="preserve">Mayor fabricante mundial de semiconductores analógicos (gestión de energía y señal) y uno de los grandes de procesadores embebidos; ≈80.000 productos y &gt;100.000 clientes, con fabricación propia en obleas de 300 mm (Richardson, Lehi, Sherman) [3].</w:t>
      </w:r>
    </w:p>
    <w:p>
      <w:pPr>
        <w:pStyle w:val="Heading2"/>
      </w:pPr>
      <w:r>
        <w:t xml:space="preserve">Cómo gana dinero</w:t>
      </w:r>
    </w:p>
    <w:p>
      <w:pPr>
        <w:spacing w:after="100"/>
      </w:pPr>
      <w:r>
        <w:t xml:space="preserve">Vende chips de catálogo de bajo precio unitario y vida larga a clientes industriales (≈35-40 % de ventas), automoción (≈30 %), electrónica personal, equipos de comunicaciones y centros de datos. El margen bruto depende de la carga de las fábricas: con capacidad nueva infrautilizada cayó al 57-58 % en 2024-25 y vuelve al 61 % en el 2T26 [2,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Analógico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Procesado embebido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Analógico</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Procesado embebido</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r>
    </w:tbl>
    <w:p>
      <w:pPr>
        <w:spacing w:after="160" w:before="0"/>
      </w:pPr>
    </w:p>
    <w:p>
      <w:pPr>
        <w:pStyle w:val="Heading2"/>
      </w:pPr>
      <w:r>
        <w:t xml:space="preserve">Clientes, recurrencia y poder de precios</w:t>
      </w:r>
    </w:p>
    <w:p>
      <w:pPr>
        <w:spacing w:after="100"/>
      </w:pPr>
      <w:r>
        <w:t xml:space="preserve">Muy diversificados; ≈80 % de las ventas por canal directo (ti.com) [3].</w:t>
      </w:r>
    </w:p>
    <w:p>
      <w:pPr>
        <w:pStyle w:val="Heading1"/>
      </w:pPr>
      <w:r>
        <w:t xml:space="preserve">3. Sector y mercado</w:t>
      </w:r>
    </w:p>
    <w:p>
      <w:pPr>
        <w:pStyle w:val="Confianza"/>
        <w:spacing w:after="100"/>
      </w:pPr>
      <w:r>
        <w:t xml:space="preserve">Confianza: Baja</w:t>
      </w:r>
    </w:p>
    <w:p>
      <w:pPr>
        <w:spacing w:after="100"/>
      </w:pPr>
      <w:r>
        <w:t xml:space="preserve">Semiconductores analógicos y procesadores embebidos.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r>
    </w:tbl>
    <w:p>
      <w:pPr>
        <w:spacing w:after="160" w:before="0"/>
      </w:pPr>
    </w:p>
    <w:p>
      <w:pPr>
        <w:pStyle w:val="Heading2"/>
      </w:pPr>
      <w:r>
        <w:t xml:space="preserve">Tendencias y disrupción</w:t>
      </w:r>
    </w:p>
    <w:p>
      <w:pPr>
        <w:spacing w:after="100"/>
      </w:pPr>
      <w:r>
        <w:t xml:space="preserve">Electrificación del automóvil, automatización industrial y alimentación de centros de datos de IA; competencia china en analógico de gama baja.</w:t>
      </w:r>
    </w:p>
    <w:p>
      <w:pPr>
        <w:pStyle w:val="Heading1"/>
      </w:pPr>
      <w:r>
        <w:t xml:space="preserve">4. Posición competitiva y foso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Número uno en analógico (≈19 % de cuota, de memoria); rivales: Analog Devices, Infineon, STMicro, NXP, ON, Microchip, Renesas.</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2" name="Gráfico 2"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pStyle w:val="Heading2"/>
      </w:pPr>
      <w:r>
        <w:t xml:space="preserve">Amenazas</w:t>
      </w:r>
    </w:p>
    <w:p>
      <w:pPr>
        <w:spacing w:after="100"/>
      </w:pPr>
      <w:r>
        <w:t xml:space="preserve">Fabricantes chinos en analógico básico; aranceles y represalias de China (≈20 % de ventas).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7"/>
        <w:gridCol w:w="973"/>
        <w:gridCol w:w="778"/>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r>
    </w:tbl>
    <w:p>
      <w:pPr>
        <w:spacing w:after="160" w:before="0"/>
      </w:pPr>
    </w:p>
    <w:p>
      <w:pPr>
        <w:spacing w:after="100"/>
      </w:pPr>
      <w:r>
        <w:t xml:space="preserve">Crecimiento anual compuesto 2018-2025: ingresos </w:t>
      </w:r>
      <w:r>
        <w:rPr>
          <w:b/>
          <w:bCs/>
        </w:rPr>
        <w:t xml:space="preserve">1,6 %</w:t>
      </w:r>
      <w:r>
        <w:t xml:space="preserve">, EBITDA </w:t>
      </w:r>
      <w:r>
        <w:rPr>
          <w:b/>
          <w:bCs/>
        </w:rPr>
        <w:t xml:space="preserve">n.d.</w:t>
      </w:r>
      <w:r>
        <w:t xml:space="preserve">, BPA </w:t>
      </w:r>
      <w:r>
        <w:rPr>
          <w:b/>
          <w:bCs/>
        </w:rPr>
        <w:t xml:space="preserve">-0,4 %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3" name="Gráfico 3"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4" name="Gráfico 4"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spacing w:after="100"/>
      </w:pPr>
      <w:r>
        <w:t xml:space="preserve">TI publica en US GAAP sin BPA ajustado: el BPA diluido es la base de todo el análisis (y del PER histórico).</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8"/>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Lo que dijo la dirección en las últimas presentaciones</w:t>
      </w:r>
    </w:p>
    <w:p>
      <w:pPr>
        <w:spacing w:after="100"/>
      </w:pPr>
      <w:r>
        <w:t xml:space="preserve">2026-07-22</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69"/>
        <w:gridCol w:w="1064"/>
        <w:gridCol w:w="1171"/>
        <w:gridCol w:w="958"/>
        <w:gridCol w:w="851"/>
        <w:gridCol w:w="958"/>
        <w:gridCol w:w="851"/>
        <w:gridCol w:w="958"/>
        <w:gridCol w:w="958"/>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35.509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16.903</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16.300</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17.000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Días de inventario y de pago calculados sobre el coste de ventas.</w:t>
      </w:r>
    </w:p>
    <w:p>
      <w:pPr>
        <w:spacing w:after="100"/>
      </w:pPr>
      <w:r>
        <w:t xml:space="preserve">Balance sólido: la deuda se emitió para pagar el ciclo de capex de 300 mm sin recortar el dividendo.</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79"/>
        <w:gridCol w:w="1107"/>
        <w:gridCol w:w="886"/>
        <w:gridCol w:w="886"/>
        <w:gridCol w:w="886"/>
        <w:gridCol w:w="997"/>
        <w:gridCol w:w="997"/>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LTM jun-26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spacing w:after="100"/>
      </w:pPr>
      <w:r>
        <w:t xml:space="preserve">Acumulado 2024-LTM jun-26: FCF </w:t>
      </w:r>
      <w:r>
        <w:rPr>
          <w:b/>
          <w:bCs/>
        </w:rPr>
        <w:t xml:space="preserve">4.098</w:t>
      </w:r>
      <w:r>
        <w:t xml:space="preserve">, conversión </w:t>
      </w:r>
      <w:r>
        <w:rPr>
          <w:b/>
          <w:bCs/>
        </w:rPr>
        <w:t xml:space="preserve">42 %</w:t>
      </w:r>
      <w:r>
        <w:t xml:space="preserve"> del beneficio neto; adquisiciones 0, dividendos 9.750, recompras 0.</w:t>
      </w:r>
    </w:p>
    <w:p>
      <w:pPr>
        <w:spacing w:after="100"/>
      </w:pPr>
      <w:r>
        <w:t xml:space="preserve">El ciclo de capex (≈5.000 M/año en 2022-24) termina: el capex baja a 2.000-3.000 M en 2026 y el FCF se triplica.</w:t>
      </w:r>
    </w:p>
    <w:p>
      <w:pPr>
        <w:pStyle w:val="Heading1"/>
      </w:pPr>
      <w:r>
        <w:t xml:space="preserve">9. Calidad contable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0,28x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1"/>
      </w:pPr>
      <w:r>
        <w:t xml:space="preserve">10. Rentabilidad sobre el capital</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21.903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23.602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9,7 %.</w:t>
      </w:r>
    </w:p>
    <w:p>
      <w:pPr>
        <w:spacing w:after="100"/>
      </w:pPr>
      <w:r>
        <w:t xml:space="preserve">ROIC aproximado: beneficio de explotación tras impuestos de 2025 (≈6.000 M × 0,86 ≈ 5.200 M) sobre ≈24.000 M de capital invertido (17.000 M de patrimonio + 7.000 M de deuda neta) ≈ 21-22 %; en 2026e, con un EBIT de ≈8.800 M, ≈31 %. Frente a un WACC de ≈9,9 %, la diferencia es de ≈12 puntos en 2025 y ≈20 en 2026e, aun con las fábricas a medio llenar. En 2021-22, con fábricas llenas, el ROIC superaba el 40 % (de memoria).</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7.000 M</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e inversiones a corto de 7.000 M frente a vencimientos escalonados; deuda neta ≈7.000 M, ≈0,6x el EBITDA de 2026e [6].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 Aa3 (de memoria, no verificado)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pStyle w:val="Heading1"/>
      </w:pPr>
      <w:r>
        <w:t xml:space="preserve">12. Asignación de capital</w:t>
      </w:r>
    </w:p>
    <w:p>
      <w:pPr>
        <w:pStyle w:val="Confianza"/>
        <w:spacing w:after="100"/>
      </w:pPr>
      <w:r>
        <w:t xml:space="preserve">Confianza: Baja</w:t>
      </w:r>
    </w:p>
    <w:p>
      <w:pPr>
        <w:spacing w:after="100"/>
      </w:pPr>
      <w:r>
        <w:t xml:space="preserve">Devuelve todo el FCF con el tiempo: dividendo creciente 22 años seguidos (1,42 USD por trimestre desde oct-2025, de memoria) y recompras paradas durante el capex; deberían volver en 2027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10"/>
        <w:gridCol w:w="1126"/>
        <w:gridCol w:w="1251"/>
        <w:gridCol w:w="125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LTM jun-26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pStyle w:val="Heading2"/>
      </w:pPr>
      <w:r>
        <w:t xml:space="preserve">Historial de adquisiciones</w:t>
      </w:r>
    </w:p>
    <w:p>
      <w:pPr>
        <w:spacing w:after="160" w:before="0"/>
      </w:pP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Haviv Ilan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TI desde 1999; COO y luego CEO desde abril de 2023, presidente del consejo desde 2024 (de memoria).</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Julie Knecht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 financiera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Sustituye a Rafael Lizardi, que se jubila [8].</w:t>
            </w:r>
          </w:p>
        </w:tc>
      </w:tr>
    </w:tbl>
    <w:p>
      <w:pPr>
        <w:spacing w:after="160" w:before="0"/>
      </w:pPr>
    </w:p>
    <w:p>
      <w:pPr>
        <w:pStyle w:val="Heading2"/>
      </w:pPr>
      <w:r>
        <w:t xml:space="preserve">¿Cumple lo que promete?</w:t>
      </w:r>
    </w:p>
    <w:p>
      <w:pPr>
        <w:spacing w:after="160" w:before="0"/>
      </w:pP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3T26: ingresos 5.650-6.150 M y BPA 2,23-2,57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88"/>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Barchart [10]</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Barchart [10]</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fecha incierta [10]</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28"/>
        <w:gridCol w:w="1505"/>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22.012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11.226</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23.773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12.837</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24.961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13.978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 6 /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316,00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225,00 – 405,00</w:t>
            </w:r>
          </w:p>
        </w:tc>
      </w:tr>
    </w:tbl>
    <w:p>
      <w:pPr>
        <w:spacing w:after="160" w:before="0"/>
      </w:pPr>
    </w:p>
    <w:p>
      <w:pPr>
        <w:pStyle w:val="Heading2"/>
      </w:pPr>
      <w:r>
        <w:t xml:space="preserve">Revisiones de estimaciones</w:t>
      </w:r>
    </w:p>
    <w:p>
      <w:pPr>
        <w:spacing w:after="100"/>
      </w:pPr>
      <w:r>
        <w:t xml:space="preserve">Al alza desde mayo: BofA 320→370, Seaport a comprar con 400, Rosenblatt 240→330 [12].</w:t>
      </w:r>
    </w:p>
    <w:p>
      <w:pPr>
        <w:pStyle w:val="Heading1"/>
      </w:pPr>
      <w:r>
        <w:t xml:space="preserve">16. Comportamiento en bolsa</w:t>
      </w:r>
    </w:p>
    <w:p>
      <w:pPr>
        <w:pStyle w:val="Confianza"/>
        <w:spacing w:after="100"/>
      </w:pPr>
      <w:r>
        <w:t xml:space="preserve">Confianza: Baja</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Rango de 52 semanas 152,73-333,92 USD [9].</w:t>
      </w:r>
    </w:p>
    <w:p>
      <w:pPr>
        <w:pStyle w:val="Heading1"/>
      </w:pPr>
      <w:r>
        <w:t xml:space="preserve">17. Múltiplos frente a su historia</w:t>
      </w:r>
    </w:p>
    <w:p>
      <w:pPr>
        <w:pStyle w:val="Confianza"/>
        <w:spacing w:after="100"/>
      </w:pPr>
      <w:r>
        <w:t xml:space="preserve">Confianza: Baja</w:t>
      </w:r>
    </w:p>
    <w:p>
      <w:pPr>
        <w:spacing w:after="160" w:before="0"/>
      </w:pPr>
    </w:p>
    <w:p>
      <w:pPr>
        <w:spacing w:after="100"/>
      </w:pPr>
      <w:r>
        <w:t xml:space="preserve">PER al cierre de cada año sobre el BPA diluido del año (TickerLeague) [1]. 2024-2025 se excluyen: BPA de fondo de ciclo deprimido por la amortización de las fábricas nuevas aún vacías.</w:t>
      </w:r>
    </w:p>
    <w:p>
      <w:pPr>
        <w:pStyle w:val="Heading1"/>
      </w:pPr>
      <w:r>
        <w:t xml:space="preserve">18. Comparables cotizados</w:t>
      </w:r>
    </w:p>
    <w:p>
      <w:pPr>
        <w:pStyle w:val="Confianza"/>
        <w:spacing w:after="100"/>
      </w:pPr>
      <w:r>
        <w:t xml:space="preserve">Confianza: Baja</w:t>
      </w:r>
    </w:p>
    <w:p>
      <w:pPr>
        <w:spacing w:after="100"/>
      </w:pPr>
      <w:r>
        <w:t xml:space="preserve">Analógico y embebido de gran capitalización.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46"/>
        <w:gridCol w:w="504"/>
        <w:gridCol w:w="908"/>
        <w:gridCol w:w="706"/>
        <w:gridCol w:w="706"/>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Texas Instruments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260.029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30,0x</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Analog Devices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206.135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32,9x</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82"/>
        <w:gridCol w:w="1056"/>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32,9x</w:t>
            </w:r>
          </w:p>
        </w:tc>
      </w:tr>
    </w:tbl>
    <w:p>
      <w:pPr>
        <w:spacing w:after="160" w:before="0"/>
      </w:pPr>
    </w:p>
    <w:p>
      <w:pPr>
        <w:spacing w:after="100"/>
      </w:pPr>
      <w:r>
        <w:t xml:space="preserve">Solo ADI con PER adelantado verificado (32,9x, Yahoo, junio de 2026) [13]. NXP, Infineon, Microchip, ON y STMicro sin PER adelantado en la búsqueda: mediana usada 25x (estimación del analista, ver huecos).</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8,44 %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34.448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6.222</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09" name="Gráfico 9"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214.876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341.031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67.848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91.789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159.637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152.637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167,92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0" name="Gráfico 10"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212,49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228,49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192,97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205,66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186,87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171,14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157,78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186,56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179,04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190,87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183,06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187,09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199,49</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7.873 M (7 %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2035e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21,5 %</w:t>
            </w:r>
          </w:p>
        </w:tc>
      </w:tr>
    </w:tbl>
    <w:p>
      <w:pPr>
        <w:spacing w:after="160" w:before="0"/>
      </w:pPr>
    </w:p>
    <w:p>
      <w:pPr>
        <w:spacing w:after="100"/>
      </w:pPr>
      <w:r>
        <w:t xml:space="preserve">La proyección apenas necesita inversión neta de la amortización (reinversión acumulada de 7.873 M, el 7 % del NOPAT, con un capex bruto medio del 7,9 % de las ventas). En un negocio de activos ligeros, el crecimiento medio del 7,0 % tiene que salir de subir precios y de ganar volumen sin capital nuevo, y la prueba es el poder de precios y la cuota (21,5 % del mercado en 2035e);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Rebote del ciclo (industrial +30 %, centros de datos ×2) y subidas de precio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Menos que el consenso (+16 % de BPA): parte de 2026 es reposición de inventario.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p>
      <w:pPr>
        <w:spacing w:after="100"/>
      </w:pPr>
      <w:r>
        <w:t xml:space="preserve">Las ventas de 2035e (≈34.500 M) serían ≈21-22 % de un mercado analógico y embebido de ≈160.000 M (≈110.000 M en 2025 creciendo al 6 %), cerca de la cuota actual de TI en analógico (≈19 %): financiable. Pero el +24,5 % de 2026 incluye subidas de precio y reposición de inventario en fase alta del ciclo, que no se repiten: por eso el base ya va por debajo del consenso en 2027 (+8 % de ventas frente a ≈+16 % de BPA del consenso) y el margen no pasa del pico de 2022.</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13,5 % (base: 5,1 %)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n.d.ningún margen hasta el 85 % justifica el precio (base: 55,0 %)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 (WACC: 9,7 %)</w:t>
            </w:r>
          </w:p>
        </w:tc>
      </w:tr>
    </w:tbl>
    <w:p>
      <w:pPr>
        <w:spacing w:after="160" w:before="0"/>
      </w:pP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rebote de 2026 era reposición de inventario: las ventas se estancan en 2027-28, las fábricas vuelven a infrautilizarse y el margen EBITDA se queda en el 51 %. BPA 2028e ≈8,9 USD.</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167,92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 normal: +8 % y +5 % en 2027-28 y margen EBITDA del 56 % con las fábricas de 300 mm cargadas. BPA 2028e ≈10,6 USD.</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199,49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Superciclo con IA (alimentación de centros de datos) y precios firmes: +10 % y +7 % y margen del 58 %. BPA 2028e ≈11,5 USD.</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1" name="Gráfico 11" descr="Valor por acción por escenario (USD) · precio actual 286,0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rPr>
          <w:b/>
          <w:bCs/>
        </w:rPr>
        <w:t xml:space="preserve">Valor ponderado por probabilidad:</w:t>
      </w:r>
      <w:r>
        <w:t xml:space="preserve"> 163,29 USD (-42,9 %).</w:t>
      </w:r>
    </w:p>
    <w:p>
      <w:pPr>
        <w:spacing w:after="100"/>
      </w:pPr>
      <w:r>
        <w:t xml:space="preserve">Probabilidades 25/50/25: el ciclo está en fase alta, con riesgo simétrico.</w:t>
      </w:r>
    </w:p>
    <w:p>
      <w:pPr>
        <w:pStyle w:val="Heading1"/>
      </w:pPr>
      <w:r>
        <w:t xml:space="preserve">22. Suma de partes</w:t>
      </w:r>
    </w:p>
    <w:p>
      <w:pPr>
        <w:pStyle w:val="Confianza"/>
        <w:spacing w:after="100"/>
      </w:pPr>
      <w:r>
        <w:t xml:space="preserve">Confianza: Baja</w:t>
      </w:r>
    </w:p>
    <w:p>
      <w:pPr>
        <w:spacing w:after="100"/>
      </w:pPr>
      <w:r>
        <w:t xml:space="preserve">Negocio único (analógico + embebido con las mismas fábricas).</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12" name="Gráfico 12" descr="Valor por acción según cada método (USD) · precio actual 286,0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286,06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333,92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167,92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192,97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163,29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199,49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208,37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230,56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286,06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287,49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166,38 USD (-41,8 % sobre 286,06).</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176,31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(30.1x) ÷ 1.1 (tope: la mediana de 5 años, 23.4x,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289,89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314,55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w:t>
            </w:r>
          </w:p>
        </w:tc>
      </w:tr>
    </w:tbl>
    <w:p>
      <w:pPr>
        <w:spacing w:after="160" w:before="0"/>
      </w:pPr>
    </w:p>
    <w:p>
      <w:pPr>
        <w:spacing w:after="100"/>
      </w:pPr>
      <w:r>
        <w:rPr>
          <w:b/>
          <w:bCs/>
        </w:rPr>
        <w:t xml:space="preserve">Objetivo a 12 meses (ponderado):</w:t>
      </w:r>
      <w:r>
        <w:t xml:space="preserve"> 267,66 USD · rentabilidad -4,5 % (base +3,3 %) · señal Mantener.</w:t>
      </w:r>
    </w:p>
    <w:p>
      <w:pPr>
        <w:spacing w:after="100"/>
      </w:pPr>
      <w:r>
        <w:t xml:space="preserve">Para comparar, con la regla v2 (historia al cierre, mismo precio): 17,1x / 22,4x / 25,0x, -18,3 % Vender; con el tope anterior del base (×1,3, 14-oct mediodía): -7,0 % Mantener. Decide la regla vigente (v3 con tope ×1,1; METODO-VIGENTE.md).</w:t>
      </w:r>
    </w:p>
    <w:p>
      <w:pPr>
        <w:keepNext/>
        <w:spacing w:after="100"/>
      </w:pPr>
      <w:r>
        <w:rPr>
          <w:b/>
          <w:bCs/>
        </w:rPr>
        <w:t xml:space="preserve">Frente al consenso (solo contraste).</w:t>
      </w:r>
    </w:p>
    <w:p>
      <w:pPr>
        <w:spacing w:after="100"/>
      </w:pPr>
      <w:r>
        <w:t xml:space="preserve">Nuestro BPA 2028e base (10,58) es un 5 % mayor que el de MarketScreener (10,11): no nos separamos en beneficio. La distancia al objetivo medio (316 USD) sale del múltiplo: los analistas aplican ≈30x, el PER de hoy, y la regla toma la mediana histórica sin los años de fondo de ciclo (22,4x).</w:t>
      </w:r>
    </w:p>
    <w:p>
      <w:pPr>
        <w:keepNext/>
        <w:spacing w:after="100"/>
      </w:pPr>
      <w:r>
        <w:rPr>
          <w:b/>
          <w:bCs/>
        </w:rPr>
        <w:t xml:space="preserve">Del valor intrínseco al objetivo a 12 meses.</w:t>
      </w:r>
    </w:p>
    <w:p>
      <w:pPr>
        <w:spacing w:after="100"/>
      </w:pPr>
      <w:r>
        <w:t xml:space="preserve">El objetivo sale del PER histórico limpio: TI cotiza hoy a ≈30x nuestro BPA de 2027, por encima de su mediana de 22x de los años normales, porque el mercado paga ya la recuperación y el fin del capex.</w:t>
      </w:r>
    </w:p>
    <w:p>
      <w:r>
        <w:br w:type="page"/>
      </w:r>
    </w:p>
    <w:p>
      <w:pPr>
        <w:pStyle w:val="Parte"/>
      </w:pPr>
      <w:r>
        <w:t xml:space="preserve">Parte V — Tesis, riesgos y seguimiento</w:t>
      </w:r>
    </w:p>
    <w:p>
      <w:pPr>
        <w:pStyle w:val="Heading1"/>
      </w:pPr>
      <w:r>
        <w:t xml:space="preserve">24. Catalizadores</w:t>
      </w:r>
    </w:p>
    <w:p>
      <w:pPr>
        <w:spacing w:after="160" w:before="0"/>
      </w:pPr>
    </w:p>
    <w:p>
      <w:pPr>
        <w:pStyle w:val="Heading1"/>
      </w:pPr>
      <w:r>
        <w:t xml:space="preserve">25. Riesgos y pre-mortem</w:t>
      </w:r>
    </w:p>
    <w:p>
      <w:pPr>
        <w:spacing w:after="160" w:before="0"/>
      </w:pPr>
    </w:p>
    <w:p>
      <w:pPr>
        <w:pStyle w:val="Heading1"/>
      </w:pPr>
      <w:r>
        <w:t xml:space="preserve">27. Preguntas abiertas para la dirección y la due diligence</w:t>
      </w:r>
    </w:p>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Mixto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 y análisis (Yahoo Finance, Nasdaq/Barchart)</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relato ha girado: los objetivos que bajaron en 2025 suben en 2026 por la recuperación del ciclo y la subida de precios; se defiende que el beneficio crece más deprisa que la cotización [15, 16].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Kavout / Weiss Ratings (notas de inversores)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Advierten de un PER pasado de 43-50x que ya descuenta mucha recuperación y de que el BPA por acción a tres años sigue por debajo del de 2022; Weiss da «mantener» (C) [17, 18].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Reddit, Stocktwits, Seeking Alpha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Neutral</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búsqueda no devolvió hilos de Reddit ni de Stocktwits; sin lectura directa de foros (ver huecos).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t>
            </w:r>
          </w:p>
        </w:tc>
      </w:tr>
    </w:tbl>
    <w:p>
      <w:pPr>
        <w:spacing w:after="160" w:before="0"/>
      </w:pPr>
    </w:p>
    <w:p>
      <w:pPr>
        <w:spacing w:after="100"/>
      </w:pPr>
      <w:r>
        <w:t xml:space="preserve">Sentimiento mixto que mejora: entusiasmo por la recuperación y los precios, frenado por la valoración; la entrada a los resultados del 3T26 es prudente (la acción cayó un 2 % tras el 2T26 pese a superar).</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13 de 20 controles correctos y 5 explicados. Fuentes: 19 (1 primarias); citas distintas en el texto: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57 %.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6.532 M de flujo libre medio en sus tres primeros años, frente a 2.049 M de media real en los tres últimos: justifica el salto (circulante, inversión, márgenes) o ajusta los supuestos. Explicación: El salto es real y conocido: el capex baja de 4.600-5.000 M (2023-25) a 2.000-3.000 M en 2026 al terminar las fábricas de 300 mm, y el FCF LTM a jun-26 ya es 6.534 M [6].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comparables. Explicación: Presupuesto de 18 min en la nube: solo ADI con PER adelantado verificado; la mediana de 25x es estimación del analista y solo afecta al alcista (hueco registrado).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-8,3 %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precio es del 2026-08-10, 47 sesiones antes del corte (2026-10-14): con un precio viejo no se cierra un Comprar. Último cierre: node herramientas/precios.mjs &lt;ticker&gt;; luego herramientas/apuntar-12m.mjs --precios.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«Mantener» y el análisis recomienda «Vender»: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«Alta» (las dos reglas dan Vender, rentabilidad del -39,9 % (-25,9 % con la prima del mercado) y el precio pide 8,4 puntos más de crecimiento que el caso base)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Sección de núcleo con datos: gobierno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Llega vacía: el informe la omite y avisa en el resumen. Tres búsquedas registradas en meta.huecos. Explicación: Proxy no consultado por presupuesto; hueco registrado. No cambia la señal, que sale de la valoración.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fuentes (1 primarias). Explicación: Análisis rápido desde la nube con ≈12 búsquedas; las fuentes son extractos de búsqueda.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Explicación: sec.gov e investor.ti.com no son accesibles en la nube (solo WebSearch).</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Secundaria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Historia e hitos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14. Gobierno corporativo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26. ESG y controversias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amortizaciones, EBITDA, impuestos y resultado financiero por año; EBIT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las cuentas del 10-K 2025: solo cifras de cabecera; 2) Macrotrends/TickerLeague: solo BPA y PER; 3) sin acceso a sec.gov en la nube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balance completo 2021-2025 (activo, existencias, patrimonio)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10-Q 2T26 citado sin líneas; 2) nota de la conferencia: solo caja y deuda; 3) sin acceso a sec.gov</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de mercado con dos fuentes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Secundario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Presupuesto de 18 min: no se buscó; 2) la búsqueda combinada no devolvió la cifra; 3) WebFetch y descargar.mjs no funcionan en la nube (fuentes primarias inaccesibles); cerrado por el presupuesto de 18 minutos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proxy 2026: consejo, remuneración, votos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Secundario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Presupuesto de 18 min: no se buscó; 2) la búsqueda combinada no devolvió la cifra; 3) WebFetch y descargar.mjs no funcionan en la nube (fuentes primarias inaccesibles); cerrado por el presupuesto de 18 minutos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cierre del 13-oct-2026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«TXN stock price October 2026»: solo agosto (265,60 el 20-ago; 286,06 el 10-ago); 2) «shares closed October 2026»: dato indirecto (+1 % desde el 22-jul a 6-oct); 3) noticias de objetivos de octubre: ninguna. Se usa 286,06 USD (10-ago), coherente con ≈280-285 a principios de octubre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adelantado de NXP, IFX, MCHP, ON, STM</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conjunta: solo PER pasado de 2025; presupuesto agotado; 2) la búsqueda combinada no devolvió la cifra; 3) WebFetch y descargar.mjs no funcionan en la nube (fuentes primarias inaccesibles); cerrado por el presupuesto de 18 minutos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del sector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Secundario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se buscó por presupuesto; 2) la búsqueda combinada no devolvió la cifra; 3) WebFetch y descargar.mjs no funcionan en la nube (fuentes primarias inaccesibles); cerrado por el presupuesto de 18 minutos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hilos de Reddit, Stocktwits y comentarios de Seeking Alpha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Secundario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combinada sin hilos; WebFetch no disponible en la nube; 2) la búsqueda combinada no devolvió la cifra; 3) WebFetch y descargar.mjs no funcionan en la nube (fuentes primarias inaccesibles); cerrado por el presupuesto de 18 minutos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Texas Instruments EPS y PER 2010-2025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Macrotrends / TickerLeague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https://tickerleague.com/companies/TXN/financials/pe-ratio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Texas Instruments (TXN) Q4 2025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https://www.fool.com/earnings/call-transcripts/2026/01/27/texas-instruments-txn-earnings-transcript/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 reports second quarter 2026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Texas Instruments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https://investor.ti.com/node/38476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Texas Instruments beats expectations by 0,23 EPS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https://www.marketbeat.com/instant-alerts/texas-instruments-nasdaqtxn-announces-quarterly-earnings-results-beats-expectations-by-023-eps-2026-07-22/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Texas Instruments price target raised (BofA,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https://finance.yahoo.com/markets/stocks/articles/bofa-raises-price-target-texas-060444146.html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Texas Instruments Q2 earnings call highlights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https://www.nasdaq.com/articles/texas-instruments-q2-earnings-call-highlights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TXN earnings 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Unusual Whales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https://unusualwhales.com/stock/TXN/earnings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Texas Instruments Q2 2026 earnings (cambio de CFO)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https://www.marketbeat.com/instant-alerts/texas-instruments-q2-earnings-call-highlights-2026-07-22/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TXN share price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Upstox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https://upstox.com/us-stocks/txn-share-price/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preview: what to expect from Texas Instruments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https://www.barchart.com/story/news/1005881/earnings-preview-what-to-expect-from-texas-instruments-report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Texas Instruments Q2 2026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https://www.marketbeat.com/earnings/reports/2026-7-22-texas-instruments-incorporated-stock/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Texas Instruments price target raised to 330 at Rosenblatt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Rosenblatt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https://www.rblt.com/news/texas-instruments-price-target-raised-to-330-from-240-at-rosenblatt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Analog Devices (ADI) quote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https://finance.yahoo.com/quote/ADI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TXN analyst ratings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Benzinga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https://benzinga.com/quote/txn/analyst-ratings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Think it’s too late to buy Texas Instruments?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https://finance.yahoo.com/markets/stocks/articles/think-too-buy-texas-instruments-110521794.html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Texas Instruments 2026 outlook has Wall Street re-rating it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Nasdaq/Barchart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https://www.nasdaq.com/articles/why-texas-instruments-2026-outlook-has-wall-street-re-rating-it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Texas Instruments tactical bounce ahead of earnings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Kavout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https://www.kavout.com/market-lens/texas-instruments-tactical-bounce-a-high-stakes-bet-on-analog-and-ai-ahead-of-earnings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TXN up 4,9 %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Weiss Ratings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https://weissratings.com/en/instant-news-alerts/texas-instruments-incorporated-txn-up-4-9-time-to-turn-interest-into-action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https://pages.stern.nyu.edu/~adamodar/New_Home_Page/datafile/implpr.html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52,7 %</w:t>
      </w:r>
      <w:r>
        <w:t xml:space="preserve"> · Secciones con menos del 60 % de campos cubiertos: </w:t>
      </w:r>
      <w:r>
        <w:rPr>
          <w:b/>
          <w:bCs/>
        </w:rPr>
        <w:t xml:space="preserve">resumen, historia, negocio, sector, competencia, calidad, gobierno, transacciones, dcf, riesgos, esg, bolsa, catalizadores, preguntas</w:t>
      </w:r>
      <w:r>
        <w:t xml:space="preserve"> · Generado el 14 oct 2026.</w:t>
      </w:r>
    </w:p>
    <w:p>
      <w:pPr>
        <w:pStyle w:val="Nota"/>
        <w:spacing w:after="100"/>
      </w:pPr>
      <w:r>
        <w:t xml:space="preserve">Análisis rápido (≈18 minutos) desde la nube: solo búsqueda web, sin 10-K ni bolsa.mjs. El precio es el último fechado que dio la búsqueda (286,06 USD, 10-ago-2026), coherente con ≈280-285 USD a principios de octubre; buena parte de la historia contable sale de la memoria del analista sobre los 10-K y está marcada. Confianza baja.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Texas Instruments Incorporated (TXN)</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286,06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(152,73 – 333,92)</c:v>
                </c:pt>
                <c:pt idx="1">
                  <c:v>Precio objetivo de los analistas (225,00 – 405,00)</c:v>
                </c:pt>
                <c:pt idx="2">
                  <c:v>DCF (WACC y g ± 0,5) (149,25 – 192,97)</c:v>
                </c:pt>
                <c:pt idx="3">
                  <c:v>Escenarios (bajista – alcista) (117,85 – 199,49)</c:v>
                </c:pt>
                <c:pt idx="4">
                  <c:v>DCF con la prima implícita del mercado (4,2 %)</c:v>
                </c:pt>
                <c:pt idx="5">
                  <c:v>Precio actual (286,06)</c:v>
                </c:pt>
              </c:strCache>
            </c:strRef>
          </c:cat>
          <c:val>
            <c:numRef>
              <c:f>Hoja1!$B$2:$B$7</c:f>
              <c:numCache>
                <c:formatCode>#,##0</c:formatCode>
                <c:ptCount val="6"/>
                <c:pt idx="0">
                  <c:v>152.73</c:v>
                </c:pt>
                <c:pt idx="1">
                  <c:v>225</c:v>
                </c:pt>
                <c:pt idx="2">
                  <c:v>149.25</c:v>
                </c:pt>
                <c:pt idx="3">
                  <c:v>117.85</c:v>
                </c:pt>
                <c:pt idx="4">
                  <c:v>189.95</c:v>
                </c:pt>
                <c:pt idx="5">
                  <c:v>284.63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(152,73 – 333,92)</c:v>
                </c:pt>
                <c:pt idx="1">
                  <c:v>Precio objetivo de los analistas (225,00 – 405,00)</c:v>
                </c:pt>
                <c:pt idx="2">
                  <c:v>DCF (WACC y g ± 0,5) (149,25 – 192,97)</c:v>
                </c:pt>
                <c:pt idx="3">
                  <c:v>Escenarios (bajista – alcista) (117,85 – 199,49)</c:v>
                </c:pt>
                <c:pt idx="4">
                  <c:v>DCF con la prima implícita del mercado (4,2 %)</c:v>
                </c:pt>
                <c:pt idx="5">
                  <c:v>Precio actual (286,06)</c:v>
                </c:pt>
              </c:strCache>
            </c:strRef>
          </c:cat>
          <c:val>
            <c:numRef>
              <c:f>Hoja1!$C$2:$C$7</c:f>
              <c:numCache>
                <c:formatCode>#,##0</c:formatCode>
                <c:ptCount val="6"/>
                <c:pt idx="0">
                  <c:v>181.19000000000003</c:v>
                </c:pt>
                <c:pt idx="1">
                  <c:v>180</c:v>
                </c:pt>
                <c:pt idx="2">
                  <c:v>43.72</c:v>
                </c:pt>
                <c:pt idx="3">
                  <c:v>81.64000000000001</c:v>
                </c:pt>
                <c:pt idx="4">
                  <c:v>40.610000000000014</c:v>
                </c:pt>
                <c:pt idx="5">
                  <c:v>2.8600000000000136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Texas Instruments</c:v>
                </c:pt>
              </c:strCache>
            </c:strRef>
          </c:cat>
          <c:val>
            <c:numRef>
              <c:f>Hoja1!$B$2</c:f>
              <c:numCache>
                <c:formatCode>0.0"%"</c:formatCode>
                <c:ptCount val="1"/>
                <c:pt idx="0">
                  <c:v>34.2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pt idx="15">
                  <c:v>2033e</c:v>
                </c:pt>
                <c:pt idx="16">
                  <c:v>2034e</c:v>
                </c:pt>
                <c:pt idx="17">
                  <c:v>2035e</c:v>
                </c:pt>
              </c:strCache>
            </c:strRef>
          </c:cat>
          <c:val>
            <c:numRef>
              <c:f>Hoja1!$B$2:$B$19</c:f>
              <c:numCache>
                <c:formatCode>#,##0</c:formatCode>
                <c:ptCount val="18"/>
                <c:pt idx="0">
                  <c:v>15784</c:v>
                </c:pt>
                <c:pt idx="1">
                  <c:v>14383</c:v>
                </c:pt>
                <c:pt idx="2">
                  <c:v>14461</c:v>
                </c:pt>
                <c:pt idx="3">
                  <c:v>18344</c:v>
                </c:pt>
                <c:pt idx="4">
                  <c:v>20028</c:v>
                </c:pt>
                <c:pt idx="5">
                  <c:v>17519</c:v>
                </c:pt>
                <c:pt idx="6">
                  <c:v>15641</c:v>
                </c:pt>
                <c:pt idx="7">
                  <c:v>17680</c:v>
                </c:pt>
                <c:pt idx="8">
                  <c:v>22012</c:v>
                </c:pt>
                <c:pt idx="9">
                  <c:v>23773</c:v>
                </c:pt>
                <c:pt idx="10">
                  <c:v>24961</c:v>
                </c:pt>
                <c:pt idx="11">
                  <c:v>26459</c:v>
                </c:pt>
                <c:pt idx="12">
                  <c:v>28046</c:v>
                </c:pt>
                <c:pt idx="13">
                  <c:v>29449</c:v>
                </c:pt>
                <c:pt idx="14">
                  <c:v>30921</c:v>
                </c:pt>
                <c:pt idx="15">
                  <c:v>32158</c:v>
                </c:pt>
                <c:pt idx="16">
                  <c:v>33444</c:v>
                </c:pt>
                <c:pt idx="17">
                  <c:v>34448</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pt idx="15">
                  <c:v>2033e</c:v>
                </c:pt>
                <c:pt idx="16">
                  <c:v>2034e</c:v>
                </c:pt>
                <c:pt idx="17">
                  <c:v>2035e</c:v>
                </c:pt>
              </c:strCache>
            </c:strRef>
          </c:cat>
          <c:val>
            <c:numRef>
              <c:f>Hoja1!$C$2:$C$19</c:f>
              <c:numCache>
                <c:formatCode>#,##0</c:formatCode>
                <c:ptCount val="18"/>
                <c:pt idx="8">
                  <c:v>11226</c:v>
                </c:pt>
                <c:pt idx="9">
                  <c:v>12837</c:v>
                </c:pt>
                <c:pt idx="10">
                  <c:v>13978</c:v>
                </c:pt>
                <c:pt idx="11">
                  <c:v>14817</c:v>
                </c:pt>
                <c:pt idx="12">
                  <c:v>15706</c:v>
                </c:pt>
                <c:pt idx="13">
                  <c:v>16344</c:v>
                </c:pt>
                <c:pt idx="14">
                  <c:v>17007</c:v>
                </c:pt>
                <c:pt idx="15">
                  <c:v>17687</c:v>
                </c:pt>
                <c:pt idx="16">
                  <c:v>18394</c:v>
                </c:pt>
                <c:pt idx="17">
                  <c:v>18946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1">
                  <c:v>39.8</c:v>
                </c:pt>
                <c:pt idx="2">
                  <c:v>40.8</c:v>
                </c:pt>
                <c:pt idx="3">
                  <c:v>48.8</c:v>
                </c:pt>
                <c:pt idx="4">
                  <c:v>50.6</c:v>
                </c:pt>
                <c:pt idx="5">
                  <c:v>41.8</c:v>
                </c:pt>
                <c:pt idx="6">
                  <c:v>34.9</c:v>
                </c:pt>
                <c:pt idx="7">
                  <c:v>34.2</c:v>
                </c:pt>
              </c:numCache>
            </c:numRef>
          </c:val>
          <c:smooth val="0"/>
        </c:ser>
        <c:ser>
          <c:idx val="1"/>
          <c:order val="1"/>
          <c:tx>
            <c:strRef>
              <c:f>Hoja1!$C$1</c:f>
              <c:strCache>
                <c:ptCount val="1"/>
                <c:pt idx="0">
                  <c:v>Neto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35.4</c:v>
                </c:pt>
                <c:pt idx="1">
                  <c:v>34.9</c:v>
                </c:pt>
                <c:pt idx="2">
                  <c:v>38.7</c:v>
                </c:pt>
                <c:pt idx="3">
                  <c:v>42.4</c:v>
                </c:pt>
                <c:pt idx="4">
                  <c:v>43.7</c:v>
                </c:pt>
                <c:pt idx="5">
                  <c:v>37.2</c:v>
                </c:pt>
                <c:pt idx="6">
                  <c:v>30.7</c:v>
                </c:pt>
                <c:pt idx="7">
                  <c:v>28.3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Hoja1!$A$2:$A$3</c:f>
              <c:strCache>
                <c:ptCount val="2"/>
                <c:pt idx="0">
                  <c:v>1T26</c:v>
                </c:pt>
                <c:pt idx="1">
                  <c:v>2T26</c:v>
                </c:pt>
              </c:strCache>
            </c:strRef>
          </c:cat>
          <c:val>
            <c:numRef>
              <c:f>Hoja1!$B$2:$B$3</c:f>
              <c:numCache>
                <c:formatCode>0.0"%"</c:formatCode>
                <c:ptCount val="2"/>
                <c:pt idx="0">
                  <c:v>18.6</c:v>
                </c:pt>
                <c:pt idx="1">
                  <c:v>23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Hoja1!$A$2:$A$4</c:f>
              <c:strCache>
                <c:ptCount val="3"/>
                <c:pt idx="0">
                  <c:v>2024</c:v>
                </c:pt>
                <c:pt idx="1">
                  <c:v>2025</c:v>
                </c:pt>
                <c:pt idx="2">
                  <c:v>LTM jun-26</c:v>
                </c:pt>
              </c:strCache>
            </c:strRef>
          </c:cat>
          <c:val>
            <c:numRef>
              <c:f>Hoja1!$B$2:$B$4</c:f>
              <c:numCache>
                <c:formatCode>#,##0</c:formatCode>
                <c:ptCount val="3"/>
                <c:pt idx="0">
                  <c:v>1498</c:v>
                </c:pt>
                <c:pt idx="1">
                  <c:v>2600</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Hoja1!$A$2:$A$4</c:f>
              <c:strCache>
                <c:ptCount val="3"/>
                <c:pt idx="0">
                  <c:v>2024</c:v>
                </c:pt>
                <c:pt idx="1">
                  <c:v>2025</c:v>
                </c:pt>
                <c:pt idx="2">
                  <c:v>LTM jun-26</c:v>
                </c:pt>
              </c:strCache>
            </c:strRef>
          </c:cat>
          <c:val>
            <c:numRef>
              <c:f>Hoja1!$C$2:$C$4</c:f>
              <c:numCache>
                <c:formatCode>#,##0</c:formatCode>
                <c:ptCount val="3"/>
                <c:pt idx="0">
                  <c:v>4799</c:v>
                </c:pt>
                <c:pt idx="1">
                  <c:v>5000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6">
                  <c:v>21.9</c:v>
                </c:pt>
                <c:pt idx="7">
                  <c:v>22.3</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9.7</c:v>
                </c:pt>
                <c:pt idx="1">
                  <c:v>9.7</c:v>
                </c:pt>
                <c:pt idx="2">
                  <c:v>9.7</c:v>
                </c:pt>
                <c:pt idx="3">
                  <c:v>9.7</c:v>
                </c:pt>
                <c:pt idx="4">
                  <c:v>9.7</c:v>
                </c:pt>
                <c:pt idx="5">
                  <c:v>9.7</c:v>
                </c:pt>
                <c:pt idx="6">
                  <c:v>9.7</c:v>
                </c:pt>
                <c:pt idx="7">
                  <c:v>9.7</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6">
                  <c:v>28.4</c:v>
                </c:pt>
                <c:pt idx="7">
                  <c:v>30.1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Dividendos</c:v>
                </c:pt>
              </c:strCache>
            </c:strRef>
          </c:tx>
          <c:spPr>
            <a:solidFill>
              <a:srgbClr val="2A78D6"/>
            </a:solidFill>
            <a:ln w="12700">
              <a:noFill/>
            </a:ln>
          </c:spPr>
          <c:invertIfNegative val="0"/>
          <c:cat>
            <c:strRef>
              <c:f>Hoja1!$A$2:$A$4</c:f>
              <c:strCache>
                <c:ptCount val="3"/>
                <c:pt idx="0">
                  <c:v>2024</c:v>
                </c:pt>
                <c:pt idx="1">
                  <c:v>2025</c:v>
                </c:pt>
                <c:pt idx="2">
                  <c:v>LTM jun-26</c:v>
                </c:pt>
              </c:strCache>
            </c:strRef>
          </c:cat>
          <c:val>
            <c:numRef>
              <c:f>Hoja1!$B$2:$B$4</c:f>
              <c:numCache>
                <c:formatCode>#,##0</c:formatCode>
                <c:ptCount val="3"/>
                <c:pt idx="0">
                  <c:v>4800</c:v>
                </c:pt>
                <c:pt idx="1">
                  <c:v>4950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858</c:v>
                </c:pt>
                <c:pt idx="1">
                  <c:v>8722</c:v>
                </c:pt>
                <c:pt idx="2">
                  <c:v>10017</c:v>
                </c:pt>
                <c:pt idx="3">
                  <c:v>10661</c:v>
                </c:pt>
                <c:pt idx="4">
                  <c:v>11281</c:v>
                </c:pt>
                <c:pt idx="5">
                  <c:v>11777</c:v>
                </c:pt>
                <c:pt idx="6">
                  <c:v>12366</c:v>
                </c:pt>
                <c:pt idx="7">
                  <c:v>12926</c:v>
                </c:pt>
                <c:pt idx="8">
                  <c:v>13420</c:v>
                </c:pt>
                <c:pt idx="9">
                  <c:v>13919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67848</c:v>
                </c:pt>
                <c:pt idx="1">
                  <c:v>91789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286,06</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117.85</c:v>
                </c:pt>
                <c:pt idx="1">
                  <c:v>167.92</c:v>
                </c:pt>
                <c:pt idx="2">
                  <c:v>199.49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286,06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(152,73 – 333,92)</c:v>
                </c:pt>
                <c:pt idx="1">
                  <c:v>Precio objetivo de los analistas (225,00 – 405,00)</c:v>
                </c:pt>
                <c:pt idx="2">
                  <c:v>DCF (WACC y g ± 0,5) (149,25 – 192,97)</c:v>
                </c:pt>
                <c:pt idx="3">
                  <c:v>Escenarios (bajista – alcista) (117,85 – 199,49)</c:v>
                </c:pt>
                <c:pt idx="4">
                  <c:v>DCF con la prima implícita del mercado (4,2 %)</c:v>
                </c:pt>
                <c:pt idx="5">
                  <c:v>Precio actual (286,06)</c:v>
                </c:pt>
              </c:strCache>
            </c:strRef>
          </c:cat>
          <c:val>
            <c:numRef>
              <c:f>Hoja1!$B$2:$B$7</c:f>
              <c:numCache>
                <c:formatCode>#,##0</c:formatCode>
                <c:ptCount val="6"/>
                <c:pt idx="0">
                  <c:v>152.73</c:v>
                </c:pt>
                <c:pt idx="1">
                  <c:v>225</c:v>
                </c:pt>
                <c:pt idx="2">
                  <c:v>149.25</c:v>
                </c:pt>
                <c:pt idx="3">
                  <c:v>117.85</c:v>
                </c:pt>
                <c:pt idx="4">
                  <c:v>189.95</c:v>
                </c:pt>
                <c:pt idx="5">
                  <c:v>284.63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(152,73 – 333,92)</c:v>
                </c:pt>
                <c:pt idx="1">
                  <c:v>Precio objetivo de los analistas (225,00 – 405,00)</c:v>
                </c:pt>
                <c:pt idx="2">
                  <c:v>DCF (WACC y g ± 0,5) (149,25 – 192,97)</c:v>
                </c:pt>
                <c:pt idx="3">
                  <c:v>Escenarios (bajista – alcista) (117,85 – 199,49)</c:v>
                </c:pt>
                <c:pt idx="4">
                  <c:v>DCF con la prima implícita del mercado (4,2 %)</c:v>
                </c:pt>
                <c:pt idx="5">
                  <c:v>Precio actual (286,06)</c:v>
                </c:pt>
              </c:strCache>
            </c:strRef>
          </c:cat>
          <c:val>
            <c:numRef>
              <c:f>Hoja1!$C$2:$C$7</c:f>
              <c:numCache>
                <c:formatCode>#,##0</c:formatCode>
                <c:ptCount val="6"/>
                <c:pt idx="0">
                  <c:v>181.19000000000003</c:v>
                </c:pt>
                <c:pt idx="1">
                  <c:v>180</c:v>
                </c:pt>
                <c:pt idx="2">
                  <c:v>43.72</c:v>
                </c:pt>
                <c:pt idx="3">
                  <c:v>81.64000000000001</c:v>
                </c:pt>
                <c:pt idx="4">
                  <c:v>40.610000000000014</c:v>
                </c:pt>
                <c:pt idx="5">
                  <c:v>2.8600000000000136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