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Thermo Fisher Scientific Inc.</w:t>
      </w:r>
    </w:p>
    <w:p>
      <w:pPr>
        <w:spacing w:after="60"/>
        <w:rPr>
          <w:color w:val="52514E"/>
          <w:sz w:val="22"/>
          <w:szCs w:val="22"/>
        </w:rPr>
      </w:pPr>
      <w:r>
        <w:rPr>
          <w:color w:val="52514E"/>
          <w:sz w:val="22"/>
          <w:szCs w:val="22"/>
        </w:rPr>
        <w:t xml:space="preserve">TMO · NYSE · ISIN US8835561023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663,04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797,63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+20,6 % (base +19,5 %)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456,88 USD · mercado 505,00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249.966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Thermo Fisher Scientific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TMO / US8835561023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de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Waltham (Massachusetts) · 1956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www.thermofisher.com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663,04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435,27 – 694,33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249.966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287.851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797,63 USD</w:t>
      </w:r>
      <w:r>
        <w:t xml:space="preserve"> frente a 663,04 · Rentabilidad a 12 meses </w:t>
      </w:r>
      <w:r>
        <w:rPr>
          <w:b/>
          <w:bCs/>
        </w:rPr>
        <w:t xml:space="preserve">+20,6 % (base +19,5 %)</w:t>
      </w:r>
      <w:r>
        <w:t xml:space="preserve"> · Valor intrínseco 456,88 USD · con la prima implícita del mercado: 505,00 (-23,8 %) · Alcista / bajista -40,1 % / -60,5 %</w:t>
      </w:r>
    </w:p>
    <w:p>
      <w:pPr>
        <w:spacing w:after="100"/>
      </w:pPr>
      <w:r>
        <w:rPr>
          <w:b/>
        </w:rPr>
        <w:t xml:space="preserve">La recomendación y por qué.</w:t>
      </w:r>
      <w:r>
        <w:t xml:space="preserve"> Mantener, con convicción media. Con nuestro BPA ajustado de 2028e y el PER propio de la empresa, el objetivo a 12 meses es de 703,14 USD frente a 663,04 USD de cierre del 13 de octubre: +6,3 % con el dividendo y +7,3 % en el caso base, lejos del 15 % y el 12 % que pedimos para comprar. El objetivo medio de los analistas (635,08 USD, de agosto) queda por debajo de nuestro base. La asimetría a 12 meses es buena (2,92x: +15,7 % en el alcista frente a −5,0 % en el bajista) porque el PER de Thermo Fisher es muy estable, pero el valor intrínseco (456,88 USD, −31,1 %) dice que no hay margen de seguridad. La convicción es media: subiría si el 3T26 (21 de octubre) repite un orgánico del 5 % o más y la acción no se mueve; bajaría si el orgánico vuelve al 1-2 %.</w:t>
      </w:r>
    </w:p>
    <w:p>
      <w:pPr>
        <w:spacing w:after="100"/>
      </w:pPr>
      <w:r>
        <w:rPr>
          <w:b/>
        </w:rPr>
        <w:t xml:space="preserve">El negocio.</w:t>
      </w:r>
      <w:r>
        <w:t xml:space="preserve"> Es el mayor proveedor mundial de herramientas y servicios para la ciencia (44.556 M USD de ingresos en 2025), con dos tercios de ventas recurrentes y costes de cambio altos en bioproducción y ensayos clínicos [1]. El foso es amplio, pero el capital comprado pesa: el ROIC es del 7,3 %, 1,8 puntos por debajo del WACC del 9,10 %, porque el balance lleva 49.362 M de fondo de comercio [7]. La calidad sí sostiene el crecimiento que proyectamos (veredicto «Sí»): un orgánico del 4,5-5 %, el del mercado, sin ganar cuota y sin compras nuevas.</w:t>
      </w:r>
    </w:p>
    <w:p>
      <w:pPr>
        <w:spacing w:after="100"/>
      </w:pPr>
      <w:r>
        <w:rPr>
          <w:b/>
        </w:rPr>
        <w:t xml:space="preserve">Sector y ciclo.</w:t>
      </w:r>
      <w:r>
        <w:t xml:space="preserve"> El sector sale de dos años malos (pico de covid, biotecnología sin financiación, recortes de los NIH). El orgánico pasó del 1 % en el 1T26 al 5 % en el 2T26 y la guía de 2026 subió dos veces, hasta 24,93-25,33 USD de BPA ajustado [3, 4]. La acción lo ha descontado: +52 % desde el mínimo de mayo [24].</w:t>
      </w:r>
    </w:p>
    <w:p>
      <w:pPr>
        <w:spacing w:after="100"/>
      </w:pPr>
      <w:r>
        <w:rPr>
          <w:b/>
        </w:rPr>
        <w:t xml:space="preserve">Finanzas.</w:t>
      </w:r>
      <w:r>
        <w:t xml:space="preserve"> El flujo libre es estable (6.337 M en 2025; guía de 6.800-7.300 M en 2026), pero la deuda bruta subió a 42.549 M tras Clario y la deuda neta es de 3,5 veces el EBITDA [1, 7, 10]. El BPA ajustado supera al GAAP en un 29 % por la amortización de intangibles comprados, que se repite cada año [2].</w:t>
      </w:r>
    </w:p>
    <w:p>
      <w:pPr>
        <w:spacing w:after="100"/>
      </w:pPr>
      <w:r>
        <w:rPr>
          <w:b/>
        </w:rPr>
        <w:t xml:space="preserve">Equipo y gobierno.</w:t>
      </w:r>
      <w:r>
        <w:t xml:space="preserve"> Casper cumple la guía y sabe podar (microbiología vendida para recomprar acciones) [14], pero la remuneración de 79,9 M USD de 2025 por un premio de retención obligó a la empresa a hacer campaña por el voto [21, 22]. Resta poco.</w:t>
      </w:r>
    </w:p>
    <w:p>
      <w:pPr>
        <w:spacing w:after="100"/>
      </w:pPr>
      <w:r>
        <w:rPr>
          <w:b/>
        </w:rPr>
        <w:t xml:space="preserve">Valoración.</w:t>
      </w:r>
      <w:r>
        <w:t xml:space="preserve"> El DCF da 345,74 USD con un WACC del 9,10 % y 426,87 USD con la prima del mercado; el PER de los comparables, 627,62 USD. El DCF inverso dice que a 663,04 USD el precio descuenta un crecimiento del 13,9 % anual de 2027e a 2035e frente al 4,5 % de nuestro base, o una rentabilidad del 6,6 % anual, por debajo del 9,10 % de WACC. El mercado paga a Thermo Fisher un PER de 24-25x desde hace años con independencia de los tipos; nuestro objetivo a 12 meses lo acepta (24,6x, la mediana de cinco años), pero no pagaríamos más.</w:t>
      </w:r>
    </w:p>
    <w:p>
      <w:pPr>
        <w:spacing w:after="100"/>
      </w:pPr>
      <w:r>
        <w:rPr>
          <w:b/>
        </w:rPr>
        <w:t xml:space="preserve">Riesgos y catalizadores.</w:t>
      </w:r>
      <w:r>
        <w:t xml:space="preserve"> El primero es una recaída de la biotecnología (bajista: 628,05 USD, −5,0 %); el segundo, que el mercado deje de pagar 24x con el bono al 5,22 %, que llevaría la acción hacia el valor intrínseco (−31 %). El catalizador inmediato es el 3T26 del 21 de octubre. Los foros pasan del miedo de mayo a un optimismo prudente que duda del precio tras el rally.</w:t>
      </w:r>
    </w:p>
    <w:p>
      <w:pPr>
        <w:spacing w:after="100"/>
      </w:pPr>
      <w:r>
        <w:rPr>
          <w:b/>
        </w:rPr>
        <w:t xml:space="preserve">Qué cambiaría la decisión.</w:t>
      </w:r>
      <w:r>
        <w:t xml:space="preserve"> Compraríamos por debajo de 456,88 USD, donde se cumplen las tres condiciones; venderíamos por encima de 783,26 USD. Pasaríamos a vender si el orgánico baja del 2 % en dos trimestres o si una compra nueva lleva la deuda neta por encima de 4 veces el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797,63 USD</w:t>
      </w:r>
      <w:r>
        <w:t xml:space="preserve"> (rentabilidad +20,6 % (base +19,5 %)) · Valor intrínseco: 456,88 USD (-31,1 % sobre 663,04) · con la prima implícita del mercado: 505,00 (-23,8 %)</w:t>
      </w:r>
    </w:p>
    <w:p>
      <w:pPr>
        <w:spacing w:after="100"/>
      </w:pPr>
      <w:r>
        <w:t xml:space="preserve">Thermo Fisher es el mayor proveedor de herramientas y servicios para la ciencia: 44.556 M USD de ingresos, dos tercios recurrentes, un flujo libre de 6.300-7.300 M al año y un equipo que cumple la guía [1, 2]. Su debilidad es el capital: lleva 49.362 M de fondo de comercio y el ROIC (7,3 %) no cubre el WACC.</w:t>
      </w:r>
    </w:p>
    <w:p>
      <w:pPr>
        <w:spacing w:after="100"/>
      </w:pPr>
      <w:r>
        <w:t xml:space="preserve">El precio (663,04 USD, ≈26x el BPA ajustado de 2026e) descuenta una recuperación completa: según el DCF inverso, un crecimiento del 13,9 % anual o una rentabilidad del 6,6 % para el comprador. El PER está en la mediana de cinco años (24,6x), así que la acción no está cara frente a su historia, sí frente a su flujo de caja.</w:t>
      </w:r>
    </w:p>
    <w:p>
      <w:pPr>
        <w:spacing w:after="100"/>
      </w:pPr>
      <w:r>
        <w:t xml:space="preserve">El mercado acierta en la recuperación (orgánico del 5 % en el 2T26) [4], pero ya la ha pagado: tras subir un 52 % desde mayo, la rentabilidad a 12 meses es la del crecimiento del beneficio (6-7 %), sin múltiplo que recuperar. Para invertir hay que creer que el mercado seguirá pagando 24-25x con el bono al 5,22 %.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 × 26,50 = 580,35 · 27,4x × 28,85 = 790,49 · 33,9x × 30,36 = 1.029,20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 / 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635,08 (nuestro base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 / -60,5 %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456,88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456,88 y 888,26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888,26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456,88 USD: pasaríamos a Comprar (las tres condiciones se cumplen).</w:t>
      </w:r>
    </w:p>
    <w:p>
      <w:pPr>
        <w:pStyle w:val="ListParagraph"/>
        <w:numPr>
          <w:ilvl w:val="0"/>
          <w:numId w:val="2"/>
        </w:numPr>
        <w:spacing w:after="60"/>
      </w:pPr>
      <w:r>
        <w:t xml:space="preserve">Precio por encima de 783,26 USD: pasaríamos a Vender (ponderada ≤ −10 %).</w:t>
      </w:r>
    </w:p>
    <w:p>
      <w:pPr>
        <w:pStyle w:val="ListParagraph"/>
        <w:numPr>
          <w:ilvl w:val="0"/>
          <w:numId w:val="2"/>
        </w:numPr>
        <w:spacing w:after="60"/>
      </w:pPr>
      <w:r>
        <w:t xml:space="preserve">Orgánico por debajo del 2 % en dos trimestres seguidos: revisaríamos el base a la baja.</w:t>
      </w:r>
    </w:p>
    <w:p>
      <w:pPr>
        <w:pStyle w:val="ListParagraph"/>
        <w:numPr>
          <w:ilvl w:val="0"/>
          <w:numId w:val="2"/>
        </w:numPr>
        <w:spacing w:after="60"/>
      </w:pPr>
      <w:r>
        <w:t xml:space="preserve">Una compra nueva que lleve la deuda neta por encima de 4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las herramientas de ciencias de la vida ha girado y Thermo Fisher vuelve a crecer al 6-7 % orgánico con mejora de márgenes, y que lo hará durante años: 21 de 26 analistas recomiendan comprar y los objetivos suben [25].</w:t>
      </w:r>
    </w:p>
    <w:p>
      <w:pPr>
        <w:keepNext/>
        <w:spacing w:after="100"/>
      </w:pPr>
      <w:r>
        <w:rPr>
          <w:b/>
          <w:bCs/>
        </w:rPr>
        <w:t xml:space="preserve">Lo que creemos nosotros.</w:t>
      </w:r>
    </w:p>
    <w:p>
      <w:pPr>
        <w:spacing w:after="100"/>
      </w:pPr>
      <w:r>
        <w:t xml:space="preserve">Compartimos la recuperación, pero proyectamos un orgánico del 4,5-5 % y no contamos compras nuevas. Con eso el BPA ajustado de 2028e es de 28,85 USD y, al PER de cinco años, la acción vale 709,71 USD dentro de un año: un 7,3 % más, sin margen de seguridad frente al valor intrínseco.</w:t>
      </w:r>
    </w:p>
    <w:p>
      <w:pPr>
        <w:keepNext/>
        <w:spacing w:after="100"/>
      </w:pPr>
      <w:r>
        <w:rPr>
          <w:b/>
          <w:bCs/>
        </w:rPr>
        <w:t xml:space="preserve">Por qué podemos tener razón.</w:t>
      </w:r>
    </w:p>
    <w:p>
      <w:pPr>
        <w:spacing w:after="100"/>
      </w:pPr>
      <w:r>
        <w:t xml:space="preserve">Porque el crecimiento de 2026 lleva 3 puntos de compras y la academia sigue débil [4, 18], y porque el ROIC por debajo del WACC hace que crecer comprando no añada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visible</w:t>
      </w:r>
      <w:r>
        <w:t xml:space="preserve">: orgánico del 5 % en el 2T26 frente al 1 % del 1T26 [3, 4].</w:t>
      </w:r>
    </w:p>
    <w:p>
      <w:pPr>
        <w:pStyle w:val="ListParagraph"/>
        <w:numPr>
          <w:ilvl w:val="0"/>
          <w:numId w:val="2"/>
        </w:numPr>
        <w:spacing w:after="60"/>
      </w:pPr>
      <w:r>
        <w:rPr>
          <w:b/>
        </w:rPr>
        <w:t xml:space="preserve">Guía subida dos veces</w:t>
      </w:r>
      <w:r>
        <w:t xml:space="preserve">: BPA ajustado de 2026 de 24,93-25,33 USD [4].</w:t>
      </w:r>
    </w:p>
    <w:p>
      <w:pPr>
        <w:pStyle w:val="ListParagraph"/>
        <w:numPr>
          <w:ilvl w:val="0"/>
          <w:numId w:val="2"/>
        </w:numPr>
        <w:spacing w:after="60"/>
      </w:pPr>
      <w:r>
        <w:rPr>
          <w:b/>
        </w:rPr>
        <w:t xml:space="preserve">Flujo libre estable</w:t>
      </w:r>
      <w:r>
        <w:t xml:space="preserve">: 6.337 M en 2025 y 6.800-7.300 M previstos en 2026 [1, 10].</w:t>
      </w:r>
    </w:p>
    <w:p>
      <w:pPr>
        <w:pStyle w:val="ListParagraph"/>
        <w:numPr>
          <w:ilvl w:val="0"/>
          <w:numId w:val="2"/>
        </w:numPr>
        <w:spacing w:after="60"/>
      </w:pPr>
      <w:r>
        <w:rPr>
          <w:b/>
        </w:rPr>
        <w:t xml:space="preserve">PER estable</w:t>
      </w:r>
      <w:r>
        <w:t xml:space="preserve">: 23,6-25,3x en los años limpios, lo que limita el bajista a 12 meses (−5,0 %).</w:t>
      </w:r>
    </w:p>
    <w:p>
      <w:pPr>
        <w:pStyle w:val="ListParagraph"/>
        <w:numPr>
          <w:ilvl w:val="0"/>
          <w:numId w:val="2"/>
        </w:numPr>
        <w:spacing w:after="60"/>
      </w:pPr>
      <w:r>
        <w:rPr>
          <w:b/>
        </w:rPr>
        <w:t xml:space="preserve">Poda de la cartera</w:t>
      </w:r>
      <w:r>
        <w:t xml:space="preserve">: microbiología vendida a 1,7x ventas para recomprar 1.000 M [14].</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456,88 USD, un 31,1 % por debajo del precio.</w:t>
      </w:r>
    </w:p>
    <w:p>
      <w:pPr>
        <w:pStyle w:val="ListParagraph"/>
        <w:numPr>
          <w:ilvl w:val="0"/>
          <w:numId w:val="2"/>
        </w:numPr>
        <w:spacing w:after="60"/>
      </w:pPr>
      <w:r>
        <w:rPr>
          <w:b/>
        </w:rPr>
        <w:t xml:space="preserve">ROIC por debajo del WACC</w:t>
      </w:r>
      <w:r>
        <w:t xml:space="preserve">: 7,3 % frente a 9,10 %.</w:t>
      </w:r>
    </w:p>
    <w:p>
      <w:pPr>
        <w:pStyle w:val="ListParagraph"/>
        <w:numPr>
          <w:ilvl w:val="0"/>
          <w:numId w:val="2"/>
        </w:numPr>
        <w:spacing w:after="60"/>
      </w:pPr>
      <w:r>
        <w:rPr>
          <w:b/>
        </w:rPr>
        <w:t xml:space="preserve">Deuda al alza</w:t>
      </w:r>
      <w:r>
        <w:t xml:space="preserve">: 42.549 M en junio, 3,5 veces el EBITDA [7].</w:t>
      </w:r>
    </w:p>
    <w:p>
      <w:pPr>
        <w:pStyle w:val="ListParagraph"/>
        <w:numPr>
          <w:ilvl w:val="0"/>
          <w:numId w:val="2"/>
        </w:numPr>
        <w:spacing w:after="60"/>
      </w:pPr>
      <w:r>
        <w:rPr>
          <w:b/>
        </w:rPr>
        <w:t xml:space="preserve">Rally ya hecho</w:t>
      </w:r>
      <w:r>
        <w:t xml:space="preserve">: +52 % desde el mínimo de mayo [24].</w:t>
      </w:r>
    </w:p>
    <w:p>
      <w:pPr>
        <w:pStyle w:val="ListParagraph"/>
        <w:numPr>
          <w:ilvl w:val="0"/>
          <w:numId w:val="2"/>
        </w:numPr>
        <w:spacing w:after="60"/>
      </w:pPr>
      <w:r>
        <w:rPr>
          <w:b/>
        </w:rPr>
        <w:t xml:space="preserve">Remuneración</w:t>
      </w:r>
      <w:r>
        <w:t xml:space="preserve">: 79,9 M USD al consejero delegado en 2025 [21].</w:t>
      </w:r>
    </w:p>
    <w:p>
      <w:pPr>
        <w:pStyle w:val="Heading2"/>
      </w:pPr>
      <w:r>
        <w:t xml:space="preserve">Qué tiene que pasar para que la tesis funcione</w:t>
      </w:r>
    </w:p>
    <w:p>
      <w:pPr>
        <w:spacing w:after="100"/>
      </w:pPr>
      <w:r>
        <w:t xml:space="preserve">Que el orgánico se mantenga en el 4-5 %. La primera prueba es el 3T26 del 21 de octubre (comparativa: 11.122 M y 5,79 USD de BPA ajustado). Si baja del 3 % y la guía de 2027 queda por debajo de 27 USD de BPA, el PER puede bajar hacia el mínimo de cinco años (23,7x) y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tesis de recuperación.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24,93-25,33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24,90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guía.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beneficio en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que el mercado deje de pagar la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35,7x / 24,6x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Thermo Fisher nace en 2006 de la fusión de Thermo Electron (instrumentos) y Fisher Scientific (distribución de laboratorio). Desde entonces ha crecido comprando: Life Technologies (2014), Patheon (2017), PPD (2021), The Binding Site (2023), Olink (2024), la filtración de Solventum (2025) y Clario (2026). Marc Casper es consejero delegado desde 2009. La pandemia disparó las ventas de pruebas de covid (2020-2022) y su caída posterior, junto con el recorte de la financiación biotecnológica y pública, dejó los ingresos planos en 2023-24.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Thermo Electron y Fisher Scientific.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Casper,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Life Technologies (≈13.600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Patheon: entrada en la fabricación por contrato.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covid: los ingresos suben un 26 %.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PPD (17.400 M USD): entrada en la CRO clínica.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Olink (proteómica).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Clario (8.875 M USD) y venta de microbiología a Astorg (1.075 M USD).</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Thermo Fisher es el mayor proveedor mundial de herramientas, consumibles y servicios para la ciencia: 44.556 M USD de ingresos en 2025 [1]. Vende en cuatro segmentos: Laboratorio y servicios biofarmacéuticos (23.984 M: distribución de laboratorio de Fisher, fabricación por contrato de medicamentos y la CRO clínica PPD), Ciencias de la vida (10.374 M: bioproducción, genética, biología celular), Instrumentos analíticos (7.554 M: espectrometría de masas, cromatografía, microscopía electrónica) y Diagnóstico especializado (4.676 M) [1]. Sus clientes son farmacéuticas y biotecnológicas, hospitales y laboratorios clínicos, universidades y Gobiernos, e industria y química aplicada.</w:t>
      </w:r>
    </w:p>
    <w:p>
      <w:pPr>
        <w:pStyle w:val="Heading2"/>
      </w:pPr>
      <w:r>
        <w:t xml:space="preserve">Cómo gana dinero</w:t>
      </w:r>
    </w:p>
    <w:p>
      <w:pPr>
        <w:spacing w:after="100"/>
      </w:pPr>
      <w:r>
        <w:t xml:space="preserve">Alrededor de dos tercios de los ingresos son recurrentes: consumibles, reactivos, servicios de fabricación por contrato, ensayos clínicos (PPD, Clario) y distribución de laboratorio; el resto son instrumentos, que dependen del presupuesto de capital de farmacéuticas, universidades y Gobiernos [1]. El margen depende de la mezcla: Ciencias de la vida gana un 36,3 % de margen de segmento, mientras que la distribución y los servicios de Laboratorio y servicios biofarmacéuticos, que son el 52 % de las ventas, ganan bastante menos [1, 17]. Hay apalancamiento operativo: con un orgánico del 5 % en el 2T26 el BPA ajustado creció un 13 % [4]. El cuarto trimestre es el más fuerte por los presupuestos de fin de año (12.214 M en el 4T25 frente a 10.363 M en el 1T25)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Instrumentos analíticos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especializado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 y servicios biofarmacéuticos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w:t>
            </w:r>
          </w:p>
        </w:tc>
      </w:tr>
    </w:tbl>
    <w:p>
      <w:pPr>
        <w:spacing w:after="160" w:before="0"/>
      </w:pPr>
    </w:p>
    <w:p>
      <w:pPr>
        <w:pStyle w:val="Heading2"/>
      </w:pPr>
      <w:r>
        <w:t xml:space="preserve">Clientes, recurrencia y poder de precios</w:t>
      </w:r>
    </w:p>
    <w:p>
      <w:pPr>
        <w:spacing w:after="100"/>
      </w:pPr>
      <w:r>
        <w:t xml:space="preserve">La empresa no publica concentración, pero vende a miles de laboratorios; las grandes farmacéuticas y biotecnológicas son el primer grupo de clientes y el que más mueve el ciclo [1]. Los costes de cambio son altos en bioproducción y en ensayos clínicos, porque los procesos se validan ante el regulador con un proveedor concreto. El poder de precios es moderado: la empresa sube precios en torno a la inflación y sostuvo el margen operativo ajustado (21,8 % en el 1T26 frente a 21,9 % un año antes) con un orgánico de solo el 1 %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 en el 1T26 y 5 % en el 2T26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23,6 % frente a 23,9 %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6.800-7.300 M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 M (Olink,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 M comprometidos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Filtración de Solventum, planta de llenado estéril de Sanofi y Clario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las herramientas, consumibles y servicios para la investigación, el desarrollo y la fabricación de medicamentos, el diagnóstico y el laboratorio industrial, mundial. No se ha podido contrastar el tamaño con dos fuentes (hueco registrado): Thermo Fisher, con 44.556 M USD, es el mayor proveedor, y Danaher, Agilent, Waters, Mettler-Toledo, Merck KGaA y Sartorius son sus rivales directos según el segmento [1,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y fabricación de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creció 548 M en 2025 por la demanda de farmacéuticas y biotecnológicas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de Thermo Fisher pasó del 1 % en el 1T26 al 5 % en el 2T26 y la dirección habla de más gasto de las biotecnológicas [3,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y académica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recortes federales mantienen débil Instrumentos analíticos: +1,2 % en 2025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las ventas de covid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cayeron de 44.915 M en 2022 a 42.857 M en 2023 y no recuperaron hasta 2025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y especializados por segmento; Barclays rebajó el sector por valoraciones altas, no por guerra de precios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negocian, pero el coste del consumible es pequeño frente al del medicamento.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variados; Thermo Fisher integra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catálogo y red comercial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métodos nuevos (proteómica, datos digitales de ensayos) los compra la propia empresa: Olink en 2024, Clario en 2026 [12].</w:t>
            </w:r>
          </w:p>
        </w:tc>
      </w:tr>
    </w:tbl>
    <w:p>
      <w:pPr>
        <w:spacing w:after="160" w:before="0"/>
      </w:pPr>
    </w:p>
    <w:p>
      <w:pPr>
        <w:pStyle w:val="Heading2"/>
      </w:pPr>
      <w:r>
        <w:t xml:space="preserve">Ciclo</w:t>
      </w:r>
    </w:p>
    <w:p>
      <w:pPr>
        <w:spacing w:after="100"/>
      </w:pPr>
      <w:r>
        <w:t xml:space="preserve">Tras dos años planos (orgánico del 2 % en 2025), el 2T26 marcó un 5 % orgánico y la empresa subió dos veces la guía de 2026 [2, 4]. En septiembre, Casper habló de mejora de la demanda en varios mercados finales [20]. La academia y los Gobiernos siguen débiles [18]. En 2020 el sector creció por la covid y en 2023-24 sufrió la resaca de ese pico y la caída de la financiación biotecnológica.</w:t>
      </w:r>
    </w:p>
    <w:p>
      <w:pPr>
        <w:pStyle w:val="Heading2"/>
      </w:pPr>
      <w:r>
        <w:t xml:space="preserve">Regulación</w:t>
      </w:r>
    </w:p>
    <w:p>
      <w:pPr>
        <w:spacing w:after="100"/>
      </w:pPr>
      <w:r>
        <w:t xml:space="preserve">Afectan a las cifras los presupuestos de los NIH en EE. UU. (recortes de 2025-26 que pesan en instrumentos y academia) y los aranceles entre EE. UU. y China; no se ha podido leer el detalle en el 10-K [18].</w:t>
      </w:r>
    </w:p>
    <w:p>
      <w:pPr>
        <w:pStyle w:val="Heading2"/>
      </w:pPr>
      <w:r>
        <w:t xml:space="preserve">Tendencias y disrupción</w:t>
      </w:r>
    </w:p>
    <w:p>
      <w:pPr>
        <w:spacing w:after="100"/>
      </w:pPr>
      <w:r>
        <w:t xml:space="preserve">La demanda se desplaza hacia la bioproducción de biológicos, la proteómica y los datos digitales de ensayos clínicos; Thermo Fisher compra para estar en ellas (Olink, Clario, filtración de Solventum) y vende lo que crece menos (microbiología a Astorg) [1, 14,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herramientas y servicios de ciencias de la vida por ingresos (44.556 M USD en 2025), casi el doble que Danaher.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 el canal de distribución de Fisher da un catálogo único a los laboratorios.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procesos de bioproducción y los ensayos clínicos se validan con proveedores concretos: cambiar exige revalidar ante el regulador.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Thermo Scientific, Applied Biosystems, Invitrogen, Gibco; Ciencias de la vida gana un 36,3 % de margen de segmento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logística; programa PPI de productividad.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mayor del sector: proveedor único de laboratorio para grandes farmacéuticas.</w:t>
            </w:r>
          </w:p>
        </w:tc>
      </w:tr>
    </w:tbl>
    <w:p>
      <w:pPr>
        <w:spacing w:after="160" w:before="0"/>
      </w:pPr>
    </w:p>
    <w:p>
      <w:pPr>
        <w:pStyle w:val="Heading2"/>
      </w:pPr>
      <w:r>
        <w:t xml:space="preserve">Amenazas</w:t>
      </w:r>
    </w:p>
    <w:p>
      <w:pPr>
        <w:spacing w:after="100"/>
      </w:pPr>
      <w:r>
        <w:t xml:space="preserve">El foso es de escala y de costes de cambio, y no parece erosionarse: el margen de Ciencias de la vida se sostiene en el 36 % [1]. El riesgo es otro: que el rendimiento de las compras baje (ROIC del 7,3 % en 2025 frente al 10,5 % de 2021), porque cada compra grande se paga a múltiplos altos (Clario a ≈9,9 veces ventas)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r>
    </w:tbl>
    <w:p>
      <w:pPr>
        <w:spacing w:after="160" w:before="0"/>
      </w:pPr>
    </w:p>
    <w:p>
      <w:pPr>
        <w:spacing w:after="100"/>
      </w:pPr>
      <w:r>
        <w:t xml:space="preserve">Crecimiento anual compuesto 2021-2025: ingresos </w:t>
      </w:r>
      <w:r>
        <w:rPr>
          <w:b/>
          <w:bCs/>
        </w:rPr>
        <w:t xml:space="preserve">3,2 %</w:t>
      </w:r>
      <w:r>
        <w:t xml:space="preserve">, EBITDA </w:t>
      </w:r>
      <w:r>
        <w:rPr>
          <w:b/>
          <w:bCs/>
        </w:rPr>
        <w:t xml:space="preserve">-4,4 %</w:t>
      </w:r>
      <w:r>
        <w:t xml:space="preserve">, BPA </w:t>
      </w:r>
      <w:r>
        <w:rPr>
          <w:b/>
          <w:bCs/>
        </w:rPr>
        <w:t xml:space="preserve">-2,3 %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39.211 M en 2021 a 44.556 M en 2025 (+3,3 % anual), pero con una joroba: el pico de 2022 (44.915 M) llevaba pruebas de covid y 2023-24 fueron planos [5]. El orgánico fue del 2 % en 2025 y el resto lo pusieron las compras [2]. El margen EBITDA GAAP bajó del 32,2 % de 2021 al 23,6 % de 2025 por el fin de la covid y la mezcla (PPD y distribución pesan más); el operativo ajustado se mueve poco (23,6 % en el 4T25 frente a 23,9 %) [2]. En 2026 el crecimiento vuelve: +6,2 % en el 1T26 y +10,5 % en el 2T26, con un 5 % orgánico en el segundo trimestre y Clario desde el 24 de marzo [3, 4, 48, 49].</w:t>
      </w:r>
    </w:p>
    <w:p>
      <w:pPr>
        <w:pStyle w:val="Heading2"/>
      </w:pPr>
      <w:r>
        <w:t xml:space="preserve">Ajustes y partidas no recurrentes</w:t>
      </w:r>
    </w:p>
    <w:p>
      <w:pPr>
        <w:spacing w:after="100"/>
      </w:pPr>
      <w:r>
        <w:t xml:space="preserve">La empresa publica BPA ajustado sin amortización de intangibles comprados, costes de reestructuración y de compras ni otras partidas: 22,87 USD en 2025 frente a 17,74 USD GAAP [2]. La diferencia (5,13 USD, ≈1.950 M) es sobre todo amortización de intangibles de compras, que se repite cada año porque la empresa compra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(23 de julio) la dirección subió la guía de 2026 a 47.400-48.100 M de ingresos y 24,93-25,33 USD de BPA ajustado, desde 24,64-25,12, tras un BPA de 6,03 USD, 0,30 por encima de su propia guía [4, 12]. El director financiero, Jim Meyer, atribuyó la mejora a farmacéuticas y biotecnológicas, y Casper dijo que el gasto de las biotecnológicas repuntó [12, 13]. En abril, en cambio, la guía del 2T fue floja y la acción cayó un 9 % pese a superar el consenso en 0,20 USD [3, 43]. Entre una conferencia y otra el discurso pasó de «el mercado mejora poco a poco» a «aceleración»; las preguntas giraron en torno a la academia y los Gobiernos (aún débiles), Clario y el uso de la caja de la venta de microbiología [14, 18]. No hemos podido leer las transcripciones completas.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de la filtración y purificación de Solventum (≈4.100 M) y de la planta de llenado estéril de Sanofi en 2025; Clario (8.875 M) se cerró el 24-mar-2026, después del balance de 2025 [2, 15].).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deuda bruta subió de 31.275 M a final de 2024 a 39.385 M en 2025 y a 42.549 M en junio de 2026 por las compras (filtración de Solventum, Clario), con bonos emitidos a principios de 2026 [7, 9, 50]. La deuda neta ajustada es de unos 38.000 M, 3,5 veces el EBITDA; el circulante comercial se mantiene en el 24 % de las ventas [7]. La caja de 9.852 M de final de 2025 se gastó en Clario [7, 15].</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34.288</w:t>
      </w:r>
      <w:r>
        <w:t xml:space="preserve">, conversión </w:t>
      </w:r>
      <w:r>
        <w:rPr>
          <w:b/>
          <w:bCs/>
        </w:rPr>
        <w:t xml:space="preserve">102 %</w:t>
      </w:r>
      <w:r>
        <w:t xml:space="preserve"> del beneficio neto; adquisiciones 0, dividendos 2.679, recompras 15.000.</w:t>
      </w:r>
    </w:p>
    <w:p>
      <w:pPr>
        <w:spacing w:after="100"/>
      </w:pPr>
      <w:r>
        <w:t xml:space="preserve">Thermo Fisher convierte bien: el flujo libre fue de 6.789 M en 2021, 6.911 M en 2022, 6.927 M en 2023, 7.324 M en 2024 y 6.337 M en 2025 [1]. La caída de 2025 vino del circulante y del calendario de impuestos, según la dirección [10]. El capex bajó de 2.523 M en 2021 (ampliaciones de capacidad de la pandemia) a ≈1.500 M en 2025 [11]; la guía de 2026 es de 1.800-2.000 M de capex y 6.800-7.300 M de flujo libre [10]. Estimamos que el capex de mantenimiento es de ≈2,5-3 % de las ventas. Las compras se comen el flujo: ≈13.000 M comprometidos en 2025 frente a 6.337 M de flujo libre [2].</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muy ajustadas: el BPA ajustado (22,87 USD en 2025) supera al GAAP (17,74 USD) en un 29 %, sobre todo por la amortización de intangibles comprados, que se repite cada año porque la empresa compra cada año [2]. Por eso usamos el GAAP en el DCF y el ajustado solo para comparar el PER con la historia y con el mercado. El Altman Z (3,28) está en zona segura; el Piotroski F (4) es medio por la caída del margen y el aumento de la deuda; el Beneish M (−2,47) no señala manipulación. Faltan el coste de ventas, los impuestos y el activo corriente por año, así que los tres indicadores son aproximados.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de BPA ajustado sobre GAAP del 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intangibles y costes de compras recurrentes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49.362 M, el 45 %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conocidos, pero el ROIC de las compras baja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-19,8 % · </w:t>
      </w:r>
      <w:r>
        <w:rPr>
          <w:b/>
          <w:bCs/>
        </w:rPr>
        <w:t xml:space="preserve">WACC</w:t>
      </w:r>
      <w:r>
        <w:t xml:space="preserve">: 9,1 %.</w:t>
      </w:r>
    </w:p>
    <w:p>
      <w:pPr>
        <w:spacing w:after="100"/>
      </w:pPr>
      <w:r>
        <w:t xml:space="preserve">Thermo Fisher no crea valor sobre el capital total: el ROIC del motor (NOPAT entre capital invertido con fondo de comercio) fue del 10,5 % en 2021, del 8,9 % en 2022 y del 7,3 % en 2023-2025, frente a un WACC del 9,10 % (−1,8 puntos) [5, 7]. La caída la explica el margen (fin de la covid) y el capital comprado (PPD, Olink, Solventum): el ROIC incremental de 2021-25 es negativo. Sin fondo de comercio el negocio rinde mucho más (Ciencias de la vida gana un 36 % sobre ventas) [1], así que el problema es el precio pagado por las compras, no el negocio. IQVIA (9,8 %) y Charles River (8,6 %) están en niveles parecidos [34].</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≈4.100 M a junio de 2026 (implícita en Stock Analysis: deuda 42.549 M y deuda neta 38.485 M) y línea de crédito no dispuesta de 5.000 M [7, 9]; más 1.025 M netos de la venta de microbiología cobrados en agosto [14].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Clario lleva 125 M de pago aplazado en enero de 2027 y hasta 400 M de pagos variables según sus resultados de 2026 y 2027 [15]; el puente suma 325 M por ellos y resta los ≈1.025 M cobrados por la microbiología en agosto [14]. Los arrendamientos operativos no van a la deuda (US GAAP). No se han podido leer las notas de pensiones, litigios ni covenants.</w:t>
      </w:r>
    </w:p>
    <w:p>
      <w:pPr>
        <w:pStyle w:val="Heading1"/>
      </w:pPr>
      <w:r>
        <w:t xml:space="preserve">12. Asignación de capital</w:t>
      </w:r>
    </w:p>
    <w:p>
      <w:pPr>
        <w:pStyle w:val="Confianza"/>
        <w:spacing w:after="100"/>
      </w:pPr>
      <w:r>
        <w:t xml:space="preserve">Confianza: Media</w:t>
      </w:r>
    </w:p>
    <w:p>
      <w:pPr>
        <w:spacing w:after="100"/>
      </w:pPr>
      <w:r>
        <w:t xml:space="preserve">La empresa reparte su caja entre compras, recompras y un dividendo pequeño: en 2025 desplegó 16.500 M, de los que 13.000 M fueron compras y 3.600 M recompras y dividendos [2]. El dividendo trimestral subió de 0,43 a 0,47 USD en 2026 (0,3 % de rentabilidad) [24]. En el 2T26 recompró 1.000 M a cuenta de la venta de microbiología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 (CRO clínica)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Laboratorio y servicios biofarmacéuticos; el negocio clínico sufrió con la caída de la financiación biotecnológica en 2023-24.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 (proteómica)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Impulsó Ciencias genéticas (+82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a bioproducción, que creció 548 M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Clario (datos digitales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emitidos en 2026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24-mar-2026; ≈900 M de ingresos y 0,32 USD de BPA previstos en 2026 [12, 15].</w:t>
            </w:r>
          </w:p>
        </w:tc>
      </w:tr>
    </w:tbl>
    <w:p>
      <w:pPr>
        <w:spacing w:after="160" w:before="0"/>
      </w:pPr>
    </w:p>
    <w:p>
      <w:pPr>
        <w:spacing w:after="100"/>
      </w:pPr>
      <w:r>
        <w:t xml:space="preserve">Casper es un comprador disciplinado en la integración, pero el rendimiento de lo comprado cae: el ROIC del motor pasó del 10,5 % de 2021 al 7,3 % de 2025, por debajo del WACC del 9,10 %, y el ROIC incremental de 2021-25 es negativo porque el beneficio bajó tras la covid mientras el capital crecía [5, 7]. Las recompras (≈15.000 M en cinco años) redujeron las acciones de 397 a 379 M, un 1 % al año [5]. La venta de microbiología a 1,7 veces ventas para recomprar acciones muestra que la dirección sabe podar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N. Casper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2009 y presidente desde 2020. Con él los ingresos pasaron de ≈10.000 M a 44.556 M USD en 2025, sobre todo por compras [A2]. En mayo de 2025 el consejo le concedió un premio de retención ligado a resultados para que siga al menos hasta mayo de 2030 [21,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Jim Meyer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Presentó como director financiero los resultados del 2T26 y la subida de la guía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24,22-24,80 USD (enero), 24,64-25,12 (abril), 24,93-25,33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2T26 0,30 USD por encima de su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22,22-22,86 USD (guía de octubre de 2025, de memoria)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22,87 USD [23]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Casper lleva 17 años al frente, cumplió la guía de BPA de 2025 (22,87 USD, en la parte alta) y en 2026 la ha subido dos veces [2, 4]. El premio de retención de mayo de 2025 le ata hasta 2030 y despeja la sucesión a corto plazo, pero a un precio alto [21, 22]. El director financiero es nuevo en el cargo [12]. No hemos podido leer el historial completo de la guía de 2021-2024.</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N. Casper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73,70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Casper fue de 79,9 M USD en 2025 frente a 30,4 M en 2024: 65,7 M en acciones, 8,0 M en opciones, 3,7 M de variable anual y 0,7 M de otros [21]. El salto es un premio de retención ligado a resultados para que siga hasta 2030, cuyas condiciones no se cumplían a final de 2025 [22]. La empresa publicó material adicional para pedir el voto a favor en la junta de 2026, señal de que algún asesor de voto lo cuestionó [22]. No hemos encontrado el porcentaje de voto.</w:t>
      </w:r>
    </w:p>
    <w:p>
      <w:pPr>
        <w:pStyle w:val="Heading2"/>
      </w:pPr>
      <w:r>
        <w:t xml:space="preserve">Operaciones vinculadas, estructura de control y defensas</w:t>
      </w:r>
    </w:p>
    <w:p>
      <w:pPr>
        <w:spacing w:after="100"/>
      </w:pPr>
      <w:r>
        <w:t xml:space="preserve">Capital disperso, sin accionista de control ni clases de acciones; una acción, un voto. El presidente es también consejero delegado, con un consejero coordinador independiente (no hemos podido comprobar su nombre). No se conocen operaciones vinculadas relevantes ni blindajes; los grandes gestores pasivos son los primeros accionistas, sin cifra comprobada [21].</w:t>
      </w:r>
    </w:p>
    <w:p>
      <w:pPr>
        <w:pStyle w:val="Heading2"/>
      </w:pPr>
      <w:r>
        <w:t xml:space="preserve">Señales de alerta</w:t>
      </w:r>
    </w:p>
    <w:p>
      <w:pPr>
        <w:pStyle w:val="ListParagraph"/>
        <w:numPr>
          <w:ilvl w:val="0"/>
          <w:numId w:val="2"/>
        </w:numPr>
        <w:spacing w:after="60"/>
      </w:pPr>
      <w:r>
        <w:t xml:space="preserve">Remuneración del consejero delegado de 79,9 M USD en 2025 por un premio de retención; la empresa tuvo que hacer campaña por el voto de remuneración en 2026 [21, 22].</w:t>
      </w:r>
    </w:p>
    <w:p>
      <w:pPr>
        <w:pStyle w:val="ListParagraph"/>
        <w:numPr>
          <w:ilvl w:val="0"/>
          <w:numId w:val="2"/>
        </w:numPr>
        <w:spacing w:after="60"/>
      </w:pPr>
      <w:r>
        <w:t xml:space="preserve">Presidente y consejero delegado en la misma persona desde 2020.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(23-jul-2026): ingresos de 47.400-48.100 M y BPA ajustado de 24,93-25,33 USD, tras subirla en abril (24,64-25,12) desde la de enero (24,22-24,80) [4, 19, 39]. Incluye Clario (≈900 M de ingresos y 0,32 USD de BPA) y resta la microbiología vendida (≈200 M de ingresos en 2026; 0,15 USD de dilución el primer año completo) [12, 14]. En enero la empresa pedía 1.800-2.000 M de capex y 6.800-7.300 M de flujo libre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 Erste (BPA ajustado); ingresos = punto medio de la guía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vía MarketBeat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750,00</w:t>
            </w:r>
          </w:p>
        </w:tc>
      </w:tr>
    </w:tbl>
    <w:p>
      <w:pPr>
        <w:spacing w:after="160" w:before="0"/>
      </w:pPr>
    </w:p>
    <w:p>
      <w:pPr>
        <w:pStyle w:val="Heading2"/>
      </w:pPr>
      <w:r>
        <w:t xml:space="preserve">Revisiones de estimaciones</w:t>
      </w:r>
    </w:p>
    <w:p>
      <w:pPr>
        <w:spacing w:after="100"/>
      </w:pPr>
      <w:r>
        <w:t xml:space="preserve">Al alza: Erste subió el BPA de 2026 de 24,85 a 25,12 USD tras el 2T26 y J. P. Morgan el objetivo de 600 a 690 USD [25, 26]. El objetivo medio pasó de 596 USD en junio a 617-635 USD en agosto [25, 27, 39]. Solo tenemos una fuente con BPA de 2027e (27,43 USD), sin consenso de 2028e. Las cifras son de agosto: el consenso de octubre puede estar más arriba tras la subida de la acción.</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cayó a 435,27 USD en mayo, tras el 1T26 (−9 % en un día por una guía trimestral floja) y con el sector castigado por los recortes de la financiación pública y biotecnológica [24, 43]. Desde entonces ha subido un 52 % hasta 663,04 USD: +9 % el día del 2T26, 629,27 USD el 21 de agosto y 655,83 USD el 17 de septiembre, cerca del máximo de 52 semanas (694,33 USD) [24, 38]. No tenemos rentabilidades totales ni beta publicadas (hueco).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ajustado, Thermo Fisher ha cotizado entre 23,6x y 25,3x en los años limpios, salvo 2019 (30,4x), con tipos de interés bajos [28, 29]. Hoy paga ≈26,4x el BPA de 2026e de consenso (25,12 USD), algo por encima de la mediana de cinco años (24,6x) aunque el bono a 10 años está en el 5,22 % frente al 2-4 % de esos años [26, 36]. El PER no ha bajado con los tipos: el mercado sigue pagando la calidad.</w:t>
      </w:r>
    </w:p>
    <w:p>
      <w:pPr>
        <w:pStyle w:val="Heading1"/>
      </w:pPr>
      <w:r>
        <w:t xml:space="preserve">18. Comparables cotizados</w:t>
      </w:r>
    </w:p>
    <w:p>
      <w:pPr>
        <w:pStyle w:val="Confianza"/>
        <w:spacing w:after="100"/>
      </w:pPr>
      <w:r>
        <w:t xml:space="preserve">Confianza: Baja</w:t>
      </w:r>
    </w:p>
    <w:p>
      <w:pPr>
        <w:spacing w:after="100"/>
      </w:pPr>
      <w:r>
        <w:t xml:space="preserve">Herramientas de ciencias de la vida (Danaher, Agilent, Waters, Mettler-Toledo, Qiagen) y servicios de desarrollo de fármacos (IQVIA, Charles River), porque la mitad de las ventas de Thermo Fisher es Laboratorio y servicios biofarmacéuticos [1]. Faltan Sartorius y Merck KGaA (sin datos a la fecha). DHR, A, WAT y MTD solo tienen PER adelantado, con fechas distintas (MTD y WAT de abril-mayo); IQV, CRL y QGEN vienen de los análisis de Medpace y bioMérieux del 8-oct [30, 31, 32, 33, 34,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14,5x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 / 23,3x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Thermo Fisher cotiza a 24,6x el PER de los próximos 12 meses, por encima de la mediana de los comparables (23,3x) y en línea con Danaher (24,4x) [30]. La prima frente a los de servicios (IQVIA, 18,5x) se explica por el peso de los consumibles; la de Mettler-Toledo (30,0x) muestra que el mercado paga más por márgenes más altos. El PER de los comparables da un valor de 627,62 USD por acción; el EV/EBITDA de los últimos 12 meses, mucho menos, porque nuestro EBITDA es GAAP y el de los comparables, ajustado.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previstas de ≈900 M en 2026 [A12]; más hasta 525 M de pagos aplazados y variables [A15].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Filtración y purificación de Solventum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≈1.000 M (de memoria): ≈4x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sobre cotizada; proteómica de alto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PPD ≈4.700 M en 2021 (de memoria).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Microbiología de Thermo Fisher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Astorg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645 M de ingresos en 2025; negocio de menor crecimiento [17, A16].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229,52 – 732,82</w:t>
            </w:r>
          </w:p>
        </w:tc>
      </w:tr>
    </w:tbl>
    <w:p>
      <w:pPr>
        <w:spacing w:after="160" w:before="0"/>
      </w:pPr>
    </w:p>
    <w:p>
      <w:pPr>
        <w:spacing w:after="100"/>
      </w:pPr>
      <w:r>
        <w:t xml:space="preserve">Las compras del sector se pagan a 4-10 veces ventas: Clario a ≈9,9x, PPD a ≈3,7x y la filtración de Solventum a ≈4x, mientras que la microbiología se vendió a 1,7x [14, 15, 40]. No hay EV/EBITDA publicados. Thermo Fisher, con 250.000 M de capitalización, no es objetivo de una compra; las transacciones no entran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(+7,1 %, fijo) es el punto medio de la guía de julio menos la microbiología vendida [4, 14]. 2027e-2028e (+6 %) suman un orgánico del 4,5-5 %, el del 2T26 y el del sector en recuperación, y 1-1,5 puntos de Clario y la filtración de Solventum, que crecen más que el grupo [4, 12]. Después baja hasta el 3 %. Es menos que el objetivo histórico de la empresa (7 % orgánico) porque no proyectamos compras nuevas. El consenso de BPA de 2027e (27,43 USD) implica algo más [26].</w:t>
      </w:r>
    </w:p>
    <w:p>
      <w:pPr>
        <w:keepNext/>
        <w:spacing w:after="100"/>
      </w:pPr>
      <w:r>
        <w:rPr>
          <w:b/>
          <w:bCs/>
        </w:rPr>
        <w:t xml:space="preserve">Márgenes.</w:t>
      </w:r>
    </w:p>
    <w:p>
      <w:pPr>
        <w:spacing w:after="100"/>
      </w:pPr>
      <w:r>
        <w:t xml:space="preserve">El margen EBITDA GAAP sube del 23,6 % de 2025 al 24,2 % en 2026e y al 25,5 % en 2030e: medio punto al año en 2026-28, lo que promete la dirección (≈50 pb de margen operativo ajustado al año) [2, 39], y nada después. Queda muy por debajo del 32,2 % de 2021, que llevaba la covid.</w:t>
      </w:r>
    </w:p>
    <w:p>
      <w:pPr>
        <w:keepNext/>
        <w:spacing w:after="100"/>
      </w:pPr>
      <w:r>
        <w:rPr>
          <w:b/>
          <w:bCs/>
        </w:rPr>
        <w:t xml:space="preserve">Inversión y circulante.</w:t>
      </w:r>
    </w:p>
    <w:p>
      <w:pPr>
        <w:spacing w:after="100"/>
      </w:pPr>
      <w:r>
        <w:t xml:space="preserve">Capex del 4 % de las ventas en 2026e (guía de 1.800-2.000 M) y del 3,5 % después, por encima del ≈3,4 % de 2025 [10, 11]. La amortización baja del 6,3 % al 3,6 % porque dos tercios son intangibles de compras que se agotan; en el último año igualamos capex y amortización. Circulante del 24 % de las ventas, el de 2025 [7].</w:t>
      </w:r>
    </w:p>
    <w:p>
      <w:pPr>
        <w:keepNext/>
        <w:spacing w:after="100"/>
      </w:pPr>
      <w:r>
        <w:rPr>
          <w:b/>
          <w:bCs/>
        </w:rPr>
        <w:t xml:space="preserve">Coste del capital.</w:t>
      </w:r>
    </w:p>
    <w:p>
      <w:pPr>
        <w:spacing w:after="100"/>
      </w:pPr>
      <w:r>
        <w:t xml:space="preserve">Tasa libre del 5,22 % (bono a 10 años de EE. UU. del 13-oct) [36], beta de 0,85 (negocio defensivo de salud; no hay beta publicada a la fecha, hueco), prima del 5,5 %: coste del capital del 9,9 %. Deuda al 5,2 % antes de impuestos (coste de los bonos nuevos; el medio es menor), tipo del 12 % y un 15 % de deuda a valor de mercado: WACC del 9,10 %. Con la prima implícita del mercado (4,2 %) el WACC sería del 8,2 % [37].</w:t>
      </w:r>
    </w:p>
    <w:p>
      <w:pPr>
        <w:keepNext/>
        <w:spacing w:after="100"/>
      </w:pPr>
      <w:r>
        <w:rPr>
          <w:b/>
          <w:bCs/>
        </w:rPr>
        <w:t xml:space="preserve">Valor terminal.</w:t>
      </w:r>
    </w:p>
    <w:p>
      <w:pPr>
        <w:spacing w:after="100"/>
      </w:pPr>
      <w:r>
        <w:t xml:space="preserve">Gordon con un 3 % de crecimiento: inflación de EE. UU. de ≈2,5 % y algo de crecimiento real, por debajo de la tasa libre menos medio punto. Un 3 % es exigente para una empresa ya madura, pero el sector crece con el gasto en salud. El múltiplo de salida de referencia (20x EBITDA) es inferior al actual (26,1x).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M (-0 % del NOPAT)</w:t>
            </w:r>
          </w:p>
        </w:tc>
      </w:tr>
    </w:tbl>
    <w:p>
      <w:pPr>
        <w:spacing w:after="160" w:before="0"/>
      </w:pPr>
    </w:p>
    <w:p>
      <w:pPr>
        <w:spacing w:after="100"/>
      </w:pPr>
      <w:r>
        <w:t xml:space="preserve">La proyección apenas necesita inversión neta de la amortización (reinversión acumulada de -323 M, con un capex bruto medio del 3,6 %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(orgánico del 1-5 % en el primer semestre), precio del 1,5 % y 3,1 puntos de compras netas: Clario desde el 24 de marzo y la filtración de Solventum, menos la microbiología desde agosto [3, 4,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(3 de volumen y 1,5 de precio) y 1,5 puntos del trimestre de Clario que falta y de su crecimiento por encima del grupo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con la biotecnología normalizada; 1 punto de mezcla hacia bioproducción y datos clínicos, que crecen más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4,5 % y 1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4 % y 1 punto de mezcla.</w:t>
            </w:r>
          </w:p>
        </w:tc>
      </w:tr>
    </w:tbl>
    <w:p>
      <w:pPr>
        <w:spacing w:after="160" w:before="0"/>
      </w:pPr>
    </w:p>
    <w:p>
      <w:pPr>
        <w:spacing w:after="100"/>
      </w:pPr>
      <w:r>
        <w:t xml:space="preserve">Sí, con matices. La reinversión neta de la proyección es casi nula (capex del 3,6 % de las ventas y amortización que baja), así que el motor no puede hacer la prueba del crecimiento financiable y la hacemos a mano: el crecimiento orgánico proyectado (4-5 %) es el del mercado y el de la propia empresa en 2T26, sin ganar cuota, con un precio del 1,5 % por debajo de la inflación y un capex por encima del de 2025 [4, 11]. El crecimiento por compras ya está pagado (Clario, Solventum) y no proyectamos compras nuevas. El matiz es el rendimiento: el ROIC (7,3 % en 2025) está por debajo del WACC (9,10 %) porque el capital lleva 49.362 M de fondo de comercio; crecer comprando no crea valor a estos precios.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9,1 %)</w:t>
            </w:r>
          </w:p>
        </w:tc>
      </w:tr>
    </w:tbl>
    <w:p>
      <w:pPr>
        <w:spacing w:after="160" w:before="0"/>
      </w:pPr>
    </w:p>
    <w:p>
      <w:pPr>
        <w:spacing w:after="100"/>
      </w:pPr>
      <w:r>
        <w:t xml:space="preserve">El DCF da 345,74 USD por acción, un 47,9 % por debajo del precio de 663,04 USD, con un WACC del 9,10 % y un valor terminal del 59 % del total. Con la prima implícita del mercado (WACC del 8,2 %) sube a 426,87 USD, aún un 36 % por debajo. El DCF inverso es la clave: el precio descuenta un crecimiento de los ingresos del 13,9 % anual de 2027e a 2035e frente al 4,5 % de nuestro caso base, o un margen EBITDA del 40,5 % frente al 25,5 %; dicho de otra forma, a 663,04 USD el comprador obtiene un 6,6 % anual, menos que el 9,10 % de WACC y que el 8,2 % que pide el mercado. Es exigente: el precio solo cuadra si la empresa vuelve a crecer comprando con éxito durante años, algo que hizo en 2010-2021 pero que hoy, con el ROIC por debajo del WACC, no está demostrado.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 la biotecnología se frena y la academia sigue a la baja: el orgánico se queda en el 2 % de 2025 y la presión de precios y de mezcla quita un punto de margen. Le pasó a la propia empresa en 2023-24 [5].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estabiliza en el 4,5-5 %, Clario aporta lo previsto y el margen gana medio punto al año hasta 2028e [4, 12].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biotecnología vuelve a financiarse con fuerza y la bioproducción de biológicos acelera: orgánico del 6-7 %, como el objetivo histórico de la empresa, y medio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337,68 USD (-49,1 %).</w:t>
      </w:r>
    </w:p>
    <w:p>
      <w:pPr>
        <w:spacing w:after="100"/>
      </w:pPr>
      <w:r>
        <w:t xml:space="preserve">El DCF da 261,89 USD en el bajista (−60,5 %), 345,74 en el base y 397,35 en el alcista (−40,1 %): todos por debajo del precio, porque el problema no es el escenario sino la tasa de descuento con el bono al 5,22 %. La asimetría del DCF (−0,66x) no sirve para decidir. La del objetivo a 12 meses sí: 765,07 USD en el alcista (+15,7 %) frente a 628,05 en el bajista (−5,0 %), una asimetría de 2,92x, porque el PER de Thermo Fisher apenas se ha movido entre 23,6x y 25,3x en los años limpios.</w:t>
      </w:r>
    </w:p>
    <w:p>
      <w:pPr>
        <w:pStyle w:val="Heading1"/>
      </w:pPr>
      <w:r>
        <w:t xml:space="preserve">22. Suma de partes</w:t>
      </w:r>
    </w:p>
    <w:p>
      <w:pPr>
        <w:pStyle w:val="Confianza"/>
        <w:spacing w:after="100"/>
      </w:pPr>
      <w:r>
        <w:t xml:space="preserve">Confianza: Baja</w:t>
      </w:r>
    </w:p>
    <w:p>
      <w:pPr>
        <w:spacing w:after="100"/>
      </w:pPr>
      <w:r>
        <w:t xml:space="preserve">No aplica: solo hemos podido obtener el resultado de Ciencias de la vida (3.768 M en 2025); sin el de los otros tres segmentos la suma de partes sería un ejercicio de supuestos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66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456,88 USD (-31,1 % sobre 663,04).</w:t>
      </w:r>
    </w:p>
    <w:p>
      <w:pPr>
        <w:spacing w:after="100"/>
      </w:pPr>
      <w:r>
        <w:t xml:space="preserve">El DCF pesa un 40 %, los comparables un 40 % y los escenarios un 20 %. El valor objetivo de largo plazo es de 456,88 USD, un 31,1 % por debajo del precio: el DCF y los escenarios (262-397 USD) quedan muy por debajo y el PER de los comparables (627,62 USD) cerca. La dispersión no es de cifras sino de tasa de descuento: con un bono al 5,22 %, un negocio que crece un 5 % y rinde un 7,3 % sobre el capital no vale 26 veces beneficios en un DCF, pero el mercado lleva años pagándolo. Por eso la decisión la toma el objetivo a 12 meses, con el PER propio de la empresa, y el valor intrínseco es una advertencia de que la acción no tiene margen de seguridad.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(24.9x) × 1.1 (tope: la mediana de 5 años, 33.9x,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r>
    </w:tbl>
    <w:p>
      <w:pPr>
        <w:spacing w:after="160" w:before="0"/>
      </w:pPr>
    </w:p>
    <w:p>
      <w:pPr>
        <w:spacing w:after="100"/>
      </w:pPr>
      <w:r>
        <w:rPr>
          <w:b/>
          <w:bCs/>
        </w:rPr>
        <w:t xml:space="preserve">Objetivo a 12 meses (ponderado):</w:t>
      </w:r>
      <w:r>
        <w:t xml:space="preserve"> 797,63 USD · rentabilidad +20,6 % (base +19,5 %) · señal Mantener.</w:t>
      </w:r>
    </w:p>
    <w:p>
      <w:pPr>
        <w:spacing w:after="100"/>
      </w:pPr>
      <w:r>
        <w:t xml:space="preserve">Para comparar, con la regla v2 (historia al cierre, mismo precio): 23,7x / 24,6x / 25,2x, 6,3 % Mantener; con el tope anterior del base (×1,3, 14-oct mediodía): 25,6 % Mantener. Decide la regla vigente (v3 con tope ×1,1; METODO-VIGENTE.md).</w:t>
      </w:r>
    </w:p>
    <w:p>
      <w:pPr>
        <w:keepNext/>
        <w:spacing w:after="100"/>
      </w:pPr>
      <w:r>
        <w:rPr>
          <w:b/>
          <w:bCs/>
        </w:rPr>
        <w:t xml:space="preserve">Frente al consenso (solo contraste).</w:t>
      </w:r>
    </w:p>
    <w:p>
      <w:pPr>
        <w:spacing w:after="100"/>
      </w:pPr>
      <w:r>
        <w:t xml:space="preserve">Nuestro precio base (709,71 USD) queda un 11,8 % por encima del objetivo medio de los analistas (635,08 USD, de agosto; 26 analistas, máximo 750) [25]. El BPA no explica la diferencia: nuestro 2027e (26,65 USD) queda un 3 % por debajo de Erste (27,43 USD), porque no contamos recompras no anunciadas [26]. La explica la fecha: los objetivos son de agosto, con la acción en 570-630 USD, y el nuestro aplica un PER de 24,6x al BPA de 2028e, un año más. Es probable que los objetivos suban tras el 3T26.</w:t>
      </w:r>
    </w:p>
    <w:p>
      <w:pPr>
        <w:keepNext/>
        <w:spacing w:after="100"/>
      </w:pPr>
      <w:r>
        <w:rPr>
          <w:b/>
          <w:bCs/>
        </w:rPr>
        <w:t xml:space="preserve">Del valor intrínseco al objetivo a 12 meses.</w:t>
      </w:r>
    </w:p>
    <w:p>
      <w:pPr>
        <w:spacing w:after="100"/>
      </w:pPr>
      <w:r>
        <w:t xml:space="preserve">El objetivo a 12 meses (703,14 USD) queda un 54 % por encima del valor intrínseco (456,88 USD). La distancia no se cierra con un catalizador: refleja que el mercado paga por Thermo Fisher un PER estable de 24-25x con independencia de los tipos de interés, y el DCF con el bono al 5,22 % no. Si el mercado algún día valorase la empresa por su flujo de caja (rentabilidad del 2,5 %), la acción tendría poco suelo. Por eso la tesis es de mantener, no de comprar: la rentabilidad a 12 meses (6,3 %) es la del beneficio, no la de un múltiplo barato.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orgánico del 5 % del 2T26 se sostiene; la comparativa es de 11.122 M y 5,79 USD de BPA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con los resultados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≈27,4 USD de BPA [26]; una guía por debajo de 27 USD pesaría.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aplazado de Clario (125 M) y medición de los pagos variables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Clario cumple su plan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los NIH para el año fiscal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Academia y Gobiernos pesan en Instrumentos analíticos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recompras con la caja de la microbiología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se hizo 1.000 M en el 2T26 [13]; cada 1.000 M sube el BPA ≈0,4 %.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financiación biotecnológica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a 12 meses (bajista: 628,05 USD con un PER de 23,7x)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por debajo del 3 %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PER si el bono sigue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hasta el valor intrínseco (456,88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ha resistido la subida de tipos de 2022-26.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22x en el sector.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bajo de las compras (Clario a ≈9,9x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2 % menos de BPA y medio punto menos de PER)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de Casper.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variables de Clario por debajo del máximo; deterioros.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los NIH y de la financiación académica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(Instrumentos analíticos es el 16 %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de la academia.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analíticos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exposición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recortada por aranceles.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y dependencia de Casper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Premio de retención hasta 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remuneración por debajo del 70 %.</w:t>
            </w:r>
          </w:p>
        </w:tc>
      </w:tr>
    </w:tbl>
    <w:p>
      <w:pPr>
        <w:spacing w:after="160" w:before="0"/>
      </w:pPr>
    </w:p>
    <w:p>
      <w:pPr>
        <w:pStyle w:val="Heading2"/>
      </w:pPr>
      <w:r>
        <w:t xml:space="preserve">Pre-mortem</w:t>
      </w:r>
    </w:p>
    <w:p>
      <w:pPr>
        <w:spacing w:after="100"/>
      </w:pPr>
      <w:r>
        <w:t xml:space="preserve">Octubre de 2029: la acción ha perdido un 40 % y cotiza a ≈400 USD. El 3T26 confirmó la recuperación y la acción tocó 750 USD a principios de 2027, pero el orgánico de 2027 se quedó en el 3 %: la biotecnología volvió a cerrar el grifo cuando los tipos siguieron por encima del 5 %, la academia no se recuperó y la bioproducción digirió inventarios otra vez. Thermo Fisher hizo lo de siempre, comprar, y pagó otra empresa de datos clínicos a 8 veces ventas con deuda. El BPA de 2028 quedó en 26 USD en vez de 29 y el mercado, que ya no pagaba la calidad con el bono al 5 %, bajó el PER a 16x, el de IQVIA. El indicador que lo habría anticipado: el orgánico trimestral por debajo del 3 % y la deuda neta por encima de 3,5 veces el EBITDA tras una compra nueva.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y calidad de productos validados ante el regulador (bioproducción, diagnóstico), la exposición a China y a los aranceles, y la remuneración del primer ejecutivo. No hemos podido leer el informe de sostenibilidad (hueco).</w:t>
      </w:r>
    </w:p>
    <w:p>
      <w:pPr>
        <w:pStyle w:val="Heading2"/>
      </w:pPr>
      <w:r>
        <w:t xml:space="preserve">Controversias</w:t>
      </w:r>
    </w:p>
    <w:p>
      <w:pPr>
        <w:spacing w:after="100"/>
      </w:pPr>
      <w:r>
        <w:t xml:space="preserve">La remuneración de 79,9 M USD de 2025 obligó a la empresa a hacer campaña por el voto en la junta de 2026 [21, 22]. No hemos encontrado sanciones relevantes en los últimos tres años con la búsqueda disponible.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5 % orgánico del 2T26 es recuperación de inventarios de bioproducción y cuánto demanda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4,5-5 % de nuestro base o al 2 %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y margen tiene Clario en 2026 y qué parte de los 400 M variables espera pagar?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a ≈9,9 veces ventas; su rendimiento fija el ROIC de los próximos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una compra y cuál es el de PPD frente a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grupo (7,3 %)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mantiene la mejora de 50 pb al año del margen operativo ajustado en 2027-28?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medio punto de BPA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Academia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academia y Gobiernos en las ventas y cuánto han caído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los recortes de los NIH.</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voto obtuvo la remuneración en la junta de 2026 y qué condiciones tiene el premio de retención?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 de gobierno sin cifra comprobada.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modelos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45 % desde el mínimo de mayo, se preguntan si es tarde para comprar: el negocio mejora, pero el múltiplo ya recoge la recuperación [20,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la comunidad marca sentimiento neutro tras el salto del 9 % del 2T26; poco debate de fondo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leída sitúa la acción cerca de su valor razonable tras el lanzamiento de su plataforma digital de CMC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(comunidad alemana)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Califican la subida de «rally de manual» y la ponen entre sus mejores ideas del año, aunque «en ebullición»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Yahoo Finance (Cramer, televisión)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caída del 9 % del 1T26, defendía comprar porque el mercado había leído mal una guía trimestral floja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la financiación biotecnológica y farmacéutica?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pasó del 1 % en el 1T26 al 5 % en el 2T26 [A3, A4]; aún es un solo trimestre.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la financiación pública (NIH) y academia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analíticos solo creció un 1,2 % en 2025 (7.554 M frente a 7.463 M)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rally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663 USD, ≈26x el BPA ajustado de 2026e (25,12 USD de consenso), por encima de la mediana de 24,6x de 2022-2025.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deuda (Clario)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de 42.549 M a junio de 2026 [A7, A9]; ≈3,5x el EBITDA.</w:t>
            </w:r>
          </w:p>
        </w:tc>
      </w:tr>
    </w:tbl>
    <w:p>
      <w:pPr>
        <w:spacing w:after="160" w:before="0"/>
      </w:pPr>
    </w:p>
    <w:p>
      <w:pPr>
        <w:spacing w:after="100"/>
      </w:pPr>
      <w:r>
        <w:t xml:space="preserve">El sentimiento ha pasado de la capitulación de mayo (acción en 435 USD, «el sector está roto») a un optimismo prudente: la mayoría ve la recuperación pero duda de pagar 26x tras un 52 % de subida [20, 45, 46]. No es euforia y coincide con el consenso de analistas (21 de 26 en comprar) [25]. Lo que aporta es el riesgo de tiempo: el rally descuenta que el 5 % orgánico del 2T26 se repite; un 3T26 (21 de octubre) por debajo castigaría la acción como en abril [43]. No hay hilos de Reddit recientes con debate: Thermo Fisher es un valor institucional, poco comentado por particulares [42, 47].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50 (11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24,0 % real: genera una variación de circulante de 750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24,5 %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16,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impuestos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en sec.gov: sin red; 2) Stock Analysis y TipRanks vía búsqueda: solo ingresos, EBIT y beneficio; 3) Macrotrends vía búsqueda: solo beneficio neto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intangibles, inmovilizado, reservas, vencimientos,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vía búsqueda: no aparecen esas líneas; 3) folleto 424B5 de 2026: solo el título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netas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red; 2) Stock Analysis: no aparece; 3) comunicados: solo el total de 2025 (≈13.000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 y resultado de tres de los cuatro segmentos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(tabla cortada); 2) informe anual 2025 en la web de la empresa: no abre; 3) prensa: solo pesos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herramientas de ciencias de la vida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la empresa (cifra del mercado servido): sin red; 2) informes sectoriales vía búsqueda: no se buscaron por el cupo compartido; 3) estimaciones de analistas en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el ciclo en el texto de propio)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Danaher, Agilent, Waters: sin red; 2) búsqueda: solo capitalización y PER; 3) informe de Medpace del repo: solo la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 de la remuneración,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en sec.gov: sin red (solo la tabla de remuneración en el extracto); 2) form4.mjs: sin red; 3) búsqueda del voto de 2025 y del consejero coordinador: no aparece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deja el consejo con el presidente y los booleanos comprobables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Yahoo/WebFetch: bloqueado; 3) búsqueda: solo precio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beta de 0,85 por juicio (empresa defensiva de salud),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márgenes y ROIC de DHR, A, WAT y MTD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con WebFetch (bloqueado); 2) Stock Analysis y FinanceCharts vía búsqueda: solo PER; 3) análisis del repo: no los tienen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PER; el resto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lo publican; 2) prensa sectorial: sin cifra; 3) folletos: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EV/ventas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y comentarios de Seeking Alpha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 solo un espejo de 2022 [47]; 2) Seeking Alpha: solo noticias automáticas; 3) Stocktwits: solo el indicador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blogs de inversores y comunidades alternativas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Form 10-K del ejercicio 2025 (segmentos, flujo de caja libre 6.337 M frente a 7.324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 Reports Fourth Quarter and Full Year 2025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https://www.sec.gov/Archives/edgar/data/97745/000009774526000012/q42025earnings8kex99_1.htm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Reports First Quarter 2026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https://www.sec.gov/Archives/edgar/data/0000097745/000009774526000086/q12026earnings8kex99_1.htm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Reports Second Quarter 2026 Results (8-K, anexo 99.1).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https://www.sec.gov/Archives/edgar/data/0000097745/000009774526000138/q22026earnings8kex99_1.htm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cuenta de resultados anual 2021-2025 y LTM jun-26 (ingresos, resultado de explotación, beneficio neto).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estado de flujos anual (amortizaciones 2021-2025).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balance anual 2021-2025 (caja, clientes, existencias, fondo de comercio, activo, proveedores, deuda, pasivo).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https://stockanalysis.com/stocks/tmo/financials/balance-sheet/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estados financieros 2021-2025 (patrimonio atribuido).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Bullfincher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https://bullfincher.io/companies/thermo-fisher-scientific/financial-statements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Q2 Earnings: Operational Efficiency Meets Aggressive M&amp;A (deuda 42.600 M a junio de 2026; gasto neto por intereses 314 M en el trimestre; línea de crédito de 5.000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Panabee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https://www.panabee.com/news/thermo-fisher-scientific-earnings-q2-2026-report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Q4 2025 earnings call highlights (guía 2026: capex 1.800-2.000 M, flujo libre 6.800-7.300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https://www.marketbeat.com/instant-alerts/thermo-fisher-scientific-q4-earnings-call-highlights-2026-01-30/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flujo de caja anual (flujo operativo ≈7.800 M y capex ≈1.500 M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https://chartrow.com/quote/tmo/cash-flow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Q2 earnings call highlights (23-jul-2026).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https://www.marketbeat.com/instant-alerts/thermo-fisher-scientific-q2-earnings-call-highlights-2026-07-23/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surges as firm raises full-year guidance on strong Q2 results.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 / GenomeWeb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https://www.360dx.com/business-news/thermo-fisher-stock-surges-firm-raises-full-year-guidance-strong-q2-results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completes $1.075 billion sale of microbiology business to Astorg.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Indian Pharma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https://www.indianpharmapost.com/news/thermo-fisher-completes-1075-billion-sale-of-microbiology-business-to-astorg-21395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Breaking: Clario to be acquired by Thermo Fisher Scientific for $8.875B (125 M en enero de 2027 y hasta 400 M de pagos variables por 2026-2027).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https://octus.com/resources/articles/breaking-clario-to-be-acquired-by-thermo-fisher-scientific-for-8-875b/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10-Q del 2T26 (venta de microbiología: 645 M de ingresos en 2025, segmento de Diagnóstico especializado).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https://www.sec.gov/Archives/edgar/data/0000097745/000009774526000144/tmo-20260627.htm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Thermo Fisher Scientific, a $44.6 billion science supplier (peso de los segmentos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https://americancompanies.com/news/inside-thermo-fisher-scientific-a-446-billion-science-supplier/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Down 31% From Its 52-Week High Despite Raising Full-Year EPS Guidance (presión de los recortes de financiación pública en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https://www.tikr.com/blog/thermo-fisher-stock-down-31-from-its-52-week-high-despite-raising-full-year-eps-guidance-heres-what-happened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Scotiabank upgrades Thermo Fisher with worst case priced in; Barclays rebaja herramientas de ciencias de la vida a neutral.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TheFly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https://www.tipranks.com/news/the-fly/scotiabank-upgrades-thermo-fisher-with-worst-case-priced-in-thefly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Has Rallied 45% Off Its Lows to Near a 52-Week High (Casper en la conferencia de Morgan Stanley: mejora de la demanda en varios mercados finales).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https://www.tikr.com/blog/thermo-fisher-has-rallied-45-off-its-lows-to-near-a-52-week-high-is-it-too-late-to-buy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DEF 14A 2026 (tabla de remuneraciones: Casper 79,9 M USD en 2025 y 30,4 M en 2024).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https://www.sec.gov/Archives/edgar/data/97745/000119312526144585/d66426ddef14a1.pdf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DEFA14A (material adicional de la junta de 2026: pide el voto a favor de la remuneración; el premio de retención de 2025 no había cumplido condiciones a final de año).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https://www.sec.gov/Archives/edgar/data/0000097745/000009774526000095/additionalsolicitingmateri.htm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reports fourth quarter and full year 2025 results (guía de 2025 y resultado).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https://www.businesswire.com/news/home/20260129692126/en/Thermo-Fisher-Scientific-Reports-Fourth-Quarter-and-Full-Year-2025-Results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 cierre del 13-oct-2026 a 663,04 USD (+0,12 %); rango de 52 semanas 435,27-694,33 USD; resultados el 21-oct-2026.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MSN Money / CNN Markets / 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https://www.msn.com/en-us/money/stockdetails/tmo-us-stock/fi-a24bsm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analyst estimates and ratings (26 analistas: 20 compra fuerte, 1 compra moderada, 5 mantener; objetivo medio 635,08 USD, máximo 750).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https://www.barchart.com/story/news/3887406/thermo-fisher-scientific-stock-analyst-estimates-ratings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earnings estimate for TMO issued by Erste Group (BPA 2026e 25,12 USD, en el consenso; 2027e 27,43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https://www.marketbeat.com/instant-alerts/fy2026-earnings-estimate-for-tmo-issued-by-erste-group-bank-2026-07-30/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TMO: consenso «Moderate Buy», objetivo medio 617,14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https://www.marketbeat.com/instant-alerts/thermo-fisher-scientific-nysetmo-upgraded-at-wall-street-zen-2026-08-01/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precio mensual (diciembre de 2025: 579,45 USD; diciembre de 2024: 520,23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https://www.digrin.com/stocks/detail/TMO/price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- 15 Year Stock Price History (cierres anuales 2018-2023).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https://www.macrotrends.net/stocks/charts/TMO/thermo-fisher-scientific/stock-price-history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Statistics &amp; Valuation: PER adelantado 24,37x, capitalización 151.570 M USD (7-oct-2026).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Agilent Technologies (A) PE Ratio: PER adelantado 20,58x (2-oct-2026).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https://www.financecharts.com/stocks/A/value/pe-ratio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Waters (WAT) PE Ratio: PER adelantado 23,26x (mayo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https://www.financecharts.com/stocks/WAT/value/pe-ratio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PER adelantado 30,03x (instantánea de abril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https://uk.finance.yahoo.com/quote/MTD/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IQVIA, Charles River, Labcorp y Thermo Fisher (MarketScreener, Yahoo y Stock Analysis a 8-oct-2026), recogidos en el análisis de Medpace del 12-oct-2026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Yahoo Finance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Qiagen (MarketScreener y Stock Analysis), recogidos en el análisis de bioMérieux del 8-oct-2026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https://stockanalysis.com/stocks/qgen/statistics/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5,22 %; FRED DGS10 5,24 % el 9-oct-2026 (tomado del análisis de Group 1 Automotive del mismo día).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Is Up 23% in a Year. Is It Too Late to Buy at $622? / rally del 45 % desde el mínimo de mayo (629,27 USD el 21-ago; 655,83 USD el 17-sep).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https://www.tikr.com/blog/thermo-fisher-is-up-23-in-a-year-is-it-too-late-to-buy-at-622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trades at $513 while Wall Street sets a $596 target (27 analistas, objetivos 490-750 USD, junio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https://www.tikr.com/blog/thermo-fisher-stock-trades-at-513-while-wall-street-sets-a-596-target-what-the-eps-ramp-reveals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completa la compra de Abcam (5.700 M USD, 2023) y otras operaciones del sector; Astorg compra la microbiología de Thermo Fisher (1.075 M USD; 645 M de ingresos).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https://finance.yahoo.com/sectors/healthcare/articles/thermo-fisher-agrees-sell-microbiology-153801098.html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 TMO a 566,63 USD y capitalización ≈214.000 M USD (31-jul-2026).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MEXC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https://www.mexc.com/stocks/tmo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página del valor y sentimiento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 Cramer on Thermo Fisher: «I Think You Can Buy It at This Level» (tras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https://finance.yahoo.com/markets/stocks/articles/jim-cramer-thermo-fisher-think-183650297.html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(TMO) Stock Trades Near Fair Value On Digital CMC Launch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https://finance.yahoo.com/markets/stocks/articles/thermo-fisher-tmo-stock-trades-111418293.html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Bilderbuch-Rallye: meines Jahres Top-Picks am Siedepunkt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 (comunidad alemana)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https://stock3.com/news/thermo-fisher-bilderbuch-rally-meines-jahres-top-picks-am-siedepunkt-17290767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falls 20% year to date despite earnings beat: here's the path to $628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https://www.tikr.com/blog/thermo-fisher-stock-falls-20-year-to-date-despite-earnings-beat-heres-the-path-to-628-by-2028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MillennialBets (Reddit), wiki del valor TMO: últimas entradas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(espejo)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https://reddit.birdcat.cafe/r/MillennialBets/wiki/index/stocks/TMO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10-Q del 1T26 (trimestre cerrado el 28-mar-2026).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https://www.sec.gov/Archives/edgar/data/0000097745/000009774526000092/tmo-20260328.htm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folleto de emisión de bonos (424B5)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https://www.sec.gov/Archives/edgar/data/97745/000114036126004305/ny20064939x1_424b5.htm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81,6 %</w:t>
      </w:r>
      <w:r>
        <w:t xml:space="preserve"> · Secciones con menos del 60 % de campos cubiertos: </w:t>
      </w:r>
      <w:r>
        <w:rPr>
          <w:b/>
          <w:bCs/>
        </w:rPr>
        <w:t xml:space="preserve">gobierno, balance, bolsa</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8-K, del 10-K, del proxy y de Stock Analysis, cruzadas cuando fue posible; la confianza es menor que en un análisis normal y lo que no cuadró está en null y en los huecos. Algunas cifras antiguas (flujo operativo y capex 2021-2024, BPA trimestrales 3T24-3T25, cierres anuales 2018-2023, patrimonio atribuido 2022-2023) se tomaron de memoria de los documentos de la empresa y cuadran con totales publicados (FCF de cada año, ingresos y BPA de 2025). Cuentas en USD con US GAAP; ejercicio natural. Precio: cierre del 13-oct-2026 (la sesión del 14 no había cerrado). Acciones: 377 M, estimación desde la capitalización publicada de julio. El EBITDA del informe es el GAAP (EBIT + amortizaciones); el BPA del objetivo a 12 meses y el PER histórico están en base ajustada (sin amortización de intangibles comprados), la que usa el mercado. Los resultados del 3T26 salen el 21-oct-2026, una semana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Thermo Fisher Scientific Inc. (TMO)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Hoja1!$B$2:$B$8</c:f>
              <c:numCache>
                <c:formatCode>#,##0</c:formatCode>
                <c:ptCount val="7"/>
                <c:pt idx="0">
                  <c:v>435.27</c:v>
                </c:pt>
                <c:pt idx="1">
                  <c:v>560.28</c:v>
                </c:pt>
                <c:pt idx="2">
                  <c:v>229.52</c:v>
                </c:pt>
                <c:pt idx="3">
                  <c:v>294.46</c:v>
                </c:pt>
                <c:pt idx="4">
                  <c:v>261.89</c:v>
                </c:pt>
                <c:pt idx="5">
                  <c:v>380.3</c:v>
                </c:pt>
                <c:pt idx="6">
                  <c:v>659.72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Hoja1!$C$2:$C$8</c:f>
              <c:numCache>
                <c:formatCode>#,##0</c:formatCode>
                <c:ptCount val="7"/>
                <c:pt idx="0">
                  <c:v>259.06000000000006</c:v>
                </c:pt>
                <c:pt idx="1">
                  <c:v>94.27999999999997</c:v>
                </c:pt>
                <c:pt idx="2">
                  <c:v>503.30000000000007</c:v>
                </c:pt>
                <c:pt idx="3">
                  <c:v>122.14000000000004</c:v>
                </c:pt>
                <c:pt idx="4">
                  <c:v>135.46000000000004</c:v>
                </c:pt>
                <c:pt idx="5">
                  <c:v>103.19</c:v>
                </c:pt>
                <c:pt idx="6">
                  <c:v>6.639999999999986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Ciencias de la vida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9631</c:v>
                </c:pt>
                <c:pt idx="1">
                  <c:v>10374</c:v>
                </c:pt>
              </c:numCache>
            </c:numRef>
          </c:val>
        </c:ser>
        <c:ser>
          <c:idx val="1"/>
          <c:order val="1"/>
          <c:tx>
            <c:strRef>
              <c:f>Hoja1!$C$1</c:f>
              <c:strCache>
                <c:ptCount val="1"/>
                <c:pt idx="0">
                  <c:v>Instrumentos analíticos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7463</c:v>
                </c:pt>
                <c:pt idx="1">
                  <c:v>7554</c:v>
                </c:pt>
              </c:numCache>
            </c:numRef>
          </c:val>
        </c:ser>
        <c:ser>
          <c:idx val="2"/>
          <c:order val="2"/>
          <c:tx>
            <c:strRef>
              <c:f>Hoja1!$D$1</c:f>
              <c:strCache>
                <c:ptCount val="1"/>
                <c:pt idx="0">
                  <c:v>Diagnóstico especializado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4512</c:v>
                </c:pt>
                <c:pt idx="1">
                  <c:v>4676</c:v>
                </c:pt>
              </c:numCache>
            </c:numRef>
          </c:val>
        </c:ser>
        <c:ser>
          <c:idx val="3"/>
          <c:order val="3"/>
          <c:tx>
            <c:strRef>
              <c:f>Hoja1!$E$1</c:f>
              <c:strCache>
                <c:ptCount val="1"/>
                <c:pt idx="0">
                  <c:v>Laboratorio y servicios biofarmacéuticos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23157</c:v>
                </c:pt>
                <c:pt idx="1">
                  <c:v>23984</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-1885</c:v>
                </c:pt>
                <c:pt idx="1">
                  <c:v>-2033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Ciencias de la vida</c:v>
                </c:pt>
                <c:pt idx="1">
                  <c:v>Instrumentos analíticos</c:v>
                </c:pt>
                <c:pt idx="2">
                  <c:v>Diagnóstico especializado</c:v>
                </c:pt>
                <c:pt idx="3">
                  <c:v>Laboratorio y servicios biofarmacéuticos</c:v>
                </c:pt>
                <c:pt idx="4">
                  <c:v>Eliminaciones</c:v>
                </c:pt>
              </c:strCache>
            </c:strRef>
          </c:cat>
          <c:val>
            <c:numRef>
              <c:f>Hoja1!$B$2:$B$6</c:f>
              <c:numCache>
                <c:formatCode>General</c:formatCode>
                <c:ptCount val="5"/>
                <c:pt idx="0">
                  <c:v>23.3</c:v>
                </c:pt>
                <c:pt idx="1">
                  <c:v>17</c:v>
                </c:pt>
                <c:pt idx="2">
                  <c:v>10.5</c:v>
                </c:pt>
                <c:pt idx="3">
                  <c:v>53.8</c:v>
                </c:pt>
                <c:pt idx="4">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Thermo Fisher</c:v>
                </c:pt>
              </c:strCache>
            </c:strRef>
          </c:cat>
          <c:val>
            <c:numRef>
              <c:f>Hoja1!$B$2</c:f>
              <c:numCache>
                <c:formatCode>0.0"%"</c:formatCode>
                <c:ptCount val="1"/>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39211</c:v>
                </c:pt>
                <c:pt idx="1">
                  <c:v>44915</c:v>
                </c:pt>
                <c:pt idx="2">
                  <c:v>42857</c:v>
                </c:pt>
                <c:pt idx="3">
                  <c:v>42879</c:v>
                </c:pt>
                <c:pt idx="4">
                  <c:v>44556</c:v>
                </c:pt>
                <c:pt idx="5">
                  <c:v>47719</c:v>
                </c:pt>
                <c:pt idx="6">
                  <c:v>50583</c:v>
                </c:pt>
                <c:pt idx="7">
                  <c:v>53618</c:v>
                </c:pt>
                <c:pt idx="8">
                  <c:v>56567</c:v>
                </c:pt>
                <c:pt idx="9">
                  <c:v>59395</c:v>
                </c:pt>
                <c:pt idx="10">
                  <c:v>62068</c:v>
                </c:pt>
                <c:pt idx="11">
                  <c:v>64550</c:v>
                </c:pt>
                <c:pt idx="12">
                  <c:v>66810</c:v>
                </c:pt>
                <c:pt idx="13">
                  <c:v>68814</c:v>
                </c:pt>
                <c:pt idx="14">
                  <c:v>70878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12620</c:v>
                </c:pt>
                <c:pt idx="1">
                  <c:v>11774</c:v>
                </c:pt>
                <c:pt idx="2">
                  <c:v>10265</c:v>
                </c:pt>
                <c:pt idx="3">
                  <c:v>10445</c:v>
                </c:pt>
                <c:pt idx="4">
                  <c:v>10526</c:v>
                </c:pt>
                <c:pt idx="5">
                  <c:v>11548</c:v>
                </c:pt>
                <c:pt idx="6">
                  <c:v>12443</c:v>
                </c:pt>
                <c:pt idx="7">
                  <c:v>13404</c:v>
                </c:pt>
                <c:pt idx="8">
                  <c:v>14311</c:v>
                </c:pt>
                <c:pt idx="9">
                  <c:v>15146</c:v>
                </c:pt>
                <c:pt idx="10">
                  <c:v>15827</c:v>
                </c:pt>
                <c:pt idx="11">
                  <c:v>16460</c:v>
                </c:pt>
                <c:pt idx="12">
                  <c:v>17036</c:v>
                </c:pt>
                <c:pt idx="13">
                  <c:v>17548</c:v>
                </c:pt>
                <c:pt idx="14">
                  <c:v>18074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32.2</c:v>
                </c:pt>
                <c:pt idx="1">
                  <c:v>26.2</c:v>
                </c:pt>
                <c:pt idx="2">
                  <c:v>24</c:v>
                </c:pt>
                <c:pt idx="3">
                  <c:v>24.4</c:v>
                </c:pt>
                <c:pt idx="4">
                  <c:v>23.6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25.6</c:v>
                </c:pt>
                <c:pt idx="1">
                  <c:v>18.7</c:v>
                </c:pt>
                <c:pt idx="2">
                  <c:v>16</c:v>
                </c:pt>
                <c:pt idx="3">
                  <c:v>17.1</c:v>
                </c:pt>
                <c:pt idx="4">
                  <c:v>17.4</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19.7</c:v>
                </c:pt>
                <c:pt idx="1">
                  <c:v>15.5</c:v>
                </c:pt>
                <c:pt idx="2">
                  <c:v>14</c:v>
                </c:pt>
                <c:pt idx="3">
                  <c:v>14.8</c:v>
                </c:pt>
                <c:pt idx="4">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0.2</c:v>
                </c:pt>
                <c:pt idx="1">
                  <c:v>4.7</c:v>
                </c:pt>
                <c:pt idx="2">
                  <c:v>0.2</c:v>
                </c:pt>
                <c:pt idx="3">
                  <c:v>3</c:v>
                </c:pt>
                <c:pt idx="4">
                  <c:v>4.9</c:v>
                </c:pt>
                <c:pt idx="5">
                  <c:v>7.2</c:v>
                </c:pt>
                <c:pt idx="6">
                  <c:v>6.2</c:v>
                </c:pt>
                <c:pt idx="7">
                  <c:v>10.5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0</c:v>
                </c:pt>
                <c:pt idx="1">
                  <c:v>4</c:v>
                </c:pt>
                <c:pt idx="2">
                  <c:v>1</c:v>
                </c:pt>
                <c:pt idx="3">
                  <c:v>3</c:v>
                </c:pt>
                <c:pt idx="4">
                  <c:v>3</c:v>
                </c:pt>
                <c:pt idx="5">
                  <c:v>3</c:v>
                </c:pt>
                <c:pt idx="6">
                  <c:v>1</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66</c:v>
                </c:pt>
                <c:pt idx="2">
                  <c:v>70</c:v>
                </c:pt>
                <c:pt idx="3">
                  <c:v>70</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6789</c:v>
                </c:pt>
                <c:pt idx="1">
                  <c:v>6911</c:v>
                </c:pt>
                <c:pt idx="2">
                  <c:v>6927</c:v>
                </c:pt>
                <c:pt idx="3">
                  <c:v>7324</c:v>
                </c:pt>
                <c:pt idx="4">
                  <c:v>6337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7725</c:v>
                </c:pt>
                <c:pt idx="1">
                  <c:v>6950</c:v>
                </c:pt>
                <c:pt idx="2">
                  <c:v>5995</c:v>
                </c:pt>
                <c:pt idx="3">
                  <c:v>6335</c:v>
                </c:pt>
                <c:pt idx="4">
                  <c:v>6721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8.9</c:v>
                </c:pt>
                <c:pt idx="2">
                  <c:v>7.2</c:v>
                </c:pt>
                <c:pt idx="3">
                  <c:v>7.3</c:v>
                </c:pt>
                <c:pt idx="4">
                  <c:v>7.3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16.4</c:v>
                </c:pt>
                <c:pt idx="2">
                  <c:v>13.2</c:v>
                </c:pt>
                <c:pt idx="3">
                  <c:v>13.2</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2.41</c:v>
                </c:pt>
                <c:pt idx="1">
                  <c:v>2.21</c:v>
                </c:pt>
                <c:pt idx="2">
                  <c:v>2.61</c:v>
                </c:pt>
                <c:pt idx="3">
                  <c:v>2.61</c:v>
                </c:pt>
                <c:pt idx="4">
                  <c:v>2.81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413</c:v>
                </c:pt>
                <c:pt idx="1">
                  <c:v>473</c:v>
                </c:pt>
                <c:pt idx="2">
                  <c:v>543</c:v>
                </c:pt>
                <c:pt idx="3">
                  <c:v>598</c:v>
                </c:pt>
                <c:pt idx="4">
                  <c:v>652</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2000</c:v>
                </c:pt>
                <c:pt idx="1">
                  <c:v>3000</c:v>
                </c:pt>
                <c:pt idx="2">
                  <c:v>3000</c:v>
                </c:pt>
                <c:pt idx="3">
                  <c:v>4000</c:v>
                </c:pt>
                <c:pt idx="4">
                  <c:v>3000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23.4</c:v>
                </c:pt>
                <c:pt idx="1">
                  <c:v>20.7</c:v>
                </c:pt>
                <c:pt idx="2">
                  <c:v>22.7</c:v>
                </c:pt>
                <c:pt idx="3">
                  <c:v>21.7</c:v>
                </c:pt>
                <c:pt idx="4">
                  <c:v>23.7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22.2</c:v>
                </c:pt>
                <c:pt idx="1">
                  <c:v>22.2</c:v>
                </c:pt>
                <c:pt idx="2">
                  <c:v>22.2</c:v>
                </c:pt>
                <c:pt idx="3">
                  <c:v>22.2</c:v>
                </c:pt>
                <c:pt idx="4">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Thermo Fisher</c:v>
                </c:pt>
                <c:pt idx="1">
                  <c:v>Danaher</c:v>
                </c:pt>
                <c:pt idx="2">
                  <c:v>Agilent</c:v>
                </c:pt>
                <c:pt idx="3">
                  <c:v>Waters</c:v>
                </c:pt>
                <c:pt idx="4">
                  <c:v>Mettler-Toledo</c:v>
                </c:pt>
                <c:pt idx="5">
                  <c:v>IQVIA</c:v>
                </c:pt>
                <c:pt idx="6">
                  <c:v>Charles River Laboratories</c:v>
                </c:pt>
                <c:pt idx="7">
                  <c:v>Qiagen</c:v>
                </c:pt>
              </c:strCache>
            </c:strRef>
          </c:cat>
          <c:val>
            <c:numRef>
              <c:f>Hoja1!$B$2:$B$9</c:f>
              <c:numCache>
                <c:formatCode>0.0"x"</c:formatCode>
                <c:ptCount val="8"/>
                <c:pt idx="5">
                  <c:v>13.4</c:v>
                </c:pt>
                <c:pt idx="6">
                  <c:v>15.9</c:v>
                </c:pt>
                <c:pt idx="7">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IQVIA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13.4</c:v>
                </c:pt>
              </c:numCache>
            </c:numRef>
          </c:yVal>
          <c:smooth val="0"/>
        </c:ser>
        <c:ser>
          <c:idx val="1"/>
          <c:order val="1"/>
          <c:tx>
            <c:strRef>
              <c:f>Hoja1!$A$3</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-0.1</c:v>
                </c:pt>
              </c:numCache>
            </c:numRef>
          </c:xVal>
          <c:yVal>
            <c:numRef>
              <c:f>Hoja1!$C$3</c:f>
              <c:numCache>
                <c:formatCode>0.0"x"</c:formatCode>
                <c:ptCount val="1"/>
                <c:pt idx="0">
                  <c:v>15.9</c:v>
                </c:pt>
              </c:numCache>
            </c:numRef>
          </c:yVal>
          <c:smooth val="0"/>
        </c:ser>
        <c:ser>
          <c:idx val="2"/>
          <c:order val="2"/>
          <c:tx>
            <c:strRef>
              <c:f>Hoja1!$A$4</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12.2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7865</c:v>
                </c:pt>
                <c:pt idx="1">
                  <c:v>8705</c:v>
                </c:pt>
                <c:pt idx="2">
                  <c:v>9498</c:v>
                </c:pt>
                <c:pt idx="3">
                  <c:v>10259</c:v>
                </c:pt>
                <c:pt idx="4">
                  <c:v>10913</c:v>
                </c:pt>
                <c:pt idx="5">
                  <c:v>11449</c:v>
                </c:pt>
                <c:pt idx="6">
                  <c:v>11955</c:v>
                </c:pt>
                <c:pt idx="7">
                  <c:v>12432</c:v>
                </c:pt>
                <c:pt idx="8">
                  <c:v>12866</c:v>
                </c:pt>
                <c:pt idx="9">
                  <c:v>13164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68518</c:v>
                </c:pt>
                <c:pt idx="1">
                  <c:v>99709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663,04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261.89</c:v>
                </c:pt>
                <c:pt idx="1">
                  <c:v>345.74</c:v>
                </c:pt>
                <c:pt idx="2">
                  <c:v>397.35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Hoja1!$B$2:$B$8</c:f>
              <c:numCache>
                <c:formatCode>#,##0</c:formatCode>
                <c:ptCount val="7"/>
                <c:pt idx="0">
                  <c:v>435.27</c:v>
                </c:pt>
                <c:pt idx="1">
                  <c:v>560.28</c:v>
                </c:pt>
                <c:pt idx="2">
                  <c:v>229.52</c:v>
                </c:pt>
                <c:pt idx="3">
                  <c:v>294.46</c:v>
                </c:pt>
                <c:pt idx="4">
                  <c:v>261.89</c:v>
                </c:pt>
                <c:pt idx="5">
                  <c:v>380.3</c:v>
                </c:pt>
                <c:pt idx="6">
                  <c:v>659.72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(435,27 – 694,33)</c:v>
                </c:pt>
                <c:pt idx="1">
                  <c:v>Comparables: PER NTM (560,28 – 654,56)</c:v>
                </c:pt>
                <c:pt idx="2">
                  <c:v>Transacciones precedentes (EV/ventas) (229,52 – 732,82)</c:v>
                </c:pt>
                <c:pt idx="3">
                  <c:v>DCF (WACC y g ± 0,5) (294,46 – 416,60)</c:v>
                </c:pt>
                <c:pt idx="4">
                  <c:v>Escenarios (bajista – alcista) (261,89 – 397,35)</c:v>
                </c:pt>
                <c:pt idx="5">
                  <c:v>DCF con la prima implícita del mercado (4,2 %)</c:v>
                </c:pt>
                <c:pt idx="6">
                  <c:v>Precio actual (663,04)</c:v>
                </c:pt>
              </c:strCache>
            </c:strRef>
          </c:cat>
          <c:val>
            <c:numRef>
              <c:f>Hoja1!$C$2:$C$8</c:f>
              <c:numCache>
                <c:formatCode>#,##0</c:formatCode>
                <c:ptCount val="7"/>
                <c:pt idx="0">
                  <c:v>259.06000000000006</c:v>
                </c:pt>
                <c:pt idx="1">
                  <c:v>94.27999999999997</c:v>
                </c:pt>
                <c:pt idx="2">
                  <c:v>503.30000000000007</c:v>
                </c:pt>
                <c:pt idx="3">
                  <c:v>122.14000000000004</c:v>
                </c:pt>
                <c:pt idx="4">
                  <c:v>135.46000000000004</c:v>
                </c:pt>
                <c:pt idx="5">
                  <c:v>103.19</c:v>
                </c:pt>
                <c:pt idx="6">
                  <c:v>6.639999999999986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