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UnitedHealth Group Incorporated</w:t>
      </w:r>
    </w:p>
    <w:p>
      <w:pPr>
        <w:spacing w:after="60"/>
        <w:rPr>
          <w:color w:val="52514E"/>
          <w:sz w:val="22"/>
          <w:szCs w:val="22"/>
        </w:rPr>
      </w:pPr>
      <w:r>
        <w:rPr>
          <w:color w:val="52514E"/>
          <w:sz w:val="22"/>
          <w:szCs w:val="22"/>
        </w:rPr>
        <w:t xml:space="preserve">UNH · New York Stock Exchange · ISIN US91324P1021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379,30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469,09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+26,0 % (base +26,0 %)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371,62 USD · mercado 435,72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341.977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13,1x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UnitedHealth Group Incorporated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UNH / US91324P1021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Providers &amp; Services (Managed Health Care)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Eden Prairie (Minnesota) · 1977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www.unitedhealthgroup.com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255,97 – 461,62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901,6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341.977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422.707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1.986 M USD/día (5,0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469,09 USD</w:t>
      </w:r>
      <w:r>
        <w:t xml:space="preserve"> frente a 379,30 · Rentabilidad a 12 meses </w:t>
      </w:r>
      <w:r>
        <w:rPr>
          <w:b/>
          <w:bCs/>
        </w:rPr>
        <w:t xml:space="preserve">+26,0 % (base +26,0 %)</w:t>
      </w:r>
      <w:r>
        <w:t xml:space="preserve"> · Valor intrínseco 371,62 USD · con la prima implícita del mercado: 435,72 (+14,9 %) · Alcista / bajista +37,2 % / -35,3 %</w:t>
      </w:r>
    </w:p>
    <w:p>
      <w:pPr>
        <w:spacing w:after="100"/>
      </w:pPr>
      <w:r>
        <w:rPr>
          <w:b/>
        </w:rPr>
        <w:t xml:space="preserve">La recomendación y por qué.</w:t>
      </w:r>
      <w:r>
        <w:t xml:space="preserve"> Mantener, con convicción baja. El valor objetivo es de 371,62 USD frente a un precio de 379,30 (cierre del 9-oct-2026), un −2,0 %; con el dividendo del 2,4 %, la rentabilidad total esperada a doce meses es del 0,3 %, y la asimetría de 1,05 veces (alcista +37,2 %, bajista −35,3 %) no compensa. La razón principal: el precio ya paga la recuperación del margen que esperan la empresa y el consenso, y nuestras cifras coinciden con ese consenso. La convicción es baja porque las dos reglas discrepan: con nuestro coste de capital sale Mantener, pero con la prima implícita del mercado el valor sube a 435,72 USD y la rentabilidad al 17,2 % (Comprar). La subiría un ratio de siniestralidad del 3T26 (13-oct) por debajo del 87 % sin ayuda de reservas, o un precio por debajo de 362,33 USD.</w:t>
      </w:r>
    </w:p>
    <w:p>
      <w:pPr>
        <w:spacing w:after="100"/>
      </w:pPr>
      <w:r>
        <w:rPr>
          <w:b/>
        </w:rPr>
        <w:t xml:space="preserve">El negocio.</w:t>
      </w:r>
      <w:r>
        <w:t xml:space="preserve"> UnitedHealth es la mayor aseguradora de salud de EE. UU. (26 % de Medicare Advantage, 16 % del seguro comercial) y, con Optum, el mayor grupo de servicios sanitarios [18, 29]. Ganó un ROIC del 18-21 % en 2017-2023; en 2025 cayó al 12,5 % porque el ratio de siniestralidad subió del 85,5 % al 89,1 % y Optum Health pasó a pérdidas [1]. Sigue por encima del WACC (8,92 %). La calidad de la empresa sostiene el crecimiento proyectado solo en parte: no necesita capital y tiene poder de precios con un año de retraso, pero pierde cuota en Medicare Advantage (del 29 % al 26 %) por decisión propia.</w:t>
      </w:r>
    </w:p>
    <w:p>
      <w:pPr>
        <w:spacing w:after="100"/>
      </w:pPr>
      <w:r>
        <w:rPr>
          <w:b/>
        </w:rPr>
        <w:t xml:space="preserve">Sector y ciclo.</w:t>
      </w:r>
      <w:r>
        <w:t xml:space="preserve"> El gasto sanitario de EE. UU. crecerá un 5,7 % anual hasta 2029 [17], pero la regulación aprieta: tarifa de Medicare Advantage del +2,48 % en 2027, ajuste de riesgo V28, reforma de los gestores de farmacia y recortes de Medicaid [25, 34]. Todo el sector está en mínimos de margen (Centene −3,9 %, Humana 2,1 % de margen EBIT en 2025) [22, 23].</w:t>
      </w:r>
    </w:p>
    <w:p>
      <w:pPr>
        <w:spacing w:after="100"/>
      </w:pPr>
      <w:r>
        <w:rPr>
          <w:b/>
        </w:rPr>
        <w:t xml:space="preserve">Equipo y gobierno.</w:t>
      </w:r>
      <w:r>
        <w:t xml:space="preserve"> Resta. Rotación casi total de la cúpula en 2025-2026, presidente y CEO de 73 años con una opción de 60 M USD, y un voto de remuneración del 60,0 % en 2025 [32, 40]. La guía de 2025 se incumplió (16,35 USD frente a 29,50-30,00); la de 2026 se ha subido dos veces [8, 10].</w:t>
      </w:r>
    </w:p>
    <w:p>
      <w:pPr>
        <w:spacing w:after="100"/>
      </w:pPr>
      <w:r>
        <w:rPr>
          <w:b/>
        </w:rPr>
        <w:t xml:space="preserve">Valoración.</w:t>
      </w:r>
      <w:r>
        <w:t xml:space="preserve"> El DCF da 415,08 USD (WACC 8,92 %, valor terminal 71 %); los escenarios ponderados, 398,95; el PER de los comparables, 275,37, y la suma de partes, 291,92. El DCF inverso dice que el precio descuenta un crecimiento del 3,2 % anual (frente a nuestro 4,6 %) o un margen EBITDA final del 7,5 % (frente a nuestro 8,0 %), es decir, una rentabilidad del 9,4 % anual, medio punto más que nuestro coste de capital. La distancia es de tasa de descuento, no de cifras. Comparables y suma de partes quedan por debajo del precio porque miden un 2026 deprimido.</w:t>
      </w:r>
    </w:p>
    <w:p>
      <w:pPr>
        <w:spacing w:after="100"/>
      </w:pPr>
      <w:r>
        <w:rPr>
          <w:b/>
        </w:rPr>
        <w:t xml:space="preserve">Riesgos y catalizadores.</w:t>
      </w:r>
      <w:r>
        <w:t xml:space="preserve"> El ratio de siniestralidad es la palanca: cada punto de margen EBITDA vale unos 73 USD por acción, y el bajista (margen del 6,5 % de 2025-2026 mantenido) lleva a 245,27. Las investigaciones del DOJ sobre Medicare Advantage son el riesgo binario sin fecha [30]. Catalizadores: resultados del 3T26 el 13-oct, guía de 2027 en enero y aviso de tarifas de 2028 a finales de enero [26, 68]. Los foros están divididos y los particulares venden; miran el 86,7 % del 2T26 cuando la guía anual es del 88,1 % [105, 106].</w:t>
      </w:r>
    </w:p>
    <w:p>
      <w:pPr>
        <w:spacing w:after="100"/>
      </w:pPr>
      <w:r>
        <w:rPr>
          <w:b/>
        </w:rPr>
        <w:t xml:space="preserve">Qué cambiaría la decisión.</w:t>
      </w:r>
      <w:r>
        <w:t xml:space="preserve"> Compraríamos por debajo de 362,33 USD y venderíamos por encima de 494,25. Pasaríamos a Comprar si la guía de 2027 apunta a un BPA ajustado por encima de 23 USD con el ratio de siniestralidad por debajo del 87 %, y a Vender si el ratio vuelve por encima del 89 % o el DOJ presenta cargos.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469,09 USD</w:t>
      </w:r>
      <w:r>
        <w:t xml:space="preserve"> (rentabilidad +26,0 % (base +26,0 %)) · Valor intrínseco: 371,62 USD (-2,0 % sobre 379,30) · con la prima implícita del mercado: 435,72 (+14,9 %)</w:t>
      </w:r>
    </w:p>
    <w:p>
      <w:pPr>
        <w:spacing w:after="100"/>
      </w:pPr>
      <w:r>
        <w:t xml:space="preserve">UnitedHealth es la mayor empresa sanitaria de EE. UU.: 447.567 M USD de ingresos en 2025, el 26 % de Medicare Advantage y, con Optum, el mayor gestor de consultas médicas, tecnología sanitaria y uno de los tres grandes gestores de farmacia [1, 18]. Su valor está en la integración: cobra primas antes de pagar, apenas invierte (capex del 0,8 % de las ventas) y durante años convirtió eso en un ROIC del 18-21 %. En 2025 la subida del coste médico llevó el ratio de siniestralidad al 89,1 % y el margen EBITDA ajustado al 5,8 % [1].</w:t>
      </w:r>
    </w:p>
    <w:p>
      <w:pPr>
        <w:spacing w:after="100"/>
      </w:pPr>
      <w:r>
        <w:t xml:space="preserve">A 379,30 USD, el precio descuenta una recuperación parcial: un margen EBITDA final del 7,5 %, frente al 6,6 % de la guía de 2026 y el 9,1-9,8 % de 2019-2024, o un crecimiento del 3,2 % anual. Cotiza a 18,4 veces el beneficio de los próximos doce meses, con prima del 37 % sobre la mediana de sus comparables (13,4x).</w:t>
      </w:r>
    </w:p>
    <w:p>
      <w:pPr>
        <w:spacing w:after="100"/>
      </w:pPr>
      <w:r>
        <w:t xml:space="preserve">El mercado acierta en lo esencial. Nuestras cifras de 2026-2028 coinciden con el consenso y el valor que salen de ellas (415,08 USD en el DCF, 371,62 en la síntesis) está cerca del precio. Para invertir hay que creer que el ratio de siniestralidad vuelve al 86-87 % sin el apoyo de las reservas, que las tarifas de Medicare Advantage de 2028 no castigan y que las investigaciones del DOJ se cierran sin cambiar el modelo de codificación. Es posible, pero ya está en 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16,33 = 261,28 · 20,0x × 23,45 = 469,00 · 23,9x × 28,33 = 677,09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 / 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480,60 (nuestro base -2,4 %)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371,62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 / -35,3 %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frente a 8,9 %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435,72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frente a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371,62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371,62 y 531,16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531,16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cae por debajo de 362,33 USD sin cambio en las cifras, pasaríamos a Comprar.</w:t>
      </w:r>
    </w:p>
    <w:p>
      <w:pPr>
        <w:pStyle w:val="ListParagraph"/>
        <w:numPr>
          <w:ilvl w:val="0"/>
          <w:numId w:val="2"/>
        </w:numPr>
        <w:spacing w:after="60"/>
      </w:pPr>
      <w:r>
        <w:t xml:space="preserve">Si la guía de 2027 (enero) da un BPA ajustado por encima de 23 USD con el ratio de siniestralidad por debajo del 87 %, pasaríamos a Comprar.</w:t>
      </w:r>
    </w:p>
    <w:p>
      <w:pPr>
        <w:pStyle w:val="ListParagraph"/>
        <w:numPr>
          <w:ilvl w:val="0"/>
          <w:numId w:val="2"/>
        </w:numPr>
        <w:spacing w:after="60"/>
      </w:pPr>
      <w:r>
        <w:t xml:space="preserve">Si el ratio de siniestralidad del 3T26 o del 4T26 supera el 89 % o hay desarrollo desfavorable de reservas, pasaríamos a Vender.</w:t>
      </w:r>
    </w:p>
    <w:p>
      <w:pPr>
        <w:pStyle w:val="ListParagraph"/>
        <w:numPr>
          <w:ilvl w:val="0"/>
          <w:numId w:val="2"/>
        </w:numPr>
        <w:spacing w:after="60"/>
      </w:pPr>
      <w:r>
        <w:t xml:space="preserve">Si el DOJ presenta cargos penales o impone cambios en la codificación de riesgo de Medicare Advantage, pasaríamos a Vender.</w:t>
      </w:r>
    </w:p>
    <w:p>
      <w:pPr>
        <w:pStyle w:val="ListParagraph"/>
        <w:numPr>
          <w:ilvl w:val="0"/>
          <w:numId w:val="2"/>
        </w:numPr>
        <w:spacing w:after="60"/>
      </w:pPr>
      <w:r>
        <w:t xml:space="preserve">Si el precio supera 494,25 USD,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final del 7,5 % y un crecimiento del 3,2 % anual en 2027-2032: la recuperación de la guía de 2026 y algo más, pero no la vuelta a los márgenes previos a 2025. El consenso de analistas va más allá: 22 de 26 recomiendan comprar y el precio objetivo medio es de 480,60 USD [66, 67].</w:t>
      </w:r>
    </w:p>
    <w:p>
      <w:pPr>
        <w:keepNext/>
        <w:spacing w:after="100"/>
      </w:pPr>
      <w:r>
        <w:rPr>
          <w:b/>
          <w:bCs/>
        </w:rPr>
        <w:t xml:space="preserve">Lo que creemos nosotros.</w:t>
      </w:r>
    </w:p>
    <w:p>
      <w:pPr>
        <w:spacing w:after="100"/>
      </w:pPr>
      <w:r>
        <w:t xml:space="preserve">Coincidimos con la recuperación (margen del 8,0 % en 2030) pero no con el precio objetivo de los analistas: con un coste de capital del 8,92 %, la recuperación esperada ya vale lo que cuesta. Los analistas llegan a 480 USD con primas de riesgo más bajas o con márgenes cercanos al 9 % de nuestro alcista.</w:t>
      </w:r>
    </w:p>
    <w:p>
      <w:pPr>
        <w:keepNext/>
        <w:spacing w:after="100"/>
      </w:pPr>
      <w:r>
        <w:rPr>
          <w:b/>
          <w:bCs/>
        </w:rPr>
        <w:t xml:space="preserve">Por qué podemos tener razón.</w:t>
      </w:r>
    </w:p>
    <w:p>
      <w:pPr>
        <w:spacing w:after="100"/>
      </w:pPr>
      <w:r>
        <w:t xml:space="preserve">La beta de la acción (0,54) y la prima implícita del mercado (4,20 %) dan una tasa de descuento del 8,0 % que no recoge el riesgo regulatorio y legal específico de Medicare Advantage. Con ese riesgo, pedimos medio punto más; es la única diferencia con el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7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Recuperación ya en marcha</w:t>
      </w:r>
      <w:r>
        <w:t xml:space="preserve">: guía de BPA ajustado de 2026 subida dos veces, de más de 17,75 a 19,50-20,00 USD [8].</w:t>
      </w:r>
    </w:p>
    <w:p>
      <w:pPr>
        <w:pStyle w:val="ListParagraph"/>
        <w:numPr>
          <w:ilvl w:val="0"/>
          <w:numId w:val="2"/>
        </w:numPr>
        <w:spacing w:after="60"/>
      </w:pPr>
      <w:r>
        <w:rPr>
          <w:b/>
        </w:rPr>
        <w:t xml:space="preserve">Optum vale más de la mitad</w:t>
      </w:r>
      <w:r>
        <w:t xml:space="preserve">: el 55 % del valor empresa de la suma de partes, con 154.726 M de ingresos en Optum Rx en 2025 [1].</w:t>
      </w:r>
    </w:p>
    <w:p>
      <w:pPr>
        <w:pStyle w:val="ListParagraph"/>
        <w:numPr>
          <w:ilvl w:val="0"/>
          <w:numId w:val="2"/>
        </w:numPr>
        <w:spacing w:after="60"/>
      </w:pPr>
      <w:r>
        <w:rPr>
          <w:b/>
        </w:rPr>
        <w:t xml:space="preserve">Negocio sin capital</w:t>
      </w:r>
      <w:r>
        <w:t xml:space="preserve">: capex del 0,8 % de las ventas y circulante negativo (−2,6 %); flujo operativo guiado de ≈ 24.000 M en 2026 [8].</w:t>
      </w:r>
    </w:p>
    <w:p>
      <w:pPr>
        <w:pStyle w:val="ListParagraph"/>
        <w:numPr>
          <w:ilvl w:val="0"/>
          <w:numId w:val="2"/>
        </w:numPr>
        <w:spacing w:after="60"/>
      </w:pPr>
      <w:r>
        <w:rPr>
          <w:b/>
        </w:rPr>
        <w:t xml:space="preserve">ROIC por encima del coste de capital</w:t>
      </w:r>
      <w:r>
        <w:t xml:space="preserve"> aun en el peor año: 12,5 % frente a un WACC del 8,92 %.</w:t>
      </w:r>
    </w:p>
    <w:p>
      <w:pPr>
        <w:pStyle w:val="ListParagraph"/>
        <w:numPr>
          <w:ilvl w:val="0"/>
          <w:numId w:val="2"/>
        </w:numPr>
        <w:spacing w:after="60"/>
      </w:pPr>
      <w:r>
        <w:rPr>
          <w:b/>
        </w:rPr>
        <w:t xml:space="preserve">Con la prima del mercado</w:t>
      </w:r>
      <w:r>
        <w:t xml:space="preserve"> el valor sube a 435,72 USD (+14,9 %).</w:t>
      </w:r>
    </w:p>
    <w:p>
      <w:pPr>
        <w:pStyle w:val="Heading2"/>
      </w:pPr>
      <w:r>
        <w:t xml:space="preserve">En contra</w:t>
      </w:r>
    </w:p>
    <w:p>
      <w:pPr>
        <w:pStyle w:val="ListParagraph"/>
        <w:numPr>
          <w:ilvl w:val="0"/>
          <w:numId w:val="2"/>
        </w:numPr>
        <w:spacing w:after="60"/>
      </w:pPr>
      <w:r>
        <w:rPr>
          <w:b/>
        </w:rPr>
        <w:t xml:space="preserve">El precio ya paga la recuperación</w:t>
      </w:r>
      <w:r>
        <w:t xml:space="preserve">: rentabilidad total esperada del 0,3 % con nuestro coste de capital.</w:t>
      </w:r>
    </w:p>
    <w:p>
      <w:pPr>
        <w:pStyle w:val="ListParagraph"/>
        <w:numPr>
          <w:ilvl w:val="0"/>
          <w:numId w:val="2"/>
        </w:numPr>
        <w:spacing w:after="60"/>
      </w:pPr>
      <w:r>
        <w:rPr>
          <w:b/>
        </w:rPr>
        <w:t xml:space="preserve">Riesgo legal abierto</w:t>
      </w:r>
      <w:r>
        <w:t xml:space="preserve">: investigaciones penal y civil del DOJ sobre Medicare Advantage, sin cuantificar [30].</w:t>
      </w:r>
    </w:p>
    <w:p>
      <w:pPr>
        <w:pStyle w:val="ListParagraph"/>
        <w:numPr>
          <w:ilvl w:val="0"/>
          <w:numId w:val="2"/>
        </w:numPr>
        <w:spacing w:after="60"/>
      </w:pPr>
      <w:r>
        <w:rPr>
          <w:b/>
        </w:rPr>
        <w:t xml:space="preserve">Pierde cuota</w:t>
      </w:r>
      <w:r>
        <w:t xml:space="preserve">: del 29 % al 26 % de Medicare Advantage en un año [18].</w:t>
      </w:r>
    </w:p>
    <w:p>
      <w:pPr>
        <w:pStyle w:val="ListParagraph"/>
        <w:numPr>
          <w:ilvl w:val="0"/>
          <w:numId w:val="2"/>
        </w:numPr>
        <w:spacing w:after="60"/>
      </w:pPr>
      <w:r>
        <w:rPr>
          <w:b/>
        </w:rPr>
        <w:t xml:space="preserve">Resultados con ayuda de reservas</w:t>
      </w:r>
      <w:r>
        <w:t xml:space="preserve">: 1.250 M de desarrollo favorable en el 1S26 [5].</w:t>
      </w:r>
    </w:p>
    <w:p>
      <w:pPr>
        <w:pStyle w:val="ListParagraph"/>
        <w:numPr>
          <w:ilvl w:val="0"/>
          <w:numId w:val="2"/>
        </w:numPr>
        <w:spacing w:after="60"/>
      </w:pPr>
      <w:r>
        <w:rPr>
          <w:b/>
        </w:rPr>
        <w:t xml:space="preserve">Gobierno debilitado</w:t>
      </w:r>
      <w:r>
        <w:t xml:space="preserve">: presidente y CEO de 73 años, voto de remuneración del 60,0 % en 2025 [40].</w:t>
      </w:r>
    </w:p>
    <w:p>
      <w:pPr>
        <w:pStyle w:val="ListParagraph"/>
        <w:numPr>
          <w:ilvl w:val="0"/>
          <w:numId w:val="2"/>
        </w:numPr>
        <w:spacing w:after="60"/>
      </w:pPr>
      <w:r>
        <w:rPr>
          <w:b/>
        </w:rPr>
        <w:t xml:space="preserve">Bajista profundo</w:t>
      </w:r>
      <w:r>
        <w:t xml:space="preserve">: −35,3 % si el margen se queda en el 6,5 %.</w:t>
      </w:r>
    </w:p>
    <w:p>
      <w:pPr>
        <w:pStyle w:val="Heading2"/>
      </w:pPr>
      <w:r>
        <w:t xml:space="preserve">Qué tiene que pasar para que la tesis funcione</w:t>
      </w:r>
    </w:p>
    <w:p>
      <w:pPr>
        <w:spacing w:after="100"/>
      </w:pPr>
      <w:r>
        <w:t xml:space="preserve">La tesis depende de que el ratio de siniestralidad baje del 88-89 % de 2025 al 86-87 % por las subidas de primas, no por las reservas. La señal de que no se cumple: un ratio trimestral por encima del 88,5 % sin desarrollo favorable, o una guía de 2027 con un BPA ajustado por debajo de 21 USD. La segunda condición es regulatoria: el aviso de tarifas de Medicare Advantage de 2028 (finales de enero de 2027) por encima del +2 %.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siniestralidad (MCR)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86,7 % (2T26); guía 2026: 88,1 % ± 25 pb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88,5 % trimestral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vale ≈ 13 %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de reservas de ejercicios anteriores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M favorables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Desfavorable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mejora real de la contable.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Afiliados de Medicare Advantage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operativo de Optum Health</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&gt; 2.275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la parte de servicios.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Aviso de tarifas de Medicare Advantage 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 en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paga el 44 % de los ingresos del grupo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 / 13,1x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24,4x / 18,4x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UnitedHealth nace de Charter Med, fundada en Minnesota por Richard Taylor Burke; en 1977 se crea United HealthCare Corporation para comprarla, sale a bolsa en 1984 y adopta el nombre de UnitedHealth Group en 1998 [33]. Crece por adquisiciones en seguro (PacifiCare, 2005) y, desde 2011, construye Optum: servicios de salud, datos y farmacia. Las grandes compras de la última década son Catamaran (2015, 14.300 M USD en efectivo con su deuda), DaVita Medical Group (2019, 4.300 M), Change Healthcare (octubre de 2022) y Amedisys (cerrada el 14-ago-2025) [2, 11, 33, 36]. En 2024 vende Brasil y sufre el ciberataque de Change Healthcare; en 2025 el beneficio operativo cae un 41 % por el coste médico y los recortes de Medicare Advantage, Andrew Witty deja la empresa y Stephen Hemsley vuelve como consejero delegado en mayo de 2025 [1, 31,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crea United HealthCare Corporation para comprar Charter Med, fundada por Richard Taylor Burke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UnitedHealth Group y reorganización en negocios independientes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PacifiCare Health Systems, que refuerza Medicare en el oeste de EE. UU.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marca Optum, que agrupa servicios de salud, tecnología y farmacia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Optum Rx compra Catamaran (23-jul-2015) por 14.300 M USD en efectivo, incluida la amortización de su deuda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Optum compra DaVita Medical Group por 4.300 M USD, base de la atención primaria de Optum Health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Change Healthcare (octubre), cámara de compensación de reclamaciones que pasa a Optum Insight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Ciberataque a Change Healthcare (21-feb): unos 190 M de personas afectadas y 2.200 M USD de costes directos en el año; venta de Brasil (Amil) con pérdida contable de 8.310 M por ventas de filiales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Andrew Witty y vuelta de Stephen Hemsley como consejero delegado (mayo); el DOJ abre investigaciones penal y civil sobre Medicare Advantage (julio); cierre de Amedisys (agosto); MCR del 89,1 % y beneficio operativo de 18.964 M (−41 %) [1, 11, 30, 31,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fija la subida de tarifas de Medicare Advantage para 2027 en el 2,48 % tras proponer un 0,09 % en enero; UnitedHealth recorta 785.000 afiliados de Medicare Advantage en un año para recuperar margen [5, 25,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UnitedHealth es el mayor grupo de salud de EE. UU. por ingresos (447.567 M USD en 2025) y tiene dos negocios [1]. </w:t>
      </w:r>
      <w:r>
        <w:rPr>
          <w:b/>
        </w:rPr>
        <w:t xml:space="preserve">UnitedHealthcare</w:t>
      </w:r>
      <w:r>
        <w:t xml:space="preserve"> asegura a 49,8 M de personas (dic-2025): seguro de empresa e individual (29,7 M, de ellos 21,5 M en contratos de solo administración), Medicare Advantage (8,4 M), Medicaid gestionado (7,4 M) y Medicare Supplement (4,3 M), además de 2,8 M en planes de farmacia Part D independientes [1]. </w:t>
      </w:r>
      <w:r>
        <w:rPr>
          <w:b/>
        </w:rPr>
        <w:t xml:space="preserve">Optum</w:t>
      </w:r>
      <w:r>
        <w:t xml:space="preserve"> tiene tres segmentos: Optum Health (médicos propios y atención basada en valor, cirugía, atención domiciliaria; 101.957 M de ingresos), Optum Insight (datos, software, gestión de ciclo de ingresos y la cámara de compensación de Change Healthcare; 19.417 M y una cartera de pedidos de 31.100 M) y Optum Rx (gestor de beneficios de farmacia con unas 64.000 farmacias en red y 188.000 M de gasto en fármacos gestionado; 154.726 M) [1]. Tiene más de 390.000 empleados, unos 165.000 de ellos clínicos [1].</w:t>
      </w:r>
    </w:p>
    <w:p>
      <w:pPr>
        <w:pStyle w:val="Heading2"/>
      </w:pPr>
      <w:r>
        <w:t xml:space="preserve">Cómo gana dinero</w:t>
      </w:r>
    </w:p>
    <w:p>
      <w:pPr>
        <w:spacing w:after="100"/>
      </w:pPr>
      <w:r>
        <w:t xml:space="preserve">Casi el 80 % de los ingresos son primas de productos con riesgo: la empresa cobra una cuota mensual fija por afiliado, normalmente por un año, y paga los siniestros [1]. El margen depende del ratio de siniestralidad (MCR: 89,1 % en 2025 frente al 85,5 % de 2024) y del ratio de costes operativos (13,3 %) [1]. Un punto de MCR sobre 352.229 M de primas son unos 3.500 M de beneficio operativo (estimación propia). Las primas se fijan con un año de antelación (Medicare Advantage con las tarifas de CMS de abril y las pujas de junio), así que un repunte imprevisto de la utilización no se recupera hasta el ejercicio siguiente [1, 5]. Optum cobra comisiones y precios de servicio, en buena parte a UnitedHealthcare: las eliminaciones entre segmentos fueron 173.436 M en 2025 [1]. Optum Rx gana con márgenes estrechos (4,6 %) sobre un volumen muy alto; Optum Insight es el negocio de más margen (13,5 %) [1]. Los ingresos por inversiones de las reservas sumaron 3.920 M en 2025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344.903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Insight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Rx</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344.903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Insight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Rx</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primer cliente es el Estado federal: las primas de CMS (Medicare) fueron el 44 % de los ingresos consolidados en 2025, frente al 40 % en 2024 y 2023 [1]. Los contratos con riesgo se renuevan cada año, y en Medicare Advantage el precio lo marca la tarifa de CMS: la empresa ajusta prestaciones y condados en cada puja [5]. En 2026 ha elegido margen frente a volumen: los afiliados de Medicare Advantage bajaron de 8,35 M a 7,57 M (−9 %) entre junio de 2025 y junio de 2026, los de comercial con riesgo un 9 % y los de Medicaid un 9 % (salida de un estado) [5]. En comercial crece el negocio sin riesgo (21,5 M de afiliados en contratos de administración frente a 8,2 M con riesgo) [1]. Además, se ha comprometido a devolver a los clientes el beneficio de 2026 del seguro individual del ACA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Personas atendidas por UnitedHealthcare (médico,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49.760 (2025); 48.525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en 2025; −1.590 interanual en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el comercial autofinanciado y cae el asegurado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 Advantage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 (2025); 7.565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en 2025; −785 interanual en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mercados y nuevas prestaciones para 2026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Medicaid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 (2025); 6.780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−710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elegibilidad y salida de Luisiana [1,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 con riesgo / autofinanciado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8.845 / 20.885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8.165 / 21.485 (2025); 7.655 / 22.265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 +600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hacia servicios sin riesgo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siniestralidad (MCR)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 (2025); 85,3 %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pb; −180 pb interanual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88,1 % ± 25 pb [1,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Personas atendidas por Optum Health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(2025); 93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700.000 pacientes menos en asistencia basada en valor en el 2T26 [1, 5,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Recetas ajustadas de Optum Rx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387 millones en el 2T26 frente a 414 en el 2T25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pedidos de Optum Insight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18.300 M a realizar en 12 meses; 12.900 M con empresas del grupo [1].</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el gasto sanitario de EE. UU., donde UnitedHealth cobra primas y servicios: las cuentas nacionales de salud de CMS (National Health Expenditures) lo miden en 5,28 billones de USD en 2024 [15]. Dentro de él, los subsectores de UnitedHealth son el seguro privado (1,64 billones en 2024), Medicare (1,12 billones, del que Medicare Advantage cubre al 55 % de los beneficiarios elegibles en 2026) y Medicaid (0,93 billones), además de los fármacos de receta (467.000 M) que intermedian los gestores de farmacia [15, 18]. Se usa la serie oficial de la Oficina del Actuario de CMS [17]; la segunda fuente, la propia UnitedHealth, sitúa el gasto sanitario en el 19 % del PIB en 2025 [1], frente al 18,0 % de 2024 de CMS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 billones de USD en 2024 (18,0 % del PIB) y 5,66 billones estimados en 2025; CMS proyecta 9,0 billones en 2034 [15, 16,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paso a Medicare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de 65 años o más crece un 2,8 % en 2025 y un 2,7 % en 2026; CMS prevé que el gasto de Medicare crezca un 7,7 % anual en 2025-34, frente al 5,0 % del seguro privado [16,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Medicare Advantage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55 % de los beneficiarios elegibles (35,2 M) está en Medicare Advantage en 2026, frente al 19 % en 2007; la CBO prevé el 63 % en 2034, aunque el crecimiento se frena (+3 % en 2026)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y coste médico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subió el ratio de siniestralidad de todo el sector: UnitedHealth del 85,5 % al 89,1 %, Elevance del 88,5 % al 90,0 %, Centene del 88,3 % al 91,9 % y Molina del 89,1 % al 91,7 % [1, 19, 23, 24]. CMS prevé que el gasto se modere del 7,3 % en 2025 al 6,3 % en 2026 por menor utilización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 Advantage y ajuste por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pagos del 5,06 % en 2026 y del 2,48 % en 2027 (4,98 % con la tendencia de puntuaciones de riesgo); la revisión del modelo de riesgo resta un 1,12 % en 2027 y la exclusión de diagnósticos de revisiones de historias no vinculadas, un 1,53 % [25,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Medicaid y fin de los subsidios reforzados del ACA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prevé 3,7 M menos de asegurados en compra directa en 2026 por el fin de los subsidios reforzados y 2,6 M menos en Medicaid en 2027-28 por los requisitos de la ley OBBBA; el seguro de la población baja del 91,8 % en 2024 al 90,4 % en 2028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Fármacos de especialidad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en fármacos de receta crece un 11,1 % en 2025 (518.700 M) por diabetes y obesidad [16]; más volumen para los gestores de farmacia y más coste para las aseguradoras. Optum Rx gestionó 87.000 M en especialidad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afiliados cambian de aseguradora cada año: en Medicare Advantage Humana ganó 1,3 M de afiliados en 2026 y UnitedHealth perdió 647.000 [18]. Los márgenes operativos de 2025 fueron bajos: del −3,9 % de Centene al 4,2 % de UnitedHealth [1, 19, 20, 21, 22, 23,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fija el precio en Medicare y Medicaid: CMS propuso una subida de solo el 0,09 % para 2027 y es el 44 % de los ingresos de UnitedHealth [1, 26]. Las grandes empresas se autoaseguran: 21,5 M de los 29,7 M de afiliados comerciales de UnitedHealth están en contratos de solo administración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hospitalario creció un 8,9 % en 2024 [15]. UnitedHealth atribuye el coste comercial elevado a precios de los proveedores, servicios agrupados por visita y al arbitraje de la ley No Surprises [5]. Los laboratorios fijan el precio de los fármacos de especialidad.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capital regulado, redes de proveedores y escala: los cinco mayores tienen el 57 % del seguro comercial y en el 97 % de las áreas metropolitanas el mercado está muy concentrado [29]. Hay entrantes en Medicare Advantage: Devoted Health ganó 258.000 afiliados en 2026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de Medicare Advantage es Medicare tradicional (el 45 % de los elegibles sigue en él) [18]; el del seguro con riesgo, el autoaseguramiento de la empresa, que UnitedHealth también administra [1].</w:t>
            </w:r>
          </w:p>
        </w:tc>
      </w:tr>
    </w:tbl>
    <w:p>
      <w:pPr>
        <w:spacing w:after="160" w:before="0"/>
      </w:pPr>
    </w:p>
    <w:p>
      <w:pPr>
        <w:pStyle w:val="Heading2"/>
      </w:pPr>
      <w:r>
        <w:t xml:space="preserve">Ciclo</w:t>
      </w:r>
    </w:p>
    <w:p>
      <w:pPr>
        <w:spacing w:after="100"/>
      </w:pPr>
      <w:r>
        <w:t xml:space="preserve">El sector viene de un ciclo de siniestralidad alta: en 2025 el ratio de siniestralidad subió entre 1,5 y 3,6 puntos en las grandes aseguradoras y Centene registró un deterioro de 6.700 M [1, 19, 23, 24]. En 2026 las primas se han subido y se han recortado prestaciones y afiliados: el MCR de UnitedHealth bajó al 86,7 % en el 2T26 con 860 M de desarrollo favorable de ejercicios anteriores [5, 8]. En 2020 la utilización se hundió (el gasto del seguro privado creció solo un 0,4 %) y repuntó en 2023 (+11,2 %) [17]. La serie de CMS no cubre 2008-09.</w:t>
      </w:r>
    </w:p>
    <w:p>
      <w:pPr>
        <w:pStyle w:val="Heading2"/>
      </w:pPr>
      <w:r>
        <w:t xml:space="preserve">Regulación</w:t>
      </w:r>
    </w:p>
    <w:p>
      <w:pPr>
        <w:spacing w:after="100"/>
      </w:pPr>
      <w:r>
        <w:t xml:space="preserve">Medicare Advantage: CMS subió los pagos un 5,06 % para 2026 (más de 25.000 M) y, tras proponer un 0,09 % el 26-ene-2026, fijó un 2,48 % para 2027 el 6-abr-2026 (más de 13.000 M; 4,98 % con la tendencia de riesgo); renunció al nuevo modelo de riesgo de 2027 y mantiene el de 2024 (V28), pero excluye diagnósticos de revisiones de historias no vinculadas [25, 26, 27]. Farmacia: la ley de presupuestos firmada a principios de febrero de 2026 desvincula la remuneración de los gestores de farmacia del precio de los fármacos en Part D y obliga a trasladar los descuentos [34]. ACA: expiraron los subsidios reforzados (−3,7 M asegurados en 2026) [16]. Medicaid: la ley OBBBA limita impuestos a proveedores y pagos dirigidos y exige requisitos de trabajo [16].</w:t>
      </w:r>
    </w:p>
    <w:p>
      <w:pPr>
        <w:pStyle w:val="Heading2"/>
      </w:pPr>
      <w:r>
        <w:t xml:space="preserve">Tendencias y disrupción</w:t>
      </w:r>
    </w:p>
    <w:p>
      <w:pPr>
        <w:spacing w:after="100"/>
      </w:pPr>
      <w:r>
        <w:t xml:space="preserve">Tres tendencias pesan en las cifras. Primera, la integración vertical: aseguradora, gestor de farmacia y médicos propios en un mismo grupo (UnitedHealth con Optum, CVS con Aetna y Caremark, Cigna con Express Scripts); es la base del modelo de UnitedHealth, pero atrae la regulación de los gestores de farmacia [34]. Segunda, el paso de pago por acto a atención basada en valor, que en 2025 dio pérdidas a Optum Health (−278 M) por la reducción de las tarifas de Medicare [1]. Tercera, la caída de la cuota de los grandes en Medicare Advantage frente a Humana, Kaiser y aseguradoras nuevas (Devoted, SCAN) [18]. La inteligencia artificial y la regulación de datos aparecen como riesgo y oportunidad en el 10-K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Medicare Advantage en EE. UU. (26 % de los afiliados en 2026, 9,3 M; 29 % en 2025) [18]. También 1.º en seguro comercial (16 % nacional en 2024) [29] y 3.º gestor de farmacia con Optum Rx (≈23 % de las recetas equivalentes de 2025; estimación propia: 1.659 M de recetas sobre un mercado de ≈7.220 M, deducido de que los tres mayores procesan el 80 %) [28]. Sus ingresos de 2025 equivalen al 7,9 % del gasto sanitario nacional estimado (estimación propia) [1, 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 (Aetna, CVS Caremark)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integrado como UnitedHealth: aseguradora (26,6 M de afiliados médicos, MBR del 91,2 %), Caremark (1.900,7 M de recetas) y farmacias. Beneficio operativo de 4.660 M en 2025. Cuota en Medicare Advantage [18,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 (Express Scripts, Evernorth)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gestión de farmacia: Express Scripts procesó 2.220 M de recetas en 2025 (≈31 % del mercado, estimación propia) [28]. Vendió Medicare Advantage a HCSC; 18,1 M de clientes médicos y MCR del 84,4 % en Cigna Healthcare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Elevance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seguro comercial (12 %), con marcas Blue Cross Blue Shield; 45,2 M de afiliados médicos y ratio de prestaciones del 90,0 % en 2025. Margen calculado como beneficio antes de impuestos más intereses (8.112 M) [19,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Medicaid gestionado y en el seguro individual del ACA; 27,6 M de afiliados y HBR del 91,9 %. Pérdida operativa de 7.623 M en 2025 por un deterioro de fondo de comercio de 6.700 M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Medicare Advantage y el que más crece (+1,3 M de afiliados en 2026) [18]. Ratio de prestaciones del 90,2 % y 15,0 M de afiliados médicos en 2025; CenterWell (atención primaria y domiciliaria) compite con Optum Health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Molina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Medicaid, Medicare y ACA; 5,5 M de afiliados y MCR del 91,7 % en 2025 (89,1 % en 2024); compite con Community &amp; State en concursos estatales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 conecta a pagadores y proveedores en la tramitación de reclamaciones, y la red de Optum Rx tiene unas 64.000 farmacias [1]; pero el afiliado no gana valor porque haya más afiliados.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de Optum Insight duran varios años (cartera de 31.100 M) [1]; en cambio, los contratos de seguro se renuevan cada año y UnitedHealth perdió 647.000 afiliados de Medicare Advantage en 2026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de aseguradora en todos los estados y contratos con CMS; la marca ha sufrido con el ciberataque, la investigación del DOJ y la polémica por las denegaciones [1, 19].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8,1-8,7 % en 2023-24 y del 4,2 % en 2025, el más alto de las seis comparables en 2025 [1, 7-12]; su ratio de costes operativos (13,3 %) no es menor que el de Humana (12,0 %) ni el de Elevance (10,6 %) porque incluye los servicios de Optum [1, 7,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1.º en Medicare Advantage (26 %) y en seguro comercial (16 %), 49,8 M de afiliados médicos y 188.000 M de gasto en fármacos gestionado: escala para negociar con hospitales y laboratorios y repartir el coste de los datos [1, 6, 17].</w:t>
            </w:r>
          </w:p>
        </w:tc>
      </w:tr>
    </w:tbl>
    <w:p>
      <w:pPr>
        <w:spacing w:after="160" w:before="0"/>
      </w:pPr>
    </w:p>
    <w:p>
      <w:pPr>
        <w:pStyle w:val="Heading2"/>
      </w:pPr>
      <w:r>
        <w:t xml:space="preserve">Amenazas</w:t>
      </w:r>
    </w:p>
    <w:p>
      <w:pPr>
        <w:spacing w:after="100"/>
      </w:pPr>
      <w:r>
        <w:t xml:space="preserve">La amenaza más cercana es regulatoria: la revisión del ajuste por riesgo de Medicare Advantage (−1,12 % por el modelo y −1,53 % por las fuentes de diagnósticos en 2027) recorta justo los ingresos donde UnitedHealth es líder [25], y las investigaciones penal y civil del DOJ sobre su participación en Medicare siguen abiertas [30]. La ley de presupuestos de 2026 desvincula la remuneración de los gestores de farmacia del precio de los fármacos en Part D [34], y la integración de aseguradora y médicos propios (Optum Health) está en el punto de mira. En el mercado, Humana y aseguradoras nuevas ganan cuota en Medicare Advantage mientras UnitedHealth la cede al subir precios (del 29 % al 26 %)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447.567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2016-2025: ingresos </w:t>
      </w:r>
      <w:r>
        <w:rPr>
          <w:b/>
          <w:bCs/>
        </w:rPr>
        <w:t xml:space="preserve">10,3 %</w:t>
      </w:r>
      <w:r>
        <w:t xml:space="preserve">, EBITDA </w:t>
      </w:r>
      <w:r>
        <w:rPr>
          <w:b/>
          <w:bCs/>
        </w:rPr>
        <w:t xml:space="preserve">6,3 %</w:t>
      </w:r>
      <w:r>
        <w:t xml:space="preserve">, BPA </w:t>
      </w:r>
      <w:r>
        <w:rPr>
          <w:b/>
          <w:bCs/>
        </w:rPr>
        <w:t xml:space="preserve">6,9 %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184.840 M en 2016 a 447.567 M en 2025 (TCAC del 10,3 %), con compras cada año (de 1.760 M en 2016 a 21.458 M en 2022) [1, 2, 3, 4, 12]. El beneficio operativo creció hasta 32.358 M en 2023 (margen del 8,7 %) y cayó a 18.964 M en 2025 (4,2 %): el ratio de siniestralidad (MCR) subió de 83,2 % en 2023 a 85,5 % en 2024 y 89,1 % en 2025 por los recortes de financiación de Medicare Advantage, el efecto de la IRA en la Parte D, una tendencia de costes médicos elevada y menos desarrollo favorable de reservas (140 M en 2025 frente a 700 M en 2024) [1]. El ratio de costes operativos bajó de 15,4 % (2016) a 13,3 % (2025), en parte por la mezcla (Optum Rx y primas crecen más que los servicios) [1, 4]. Años no comparables: 2024 (pérdida por la venta de Brasil de 8.310 M por debajo del resultado operativo y efectos del ciberataque a Change Healthcare) y 2025 (cargo del 4T de 2.878 M antes de impuestos) [1, 10]. En el LTM a junio de 2026 el beneficio operativo vuelve a 21.676 M con un MCR del 85,3 % en el semestre [5].</w:t>
      </w:r>
    </w:p>
    <w:p>
      <w:pPr>
        <w:pStyle w:val="Heading2"/>
      </w:pPr>
      <w:r>
        <w:t xml:space="preserve">Ajustes y partidas no recurrentes</w:t>
      </w:r>
    </w:p>
    <w:p>
      <w:pPr>
        <w:spacing w:after="100"/>
      </w:pPr>
      <w:r>
        <w:t xml:space="preserve">Las cifras son las publicadas. El BPA ajustado de UNH excluye siempre la amortización de intangibles (1.700 M en 2025; unos 1.345 M previstos para 2026), que es recurrente, y además partidas puntuales [1, 8]. En 2025 el BPA ajustado fue 16,35 USD frente a 13,23 publicado; el cargo del 4T25 restó 2.878 M antes de impuestos (ciberataque 799 M, reestructuración y otros 2.521 M, desinversiones netas +442 M) y 1,78 USD por acción [10]. Dentro del resultado operativo quedaron 2.752 M (799 + 2.521 − 568 de ganancias de cartera en costes operativos), que se marcan como no recurrentes en 2025; el resultado operativo ajustado de la empresa fue 21.700 M [10]. En el LTM se netean además 153 M de reestructuración y −191 M de desinversiones del primer semestre de 2026 (2.714 M) [8]. En 2024 no se ajusta: los costes del ciberataque (unos 2.100 M de diferencia entre el resultado operativo ajustado de 34.400 M y el publicado de 32.287 M) quedan compensados por 3.300 M de ganancias por refinamiento de cartera registradas en costes operativos [1, 10]. Las pérdidas por ventas de filiales (8.310 M en 2024, 265 M en 2025) están por debajo del resultado operativo y van en el resultado financiero.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2T26 (16-jul-2026) la dirección (Stephen Hemsley, consejero delegado; Wayne DeVeydt, director financiero) atribuyó la mejora a Medicare Advantage y a Optum Health, y elevó la guía a un BPA ajustado de 19,50-20,00 USD [8, 13]. Mensajes: la tendencia de costes de Medicare de 2026 quedará por debajo del ~10 % presupuestado (con 7,5 % de base de 2025), ayudada por una temporada respiratoria suave y por desarrollo de reservas de ejercicios anteriores; en el negocio comercial la tendencia es «modestamente superior al 11 %» por el arbitraje (IDR) de la ley No Surprises y la mayor intensidad de facturación, y la recuperación del margen comercial se alarga más allá de 2027; los márgenes de Medicaid seguirán entre −1 % y −1,7 % en 2026; Medicare Advantage perderá unos 1,1 millones de afiliados en el año y su margen superará el 3 % [13]. Los analistas preguntaron sobre todo por la tendencia de costes (comercial, Medicare), por si 19,50-20,00 USD es una base limpia para el crecimiento del 13-16 % (DeVeydt: no hay nada que descontar) y por cuánto del gasto en inversión del trimestre es puntual [13]. Frente al 1T26 (21-abr-2026), cuando la guía ajustada subió a más de 18,25 USD y se anunció la compra de Alegeus, el discurso pasa de la reestructuración a defender la base de 2026 y el crecimiento de 2027 [9, 13].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309.581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Change Healthcare y otras compras: 21.458 M pagados en efectivo en el año (frente a 4.821 M en 2021); el fondo de comercio pasa de 75.795 M a 93.352 M.; 2024: Venta de las operaciones de Brasil (6-feb-2024): pérdida de 7.100 M, 4.100 M de ella por diferencias de conversión acumuladas; sale del perímetro casi todo UnitedHealthcare Global.; 2025: Desconsolidación de un negocio de Optum Rx por cambio en los derechos de gobierno (ganancia de 1.700 M en costes operativos) y salidas y ventas de negocios de Optum Health clasificados como mantenidos para la venta.).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(papel comercial + bonos, valor contable) pasó de 32.970 M en 2016 a 78.389 M en 2025, con los saltos de 2022 (Change Healthcare) y 2024 (préstamos sin interés a proveedores tras el ciberataque y compras) [1, 2, 3, 4]. A 30-jun-2026 baja a 73.328 M (3.827 M a corto y 69.501 M a largo) tras amortizar 2.500 M de bonos y 2.313 M de papel comercial, y la ratio deuda/capital cae al 41,2 % desde el 43,9 % de cierre de 2025, con objetivo del ~40 % a final de 2026 [5, 8]. La nota de deuda da un total de 77.681 M en 2025 (76.180 M en 2024), algo menos que la suma del balance. El circulante es estructuralmente negativo (114.897 M de pasivo corriente frente a 90.582 M de activo): el flotante de reservas médicas y primas cobradas por anticipado financia el activo. Fondo de comercio e intangibles suman 130.973 M, el 42 % del activo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175.583</w:t>
      </w:r>
      <w:r>
        <w:t xml:space="preserve">, conversión </w:t>
      </w:r>
      <w:r>
        <w:rPr>
          <w:b/>
          <w:bCs/>
        </w:rPr>
        <w:t xml:space="preserve">121 %</w:t>
      </w:r>
      <w:r>
        <w:t xml:space="preserve"> del beneficio neto; adquisiciones 79.702, dividendos 50.351, recompras 51.575.</w:t>
      </w:r>
    </w:p>
    <w:p>
      <w:pPr>
        <w:spacing w:after="100"/>
      </w:pPr>
      <w:r>
        <w:t xml:space="preserve">El flujo operativo ha superado al beneficio neto todos los años (19.697 M frente a 12.056 M en 2025, 1,5 veces), porque el negocio asegurador cobra primas por anticipado y paga los siniestros con decalaje, y la amortización (4.361 M) supera al capex (3.622 M) [1, 10]. Años anómalos: 2024 (24.204 M) por las ayudas a proveedores tras el ciberataque a Change Healthcare (9.033 M de préstamos sin interés, de los que se devolvieron 4.514 M en 2024, 1.680 M en 2025 y 197 M en el 1S26), y 2025, apoyado en la venta de cuentas a cobrar y en cobros adelantados que la empresa esperaba para 2026 [1, 5, 10]. En el 1S26 el flujo operativo fue de 19.964 M por el calendario de un pago público importante; la guía de 2026 es de ~24.000 M [5, 8]. La empresa no separa el capex de mantenimiento y el de crecimiento; casi todo es software capitalizado y equipos (Optum Insight 1.170 M y Optum Health 1.237 M en 2025) [1]. Los intereses pagados (4.030 M en 2025) están en el flujo operativo [12].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 (Minneapolis)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a la compañía desde 2002 y su informe sobre 2025 (2-mar-2026) es favorable; la única cuestión clave de auditoría es la estimación de los siniestros incurridos y no comunicados (IBNR), que depende de factores de completitud y de tendencia de coste por miembro y mes [1]. El juicio contable más sensible es por tanto la reserva: el desarrollo favorable de ejercicios anteriores cayó de 1.720 M en 2021 y 840 M en 2023 a 140 M en 2025 (con un 4T25 implícitamente desfavorable), y vuelve a 1.250 M en el 1S26 [1, 3, 5]. Las ganancias y pérdidas por ventas y desconsolidaciones de negocios se registran dentro de los costes operativos (3.300 M de ganancias en 2024; 1.700 M por una desconsolidación en 2025), lo que mueve el margen operativo sin ser explotación [1, 2]. El BPA ajustado excluye la amortización de intangibles (~1.700 M al año) [1, 8]. La remuneración en acciones fue de 971 M en 2025 (8 % del beneficio neto) [12]. El tipo fiscal bajó al 12,9 % en 2025 por el menor beneficio y las desinversiones [1]. Sin deterioros de fondo de comercio en diez años [12].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desarrollo favorable de reservas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700 M (2024) a 140 M (2025), con −260 M implícitos en el 4T25; en 2026 el desarrollo favorable vuelve a ser alto (1.250 M en el semestre) y ayuda al MCR [1, 5,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de cartera dentro de los costes operativos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3.300 M de ganancias en 2024 y 568 M netos en 2025 (con 1.700 M por desconsolidación en Optum Rx) dentro del resultado operativo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GAAP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excluye cada año la amortización de intangibles (1,50 USD por acción previstos en 2026) y cargos que se repiten (ciberataque 2024-2025, reestructuración 2025) [8,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apoyado en venta de cuentas a cobrar y adelantos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cita la venta de cuentas a cobrar y cobros adelantados de 2026 en el flujo de 2025, y el calendario de un pago público en el 1S26 [1, 5,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sobre préstamos del ciberataque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799 M de provisión en el 4T25 por la cobrabilidad de préstamos a proveedores y otros saldos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de reservas del 2T26 con dos cifras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prensa: 860 M en el trimestre; cuadro de reservas del 10-Q: 1.250 M en el semestre frente a 1.050 M del 1T26 [5, 6,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Investigaciones sobre Medicare Advantage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del DOJ por ajuste de riesgo (False Claims Act) pendiente desde 2017, sin estimación posible; las investigaciones abiertas en 2025 se tratan en riesgos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12,2 % · </w:t>
      </w:r>
      <w:r>
        <w:rPr>
          <w:b/>
          <w:bCs/>
        </w:rPr>
        <w:t xml:space="preserve">WACC</w:t>
      </w:r>
      <w:r>
        <w:t xml:space="preserve">: 8,9 %.</w:t>
      </w:r>
    </w:p>
    <w:p>
      <w:pPr>
        <w:spacing w:after="100"/>
      </w:pPr>
      <w:r>
        <w:t xml:space="preserve">UnitedHealth creó valor con holgura hasta 2023: ROIC del 18-21 % entre 2017 y 2023, más del doble de su coste de capital (8,92 %). En 2025 bajó al 12,5 %, aún por encima del WACC, y la causa es el margen, no la rotación: el margen neto pasó del 6,0 % (2023) al 2,7 % (2025) mientras la rotación del capital se mantenía en 1,4-1,5 veces. El ROIC incremental de 2016-2025 es del 12,2 %, por debajo del ROIC medio del periodo: las compras de 2022-2024 (Change Healthcare, LHC, Amedisys, consultas de Optum Health) rinden menos que el negocio original, y el fondo de comercio e intangibles llegaron a 130.973 M en 2025 [1]. Dos matices: el NOPAT incluye el rendimiento de las inversiones reguladas (3.920 M en 2025) y el capital invertido descuenta la caja a corto pero no las inversiones a largo; con toda la cartera regulada dentro, el ROIC sería unos dos puntos más bajo (estimación propia). Frente a los comparables (mediana 8,7 %), sigue siendo el mejor del grupo.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72.228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28.585 M e inversiones a corto 2.883 M, de los que solo unos 1.100 M estaban disponibles para uso general de la matriz (el resto está en filiales reguladas); sin papel comercial en circulación; tres líneas de crédito bancarias de 7.000 M cada una (a cinco años, tres años y 364 días; vencen en nov-2030, nov-2028 y nov-2026), sin disponer, que respaldan el programa de papel comercial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(perspectiva negativa); S&amp;P A+ (negativa); Fitch A (negativa); A.M. Best A- (estable), a 31-dic-2025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que no son deuda financiera pero pesan: medical costs payable de 39.337 M a cierre de 2025 (38.930 M a 30-jun-2026), con 26.700 M de IBNR, casi todo del año corriente; unos 90 % de los siniestros se conocen y liquidan en 90 días [1, 5]. Otros pasivos corrientes de 28.046 M incluyen 13.900 M de depósitos HSA y 1.600 M de certificados de depósito de Optum Bank, reembolsos de primas y saldos de clientes [1]. Minoritarios: redimibles 1.608 M (fuera del patrimonio; bajaron desde 4.323 M por una desconsolidación) y no redimibles 5.980 M [1]. Opciones de compra y venta de transacciones de cartera valoradas en 630 M en otros pasivos (2024) [2]. Arrendamientos operativos 4.615 M, fuera de la deuda (US GAAP) [1, 12]. Compromisos de compra de 8.100 M (2.500 M en 12 meses) [1]. Pleitos: demanda del DOJ de 2017 por ajuste de riesgo de Medicare Advantage (False Claims Act), sin estimación posible [1]. Cumplimiento de covenants de las líneas bancarias a 31-dic-2025 [1].</w:t>
      </w:r>
    </w:p>
    <w:p>
      <w:pPr>
        <w:pStyle w:val="Heading1"/>
      </w:pPr>
      <w:r>
        <w:t xml:space="preserve">12. Asignación de capital</w:t>
      </w:r>
    </w:p>
    <w:p>
      <w:pPr>
        <w:pStyle w:val="Confianza"/>
        <w:spacing w:after="100"/>
      </w:pPr>
      <w:r>
        <w:t xml:space="preserve">Confianza: Media</w:t>
      </w:r>
    </w:p>
    <w:p>
      <w:pPr>
        <w:spacing w:after="100"/>
      </w:pPr>
      <w:r>
        <w:t xml:space="preserve">Dividendo trimestral de 2,21 USD desde junio de 2025 (8,84 USD anuales) y de 2,32 USD desde junio de 2026 [1, 12]. Recompras: autorización del consejo para 21 millones de acciones a cierre de 2025; 5.545 M recomprados en 2025 y compromiso de al menos 5.000 M en 2026 (4.000 M hechos hasta mediados de julio) [1, 8]. Prioridad declarada: bajar la deuda/capital al ~40 % a finales de 2026 (41,2 % en junio) [8]. La caja de la matriz depende de los dividendos de las filiales reguladas (9.200 M en 2024; aportación neta de 535 M en 2025) y del flujo de los negocios no regulados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DaVita Medical Group (Optum Health)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dic-2017 por unos 4.300 M; 8.343 M pagados en compras en 2019. Optum Health pasó de 2.963 M de resultado en 2019 a 7.770 M en 2024 y a −278 M en 2025 [3, 4,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 y otras (Optum Insight)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nueva deuda (la deuda a largo pasó de 42.383 M a 54.513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previsto de unos 12.000 M sin deuda asumida; 21.458 M pagados en compras en 2022. Ciberataque de feb-2024: 9.033 M de préstamos a proveedores y 799 M de provisión en 2025; el resultado de Optum Insight cayó de 4.268 M (2023) a 2.624 M (2025) [1, 2, 3,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2023 (sobre todo Optum Health)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en efectivo neto de caja adquirida; el fondo de comercio sube de 93.352 M a 103.732 M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2024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(la deuda sube 14.367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en efectivo neto de caja adquirida; en 2025 parte de Optum Health se vende o se cierra con pérdidas de 821 M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Varias combinaciones de negocios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de 4.800 M (4.509 M en efectivo neto)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Alegeus Technologies (Optum Insight)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2-jul-2026; neutral para el beneficio de 2026 según la empresa [8, 9].</w:t>
            </w:r>
          </w:p>
        </w:tc>
      </w:tr>
    </w:tbl>
    <w:p>
      <w:pPr>
        <w:spacing w:after="160" w:before="0"/>
      </w:pPr>
    </w:p>
    <w:p>
      <w:pPr>
        <w:spacing w:after="100"/>
      </w:pPr>
      <w:r>
        <w:t xml:space="preserve">Entre 2016 y 2025 la empresa generó 201.259 M de flujo operativo, invirtió 25.676 M en capex y 79.702 M en compras, pagó 50.351 M en dividendos y 51.575 M en recompras, y recibió 11.066 M por emisión de acciones de empleados [12]. Las acciones diluidas bajaron de 968 a 911 millones [12]. Desinversiones con pérdidas: Brasil en 2024 (7.100 M, 4.100 M por conversión de divisas) y el resto de Sudamérica (1.200 M en 2024; venta prevista para el segundo semestre de 2026) [1, 2]. En 2026 vendió Optum UK y dedica sus 400 M netos a la United Health Foundation [9].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J. Hemsley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(Chair and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1997 y consejero desde 2000; consejero delegado de 2006 a 2017, presidente ejecutivo de 2017 a 2019 y presidente no ejecutivo de 2019 a mayo de 2025, cuando vuelve como consejero delegado tras la salida de Andrew Witty, que dejó también el consejo el 20-may-2025 y renunció a sus acciones por resultados de 2025 [1, 31, 37, 40]. Bajo su segundo mandato la guía de 2025 se rehízo desde cero (al menos 16,00 USD de BPA ajustado, real 16,35) y la de 2026 se ha elevado dos veces, de más de 17,75 a 19,50-20,00 USD [8, 10, 57]. Posee 1.335.742 acciones (0,15 %), con 280.500 en fundaciones y 692.255 en fideicomisos; compró 86.700 acciones por 25,0 M USD el 16-may-2025 [32,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Wayne S. DeVeydt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and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Fichado de fuera el 2-sep-2025: director gerente de Bain Capital (2022-2025), consejero delegado (2018-2020) y presidente ejecutivo (2020-2025) de Surgery Partners, y director financiero de Elevance Health (Anthem) de 2007 a 2016 [1, 38]. Sustituye a John Rex, director financiero desde 2016, que pasó a asesor estratégico del consejero delegado [38]. Remuneración 2025 de 14,58 M USD, con una prima de fichaje de 1,2 M sujeta a recuperación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Conway, M.D.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Optum</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Optum desde el 6-may-2025, tras dirigir Optum Rx; en el grupo desde 2020. Antes, director médico y administrador en funciones de los CMS y director del CMS Innovation Center [1, 45]. Es el único alto directivo con ventas en mercado en los últimos 12 meses (2.469 acciones, 0,95 M USD en 2026)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Noel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UnitedHealthcare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UnitedHealthcare desde enero de 2025; antes dirigía Medicare &amp; Retirement, negocio del que fue director financiero; en el grupo desde 2007 [1]. Le tocó gestionar el repunte del coste médico de Medicare Advantage de 2025 que obligó a retirar la guía [56].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Christopher Zaetta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y secretario del consejo (EVP, Chief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desde mayo de 2024; antes director jurídico de Optum (2020-2024) y responsable de litigios del grupo (2011-2019) [1]. Coordina la respuesta a las investigaciones penal y civil del DOJ sobre Medicare Advantage [30].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24,40-24,90 USD (nov-2022)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25,12 USD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27,50-28,00 USD (nov-2023)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27,66 USD, en la parte baja pese al ciberataque de Change Healthcare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29,50-30,00 USD (dic-2024, reafirmada en ene-2025) [54]; rebajada a 26,00-26,50 el 17-abr [55], retirada el 13-may [56], repuesta en al menos 16,00 el 29-jul [57] y elevada a al menos 16,25 el 28-oct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16,35 USD (GAAP 13,23), un 45 % por debajo de la guía inicial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más de 17,75 USD (27-ene-2026) [10]; elevada a más de 18,25 el 21-abr [58] y a 19,50-20,00 el 16-jul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BPA ajustado de 13,61 USD en el primer semestre (7,23 + 6,38) [8, 58]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se renovó casi entera en 2025: nuevo consejero delegado (Hemsley, mayo), nuevo jefe de Optum (Conway, mayo), de UnitedHealthcare (Noel, enero), nuevo director financiero externo (DeVeydt, septiembre) y nuevo responsable contable (Stankiewicz, marzo de 2026) [1, 37, 38, 44, 45]. El historial de guía era fiable hasta 2024 y se rompió en 2025: la guía inicial de 29,50-30,00 USD acabó en 16,35, con una retirada a mitad de año [10, 54, 56]. La de 2026 se ha elevado dos veces [8, 58]. La sucesión es la debilidad: Hemsley tiene 73 años, su opción de 60 M USD se consolida de golpe en mayo de 2028 y no hay sucesor designado públicamente [32, 37].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J. Hemsley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 William McNabb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(Lead Independent Director desde ago-2025)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Recursos Humanos; Gobierno (desde jun-2026); miembro nato sin voto de todas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Flynn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 (presidente); Gobierno; Responsabilidad Pública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Baker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(presidente); Auditoría y Finanzas; Responsabilidad Pública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Garcia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Recursos Humanos (presidente); Responsabilidad Pública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Kristen Gil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Gottlieb,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Responsabilidad Pública (presidente desde jun-2026); Políticas Sanitarias y Clínicas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Valerie Montgomery Rice,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Políticas Sanitarias y Clínicas (presidenta); Remuneración y Recursos Humanos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Noseworthy, M.D.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y Recursos Humanos; Políticas Sanitarias y Clínicas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31,60 / ventas 0,95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72,6 M de acciones según su 13G/A de febrero de 2024, el último que cita el proxy de 2026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13G el 30-abr-2026 (68,1 M de acciones) tras el realineamiento interno de Vanguard, que repartió la posición de The Vanguard Group (91,8 M, 10,08 % en mayo de 2025) entre sus filiales [47, 48, 49]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 pasivo)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13G de agosto de 2026 por 45,7 M de acciones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Berkshire Hathaway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5,04 M de acciones (cerca del 0,6 %) en el 2T25, las mantuvo a 31-dic-2025 y las vendió todas en el 1T26 [59, 60,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 M de acciones a 2-abr-2026, de ellas 1,34 M de Hemsley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autocartera: las acciones emitidas y en circulación coinciden (897,6 M a 31-jul-2026); el primer semestre de 2026 recompró 10,5 M de acciones a 344,08 USD de media y quedan autorizadas 10,6 M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Conway (CEO de Optum)</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Conway (CEO de Optum)</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Patrick Conway (CEO de Optum)</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Hemsley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Rex (entonces presidente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Kristen Gil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Timothy Flynn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Noseworthy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cobra 1 M USD de fijo, sin bonus anual, y una única concesión de opciones de 60 M USD (mayo de 2025) que se consolida de golpe a los tres años, sin nuevas concesiones en ese plazo [37]. En febrero de 2026 se añadió la obligación de mantener las acciones netas hasta mayo de 2030 [42]. La remuneración total de 2025 fue de 60,94 M USD, 748 veces la del empleado mediano (81.474 USD) [32]. Para el resto de la cúpula, el bonus anual se mide por ingresos, resultado operativo, flujo de caja, NPS y clima laboral (tope de 2 veces el objetivo), y las acciones por resultados (50 % del incentivo a largo plazo) se reparten a partes iguales entre el BPA ajustado acumulado a tres años y el ROE medio [32]. Hay recuperación (clawback) por reformulación, fraude o conducta dañina [32]. Indemnización: dos años de salario más bonus [37, 38]. El voto consultivo cayó del 95,9 % a favor en 2024 [39] al 60,0 % en 2025 (39,8 % en contra) por la concesión de Hemsley [40]. La empresa respondió renunciando a concesiones anticipadas salvo casos extraordinarios y subiendo la exigencia de tenencia del CEO de 8 a 10 veces el salario; en 2026 obtuvo un 82,5 % (con las abstenciones como voto en contra) [32, 41].</w:t>
      </w:r>
    </w:p>
    <w:p>
      <w:pPr>
        <w:pStyle w:val="Heading2"/>
      </w:pPr>
      <w:r>
        <w:t xml:space="preserve">Operaciones vinculadas, estructura de control y defensas</w:t>
      </w:r>
    </w:p>
    <w:p>
      <w:pPr>
        <w:spacing w:after="100"/>
      </w:pPr>
      <w:r>
        <w:t xml:space="preserve">No hay accionista de control: los mayores son gestoras indexadas (BlackRock 7,99 %, Vanguard Capital Management 7,50 %, State Street 5,0 %) y el consejo y la dirección suman el 0,19 % [32, 49, 50]. Hay una sola clase de acciones, un voto por acción, elección anual de todos los consejeros por mayoría, y todas las comisiones son íntegramente independientes [32]. Desde mayo de 2025 se juntan los cargos de presidente y consejero delegado en Hemsley, tras casi 20 años separados; el contrapeso es un consejero coordinador con funciones reforzadas, McNabb, expresidente y exconsejero delegado de Vanguard, elegido en agosto de 2025 [32]. El consejo se ha renovado: cuatro independientes nuevos desde 2021 y una antigüedad media de 5,6 años; el último, el exdirector de la FDA Scott Gottlieb, en noviembre de 2025 [32, 43]. Las operaciones vinculadas son menores: familiares de Flynn, McSweeney y Zaetta empleados sin cargo directivo, y servicios cruzados con BlackRock (7,8 M USD de comisiones de gestión pagadas por UNH) [32].</w:t>
      </w:r>
    </w:p>
    <w:p>
      <w:pPr>
        <w:pStyle w:val="Heading2"/>
      </w:pPr>
      <w:r>
        <w:t xml:space="preserve">Señales de alerta</w:t>
      </w:r>
    </w:p>
    <w:p>
      <w:pPr>
        <w:pStyle w:val="ListParagraph"/>
        <w:numPr>
          <w:ilvl w:val="0"/>
          <w:numId w:val="2"/>
        </w:numPr>
        <w:spacing w:after="60"/>
      </w:pPr>
      <w:r>
        <w:t xml:space="preserve">Investigaciones penal y civil del DOJ sobre las prácticas de Medicare Advantage, confirmadas por la empresa en julio de 2025; el 10-Q del 2T26 no da novedades ni las cuantifica [5, 30].</w:t>
      </w:r>
    </w:p>
    <w:p>
      <w:pPr>
        <w:pStyle w:val="ListParagraph"/>
        <w:numPr>
          <w:ilvl w:val="0"/>
          <w:numId w:val="2"/>
        </w:numPr>
        <w:spacing w:after="60"/>
      </w:pPr>
      <w:r>
        <w:t xml:space="preserve">Demanda por fraude bajo la False Claims Act sobre ajuste de riesgo en Medicare (denuncia de 2011, el DOJ se personó en 2017): el Special Master recomendó en marzo de 2025 fallar a favor de la empresa y el DOJ lo recurrió en abril; sin estimación de pérdidas [5].</w:t>
      </w:r>
    </w:p>
    <w:p>
      <w:pPr>
        <w:pStyle w:val="ListParagraph"/>
        <w:numPr>
          <w:ilvl w:val="0"/>
          <w:numId w:val="2"/>
        </w:numPr>
        <w:spacing w:after="60"/>
      </w:pPr>
      <w:r>
        <w:t xml:space="preserve">Demanda colectiva de accionistas encabezada por CalPERS: el 30-sep-2026 el juez desestimó 43 de las 48 declaraciones impugnadas y las acusaciones de uso de información privilegiada contra Witty y Hemsley, pero deja seguir la parte sobre las ventas de negocios que aportaron 3.300 M USD al beneficio de 2024 [63].</w:t>
      </w:r>
    </w:p>
    <w:p>
      <w:pPr>
        <w:pStyle w:val="ListParagraph"/>
        <w:numPr>
          <w:ilvl w:val="0"/>
          <w:numId w:val="2"/>
        </w:numPr>
        <w:spacing w:after="60"/>
      </w:pPr>
      <w:r>
        <w:t xml:space="preserve">Hacienda de EE. UU. (IRS) propuso en marzo de 2026 ajustes significativos por precios de transferencia con una filial extranjera en 2017-2020 y podría extenderlos a años posteriores; la empresa lo recurrirá [5].</w:t>
      </w:r>
    </w:p>
    <w:p>
      <w:pPr>
        <w:pStyle w:val="ListParagraph"/>
        <w:numPr>
          <w:ilvl w:val="0"/>
          <w:numId w:val="2"/>
        </w:numPr>
        <w:spacing w:after="60"/>
      </w:pPr>
      <w:r>
        <w:t xml:space="preserve">Compra de Amedisys (3.300 M USD) cerrada tras un acuerdo con el DOJ que obliga a vender al menos 164 centros de atención domiciliaria y paliativos (unos 528 M USD de ingresos) bajo un supervisor; sentencia firme en diciembre de 2025 [62].</w:t>
      </w:r>
    </w:p>
    <w:p>
      <w:pPr>
        <w:pStyle w:val="ListParagraph"/>
        <w:numPr>
          <w:ilvl w:val="0"/>
          <w:numId w:val="2"/>
        </w:numPr>
        <w:spacing w:after="60"/>
      </w:pPr>
      <w:r>
        <w:t xml:space="preserve">Ciberataque a Change Healthcare (feb-2024): unos 190 millones de afectados, 2.200 M USD de costes directos y 867 M de pérdida de negocio en 2024 [2]; en el 4T25 se provisionaron otros 799 M USD por préstamos a proveedores de difícil cobro [1].</w:t>
      </w:r>
    </w:p>
    <w:p>
      <w:pPr>
        <w:pStyle w:val="ListParagraph"/>
        <w:numPr>
          <w:ilvl w:val="0"/>
          <w:numId w:val="2"/>
        </w:numPr>
        <w:spacing w:after="60"/>
      </w:pPr>
      <w:r>
        <w:t xml:space="preserve">Rotación casi total de la cúpula en 2025-2026: nuevo CEO, nuevo CFO de fuera, nuevos jefes de Optum y UnitedHealthcare y nuevo responsable contable en marzo de 2026 [37, 38, 44, 45].</w:t>
      </w:r>
    </w:p>
    <w:p>
      <w:pPr>
        <w:pStyle w:val="ListParagraph"/>
        <w:numPr>
          <w:ilvl w:val="0"/>
          <w:numId w:val="2"/>
        </w:numPr>
        <w:spacing w:after="60"/>
      </w:pPr>
      <w:r>
        <w:t xml:space="preserve">Voto consultivo de remuneración de solo el 60,0 % a favor en 2025, y caída del apoyo a Timothy Flynn (presidente de Auditoría) al 86,8 % ese año [40].</w:t>
      </w:r>
    </w:p>
    <w:p>
      <w:pPr>
        <w:pStyle w:val="ListParagraph"/>
        <w:numPr>
          <w:ilvl w:val="0"/>
          <w:numId w:val="2"/>
        </w:numPr>
        <w:spacing w:after="60"/>
      </w:pPr>
      <w:r>
        <w:t xml:space="preserve">El 8-K de la junta de 2026 da un 82,74 % a favor del voto de remuneración, pero con sus propias cifras sale un 82,47 % [41].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16-jul-2026, con los resultados del 2T26, UnitedHealth elevó la guía de 2026: BPA GAAP de 18,45-18,95 USD (antes &gt; 17,10) y BPA ajustado de 19,50-20,00 USD (antes &gt; 17,75); resultado operativo &gt; 25.450 M (antes &gt; 24.000 M), con UnitedHealthcare &gt; 12.000 M, Optum Health &gt; 2.275 M, Optum Insight &gt; 4.925 M y Optum Rx &gt; 6.250 M; ratio de siniestralidad 88,1 % ± 25 pb (antes 88,8 % ± 50 pb); tipo impositivo ≈ 18,5 %; flujo operativo ≈ 24.000 M (antes &gt; 18.000 M) y recompras de al menos 5.000 M (antes ≈ 2.500 M) [8]. El BPA ajustado excluye la amortización de intangibles (≈ 1,50 USD por acción en 2026, recurrente), las desinversiones y el impacto de Sudamérica y reestructuraciones [8]. Los resultados del 3T26 se publican el martes 13-oct-2026 antes de la apertura, con conferencia a las 8:00 (hora del Este) [68].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26 analistas [65]; S&amp;P Global vía StockAnalysis: ingresos 446.900 M y BPA ajustado 19,87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[65]; S&amp;P Global vía StockAnalysis: ingresos 460.340 M y BPA ajustado 22,61 [67]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487.685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446.947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486.349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487.685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380,00 – 529,00</w:t>
            </w:r>
          </w:p>
        </w:tc>
      </w:tr>
    </w:tbl>
    <w:p>
      <w:pPr>
        <w:spacing w:after="160" w:before="0"/>
      </w:pPr>
    </w:p>
    <w:p>
      <w:pPr>
        <w:pStyle w:val="Heading2"/>
      </w:pPr>
      <w:r>
        <w:t xml:space="preserve">Revisiones de estimaciones</w:t>
      </w:r>
    </w:p>
    <w:p>
      <w:pPr>
        <w:spacing w:after="100"/>
      </w:pPr>
      <w:r>
        <w:t xml:space="preserve">No hay un histórico gratuito de revisiones del consenso, pero la guía marca su dirección: la empresa empezó 2026 con un BPA ajustado de «más de 17,75 USD» (27-ene), lo subió a más de 18,25 (21-abr) y a 19,50-20,00 (16-jul), con el ratio de siniestralidad bajado al 88,1 % ± 25 pb y el flujo operativo elevado a ≈ 24.000 M [8, 10, 58]. El BPA ajustado de consenso de 2026 (19,87 USD, S&amp;P Global) ya está dentro de la guía, y el de 2027 (22,61) supone otro +14 % [67]. Los resultados del 1T26 superaron el consenso (7,23 frente a 6,58 USD) [14]. El riesgo de revisión a la baja se concentra en 2027: tarifas de Medicare Advantage del +2,48 % y salida de afiliados [25].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UnitedHealth ha perdido un 8,4 % anual en tres años mientras el S&amp;P 500 ganaba un 23,0 % anual: 2025 fue el peor año de su historia reciente (−33,1 %), con la retirada de la guía, la salida de Andrew Witty y las investigaciones del DOJ [30, 37, 56]. La caída máxima en cinco años es del −61,4 %. En 2026 la acción rebota un 17,2 % (frente al 15,1 % del índice), desde el mínimo de 255,97 USD del 27-mar hasta el máximo de 461,62 del 16-jul, día en que subió la guía [8, 64]. La mayor caída diaria del año, −19,6 % el 27-ene, coincidió con una guía 2026 por debajo de lo esperado y con el aviso de tarifas de Medicare Advantage para 2027 (+0,09 %) [26, 64]. La beta mensual de cinco años (0,54) infravalora el riesgo actual: la volatilidad de un año es del 35,5 %, propia de una acción en reestructuración y no de una defensiva.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379,30 USD, UnitedHealth cotiza a 14,7 veces el EBITDA de los últimos doce meses, en línea con su media de diez años (14,3x) y en el percentil 70, y a 24,4 veces el beneficio, un 10 % por encima de su media (22,1x). La aparente normalidad engaña: el EBITDA de los últimos doce meses (28.675 M, con los cargos de 2025 devueltos) aún está un 21 % por debajo del de 2023, de modo que el precio ya paga una parte de la recuperación. Medido sobre el beneficio de los próximos doce meses, el PER es de 18,4x, por debajo de los 20-25x a los que cotizó en 2019-2024, cuando el margen EBITDA rondaba el 9,5 %. Lo que ha cambiado es el perfil de riesgo: regulación de Medicare Advantage más dura, investigaciones federales y un ROIC que ha bajado del 20,8 % al 12,5 %.</w:t>
      </w:r>
    </w:p>
    <w:p>
      <w:pPr>
        <w:pStyle w:val="Heading1"/>
      </w:pPr>
      <w:r>
        <w:t xml:space="preserve">18. Comparables cotizados</w:t>
      </w:r>
    </w:p>
    <w:p>
      <w:pPr>
        <w:pStyle w:val="Confianza"/>
        <w:spacing w:after="100"/>
      </w:pPr>
      <w:r>
        <w:t xml:space="preserve">Confianza: Media</w:t>
      </w:r>
    </w:p>
    <w:p>
      <w:pPr>
        <w:spacing w:after="100"/>
      </w:pPr>
      <w:r>
        <w:t xml:space="preserve">Las seis grandes aseguradoras de salud gestionada cotizadas en EE. UU. (Elevance, Cigna, CVS Health con Aetna, Humana, Centene y Molina), con la misma mezcla de primas de Medicare Advantage, Medicaid y planes de empresa, y dos aseguradoras pequeñas de crecimiento (Oscar, mercado individual del ACA; Alignment, Medicare Advantage). Cigna y CVS añaden gestión de farmacia (PBM), como Optum Rx. No hay comparable directo de Optum Health ni de Optum Insight a escala.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Elevance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Molina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Oscar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Alignment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11,8x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13,3x / 17,5x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450.129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UnitedHealth cotiza con prima clara frente a sus comparables: 18,4 veces el beneficio de los próximos doce meses frente a una mediana de 13,4x (Elevance 14,2x, CVS 10,2x, Cigna 8,6x) [69, 70, 71]. Aplicado a su BPA, el PER mediano da 275,37 USD por acción, un 27 % por debajo del precio. La prima tiene fundamento parcial: Optum aporta más de la mitad del resultado operativo con negocios de servicios y tecnología sin equivalente cotizado, y el ROIC de UnitedHealth (12,5 %) supera la mediana del grupo (8,7 %). Pero ya no se sostiene por crecimiento: el consenso da a UnitedHealth un 1,6 % de crecimiento de ingresos a doce meses frente a una mediana del 9,3 %. Humana (28,0x) y Molina (22,5x) tienen el beneficio de 2026 hundido y empujan la media al alza; el EV/EBITDA de Centene, Molina, Oscar y Alignment no compara porque Stock Analysis resta su caja regulada [73, 74]. Usamos solo el PER y con un peso del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Express Scripts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Cigna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48,75 USD en efectivo + 0,2434 acciones por acción (54.000 M en total) y 15.000 M de deuda asumida; prima del 31 % sobre el cierre de 73,42 USD del 7-mar-2018 [88]. Múltiplos sobre 2017: ingresos 100.065 M y EBITDA 7.296 M (resultado operativo 5.494 + amortizaciones 1.802) [93]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Aetna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145 USD en efectivo + 0,8378 acciones de CVS por acción, ≈ 207 USD por acción y 69.000 M de capital; 77.000 M con la deuda asumida [89]. EV/ventas sobre los ingresos de 2017 de Aetna, 60.535 M [94]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25,75 USD por acción en efectivo [90]. Estimación propia del valor empresa: 304,45 M de acciones (27-oct-2020) × 25,75 = 7.840 M + deuda 4.818 M − caja 137 M (31-dic-2020) [95]. Múltiplos sobre el ejercicio cerrado en marzo de 2021: ingresos 3.090 M y EBITDA 691 M (resultado operativo 100 + amortizaciones 591) [95].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Amedisys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USD por acción en efectivo [91]. Estimación propia del valor empresa: 32,56 M de acciones × 101 = 3.289 M + deuda 400 M − caja 49 M + minoritarios 54 M (31-mar-2023) [96]. Múltiplos sobre 2022: ingresos 2.223 M y EBITDA 206 M (resultado operativo 181 + amortizaciones 25) [96].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Signify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30,50 USD por acción en efectivo; valor total de la operación ≈ 8.000 M [92]. Sobre 2021: ingresos 653 M y EBITDA 118 M [97] (cálculo propio). Plataforma de evaluaciones domiciliarias en crecimiento: múltiplo no comparable con un asegurador.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Oak Street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USD por acción en efectivo, valor empresa ≈ 10.600 M; red de atención primaria con EBITDA ajustado aún negativo, que CVS espera que aporte más de 2.000 M de EBITDA ajustado «embebido» en madurez [98].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Kindred at Home (60 %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8.100 M para el 100 %, incluidos 2.400 M del 40 % que Humana ya tenía; 43.000 cuidadores y más de 550.000 pacientes al año [99]. La nota no publica ingresos ni EBITDA.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 (13,6x – 18,0x)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341,41 – 482,94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se han pagado a 9-18 veces el EBITDA: 9,2x por Express Scripts (Cigna, 2018), 18,1x por Change Healthcare y 17,9x por Amedisys (las dos de UnitedHealth, estimación del valor empresa a partir de sus cuentas) [88, 90, 91]. Son compras de negocios de servicios o de farmacia, no de aseguradoras enteras, y llevan prima de control (31 % en Express Scripts). Con un valor de mercado de 342.000 M USD, UnitedHealth no es objeto plausible de una compra, y la propia empresa está ahora vendiendo activos (Sudamérica, Optum UK) y obligada a desinvertir 164 centros de Amedisys [1, 62]. La mediana da 479,76 USD por acción, pero no la ponderamos: no hay comprador posible y los múltiplos son de piezas, no del conjunto.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0 % (ingresos de 447.567 M, igual que en 2025): el consenso da 446.947 M [65] y la empresa ha elegido margen frente a volumen, con 7,57 M de afiliados de Medicare Advantage a junio frente a 8,45 M a diciembre [5]. Para 2027e el 3,0 % coincide con el consenso (460.336 M) [65]: la tarifa de Medicare Advantage sube un 2,48 % [25] y sigue la salida de afiliados. Desde 2028e el crecimiento vuelve al 5,5 % y baja hasta el 4,0 % en 2032e, por debajo del gasto sanitario de EE. UU. (5,7 % anual previsto por CMS para 2024-2029) [17] y muy por debajo del 10,3 % anual de 2016-2025, que incluía compras por 79.702 M. El consenso de 2028e (487.685 M) queda un 0,3 % por encima de nuestra cifra.</w:t>
      </w:r>
    </w:p>
    <w:p>
      <w:pPr>
        <w:keepNext/>
        <w:spacing w:after="100"/>
      </w:pPr>
      <w:r>
        <w:rPr>
          <w:b/>
          <w:bCs/>
        </w:rPr>
        <w:t xml:space="preserve">Márgenes.</w:t>
      </w:r>
    </w:p>
    <w:p>
      <w:pPr>
        <w:spacing w:after="100"/>
      </w:pPr>
      <w:r>
        <w:t xml:space="preserve">El margen EBITDA de 2026e (6,6 %) sale de la guía de resultado operativo de más de 25.450 M más ≈ 4.300 M de amortizaciones [8], y coincide con el consenso (29.540 M) [65]. Sube al 7,2 % en 2027e (consenso 7,2 %) y al 8,0 % en 2030e, por debajo del 9,1-9,8 % de 2019-2024. La palanca es el ratio de siniestralidad: pasó del 85,5 % (2024) al 89,1 % (2025) y la guía de 2026 es del 88,1 % ± 25 pb [1, 8]; volver al 86-87 % con las subidas de primas de 2026-2027 añade 1-1,5 puntos de margen. No suponemos la vuelta completa al 9,5 % porque el nuevo modelo de ajuste de riesgo (V28) y la reforma de los gestores de farmacia recortan ingresos por miembro [25, 34]. Cada punto de margen mueve el valor unos 73 USD por acción.</w:t>
      </w:r>
    </w:p>
    <w:p>
      <w:pPr>
        <w:keepNext/>
        <w:spacing w:after="100"/>
      </w:pPr>
      <w:r>
        <w:rPr>
          <w:b/>
          <w:bCs/>
        </w:rPr>
        <w:t xml:space="preserve">Inversión y circulante.</w:t>
      </w:r>
    </w:p>
    <w:p>
      <w:pPr>
        <w:spacing w:after="100"/>
      </w:pPr>
      <w:r>
        <w:t xml:space="preserve">UnitedHealth apenas necesita capital: el capex fue del 0,8-0,9 % de las ventas en 2023-2025 y el circulante comercial es negativo (−2,6 % de las ventas en 2025), porque cobra primas antes de pagar a proveedores [1]. Proyectamos un capex del 1,1-1,2 %, por encima de su historia, para dejar sitio a compras pequeñas en Optum (la compra del 2-jul-2026, de 3.000 M, va en el puente) [5]; el último año supera a la amortización (1,0 %). El circulante se mantiene en el −2,6 %. Las reservas médicas (38.930 M) y los cobros anticipados quedan fuera: respaldan la caja regulada que también excluimos del puente. El tipo impositivo es el 18,5 % de la guía en 2026 y el 21 % después, en línea con 2019-2023.</w:t>
      </w:r>
    </w:p>
    <w:p>
      <w:pPr>
        <w:keepNext/>
        <w:spacing w:after="100"/>
      </w:pPr>
      <w:r>
        <w:rPr>
          <w:b/>
          <w:bCs/>
        </w:rPr>
        <w:t xml:space="preserve">Coste del capital.</w:t>
      </w:r>
    </w:p>
    <w:p>
      <w:pPr>
        <w:spacing w:after="100"/>
      </w:pPr>
      <w:r>
        <w:t xml:space="preserve">Tasa libre: bono de EE. UU. a 10 años al 5,22 % (8-oct-2026) [85]. Beta de 0,85: la desapalancada de Damodaran para servicios sanitarios (0,74, corregida por caja) reapalancada con la deuda a mercado de UnitedHealth (20 % sobre el capital) [87]. No usamos la beta de la acción (0,54 mensual a cinco años; 0,43 semanal a dos años) porque refleja una caída idiosincrásica y no el riesgo sistemático [64]. Prima de mercado del 5,5 %; la implícita de Damodaran es del 4,20 % y el motor la usa en la regla relativa [86]. Coste de la deuda del 5,2 % antes de impuestos (intereses de 2025 sobre la deuda media), coherente con sus emisiones recientes al 5,3-5,95 % y su rating A2/A+/A [1]. Peso de la deuda del 16,8 % a valor razonable. Resultado: WACC del 8,92 %.</w:t>
      </w:r>
    </w:p>
    <w:p>
      <w:pPr>
        <w:keepNext/>
        <w:spacing w:after="100"/>
      </w:pPr>
      <w:r>
        <w:rPr>
          <w:b/>
          <w:bCs/>
        </w:rPr>
        <w:t xml:space="preserve">Valor terminal.</w:t>
      </w:r>
    </w:p>
    <w:p>
      <w:pPr>
        <w:spacing w:after="100"/>
      </w:pPr>
      <w:r>
        <w:t xml:space="preserve">Crecimiento a perpetuidad del 3,0 %: inflación de largo plazo en dólares en torno al 2,5 % y algo de crecimiento real del gasto sanitario, que crece por encima del PIB (del 18,0 % del PIB en 2024 a 9,0 billones de USD en 2034, según CMS) [15, 16]. Está por debajo de la tasa libre menos medio punto (4,7 %). Gordon implica 11,8 veces el EBITDA de salida, por debajo de la media histórica de 14,3x y de la mediana de comparables (11,8x en EV/EBITDA de los últimos doce meses), lo que lo hace prudente. El valor terminal pesa el 71 %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585.516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19.499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552.905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394,51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634,88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 M (1 % del NOPAT)</w:t>
            </w:r>
          </w:p>
        </w:tc>
      </w:tr>
    </w:tbl>
    <w:p>
      <w:pPr>
        <w:spacing w:after="160" w:before="0"/>
      </w:pPr>
    </w:p>
    <w:p>
      <w:pPr>
        <w:spacing w:after="100"/>
      </w:pPr>
      <w:r>
        <w:t xml:space="preserve">La proyección apenas necesita inversión neta de la amortización (reinversión acumulada de 1.410 M, el 1 % del NOPAT, con un capex bruto medio del 1,1 % de las ventas). En un negocio de activos ligeros, el crecimiento medio del 3,9 %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los afiliados médicos de UnitedHealthcare bajan de 49,76 M a 48,53 M en el 1S26 y los de Medicare Advantage un 10 % [5]; las salidas son de alto ingreso por afiliado (estimación propia). Precio: tarifa de Medicare Advantage de 2026 del +5,06 % [27] y subidas de primas comerciales; Optum Rx crece con la inflación de los fármacos.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tarifa de Medicare Advantage de 2027 del +2,48 % (4,98 % con la tendencia de riesgo) [25] y primas comerciales al ritmo del coste médico. Volumen: sigue la poda de planes de Medicare Advantage y de Medicaid (la ley OBBBA quita 2,6 M de inscritos al sector en 2027-2028) [29].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vuelta al crecimiento de afiliados con el envejecimiento de la población y Optum Rx ganando recetas (1.659 M en 2025) [1]. Precio: en línea con el gasto sanitario por persona.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que 2028e; por debajo del crecimiento del gasto sanitario nacional (5,7 %)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UnitedHealth ya tiene el 26 % de Medicare Advantage y el 16 % del seguro comercial [18, 29].</w:t>
            </w:r>
          </w:p>
        </w:tc>
      </w:tr>
    </w:tbl>
    <w:p>
      <w:pPr>
        <w:spacing w:after="160" w:before="0"/>
      </w:pPr>
    </w:p>
    <w:p>
      <w:pPr>
        <w:spacing w:after="100"/>
      </w:pPr>
      <w:r>
        <w:t xml:space="preserve">En parte. La proyección no pide capital (reinversión neta del 1 % del NOPAT): la prueba es el poder de precios y la cuota. El precio sí lo tiene: las primas siguen al coste médico con un año de retraso y la tarifa pública de Medicare Advantage sube un 2,48 % en 2027 [25]. La cuota no: UnitedHealth bajó del 29 % al 26 % de Medicare Advantage en un año [18] y pierde afiliados por decisión propia. Prueba de cuota a mano (el motor no puede hacerla porque la cuota publicada es de Medicare Advantage): los ingresos de 2025 equivalen al 7,9 % del gasto sanitario de EE. UU. (5,66 billones) [17]; nuestros 486.349 M de 2028e serían el 7,3 % de los 6,63 billones previstos, una cuota menor (estimación propia). El caso base crece menos que el mercado; lo exigente es el margen, no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(base: 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(WACC: 8,9 %)</w:t>
            </w:r>
          </w:p>
        </w:tc>
      </w:tr>
    </w:tbl>
    <w:p>
      <w:pPr>
        <w:spacing w:after="160" w:before="0"/>
      </w:pPr>
    </w:p>
    <w:p>
      <w:pPr>
        <w:spacing w:after="100"/>
      </w:pPr>
      <w:r>
        <w:t xml:space="preserve">El DCF da 415,08 USD por acción, un 9,4 % por encima del precio, con un WACC del 8,92 % y un valor terminal que pesa el 71 %. El DCF inverso dice que el precio de 379,30 USD descuenta un crecimiento anual del 3,2 % en 2027e-2032e (frente a nuestro 4,6 %) o, con nuestro crecimiento, un margen EBITDA final del 7,5 % (frente a nuestro 8,0 % y al 9,1-9,8 % de 2019-2024); dicho de otro modo, el precio rinde un 9,4 % anual, medio punto más que nuestro coste de capital. No es una exigencia alta: el mercado ya paga una recuperación parcial del margen (del 6,6 % de 2026e a algo más del 7 %), pero no la vuelta a los niveles previos a 2025. Nuestras cifras de 2026-2028 coinciden con el consenso (EBITDA de 33.192 M en 2027e frente a 33.170 M), así que la diferencia entre valor y precio sale casi entera de la tasa de descuento: con la prima implícita del mercado (4,20 %), el DCF sube a 508,21 USD. La variable que decide es el ratio de siniestralidad: cada punto de margen EBITDA vale unos 73 USD por acción.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médico no cede: el ratio de siniestralidad se queda en el 88-89 % de 2025-2026, las tarifas de Medicare Advantage de 2028 vuelven a subir poco y el DOJ cierra sus investigaciones con una multa y cambios en la codificación de riesgo. El margen EBITDA se queda en el 6,5 %, el nivel de 2025-2026, y el mercado exige más prima por el riesgo regulatorio. Es lo que ya le pasó a la empresa en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de 2027-2028: las subidas de primas recuperan el ratio de siniestralidad hacia el 87 %, Optum Health vuelve a márgenes positivos y el margen EBITDA llega al 8,0 % en 2030, todavía por debajo del de 2019-2024. Los ingresos crecen un 4,6 % anual desde 2027, menos que el gasto sanitario.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disciplina de precios de Hemsley devuelve el margen EBITDA al 9 %, cerca del 9,1-9,8 % de 2019-2024, las investigaciones se cierran sin cargos materiales y la empresa vuelve a ganar afiliados en Medicare Advantage desde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7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398,95 USD (+5,2 %).</w:t>
      </w:r>
    </w:p>
    <w:p>
      <w:pPr>
        <w:spacing w:after="100"/>
      </w:pPr>
      <w:r>
        <w:t xml:space="preserve">La asimetría con nuestro coste de capital es de 1,05 veces: el alcista gana un 37,2 % (520,36 USD) y el bajista pierde un 35,3 % (245,27 USD), y el valor ponderado (398,95 USD) apenas supera el precio. El bajista no es cosmético: es el margen de 2025-2026 mantenido en el tiempo, algo que la empresa ya ha vivido. Con la prima implícita del mercado, la asimetría sube a 3,24 veces porque el alcista gana más con un WACC menor. Para un inversor que exija el 8,9 % de nuestro WACC, el perfil no compensa; para uno que se conforme con lo que hoy pide el mercado (8,0 %), sí.</w:t>
      </w:r>
    </w:p>
    <w:p>
      <w:pPr>
        <w:pStyle w:val="Heading1"/>
      </w:pPr>
      <w:r>
        <w:t xml:space="preserve">22. Suma de partes</w:t>
      </w:r>
    </w:p>
    <w:p>
      <w:pPr>
        <w:pStyle w:val="Confianza"/>
        <w:spacing w:after="100"/>
      </w:pPr>
      <w:r>
        <w:t xml:space="preserve">Confianza: Media</w:t>
      </w:r>
    </w:p>
    <w:p>
      <w:pPr>
        <w:spacing w:after="100"/>
      </w:pPr>
      <w:r>
        <w:t xml:space="preserve">Con la guía de resultado operativo de 2026 por segmento y múltiplos de cada negocio, la suma de partes da 291,92 USD por acción (234,70-349,14 con ± 2 veces), un 23 % por debajo del precio. Optum vale el 55 % del valor empresa de la suma (187.925 de 343.925 M) y UnitedHealthcare el 45 %. La lectura es que el precio no se explica con los resultados de 2026: el mercado paga ya la recuperación de los márgenes de UnitedHealthcare y Optum Health. No aplicamos descuento de conglomerado: los negocios comparten clientes y datos (Optum Rx y Optum Health dan servicio a los afiliados de UnitedHealthcare) y las eliminaciones entre segmentos (173.436 M de ingresos en 2025) muestran esa integración [1]. Pesa un 15 % en la síntesis.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UnitedHealthcare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2026e (guía)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 con margen deprimido (3,5 % en 2026e frente al 5-6 % de 2016-2024) [1, 8]: 13 veces el resultado operativo, cerca del EV/EBITDA de Elevance (13,3x) y por encima de CVS (10,3x), porque el resultado está en mínimos del ciclo [69, 71].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2026e (guía)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Atención sanitaria con riesgo (consultas y atención domiciliaria) con el margen hundido (≈ 2,4 % en 2026e, estimación propia frente al 7,4 % de 2024) [1, 8]: 15 veces un resultado que está en mínimos; las compras del área se pagaron a 17,9-18,1 veces el EBITDA [90, 91].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Insight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2026e (guía)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y servicios para hospitales y aseguradoras, con cartera de pedidos de 31.100 M [1]: 16 veces el resultado operativo, por debajo de los 18,1 veces el EBITDA pagados por Change Healthcare [90], por el riesgo del ciberataque y la pérdida de clientes.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Optum Rx</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2026e (guía)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 de farmacia: Cigna, cuyo resultado es mayoritariamente de Express Scripts, cotiza a 7,8 veces el EBITDA y se compró a 9,2 veces [70, 88]; aplicamos 12 veces el resultado operativo por el crecimiento (154.726 M de ingresos en 2025, +16 %) y a pesar de la reforma de los gestores de farmacia [1, 34].</w:t>
            </w:r>
          </w:p>
        </w:tc>
      </w:tr>
    </w:tbl>
    <w:p>
      <w:pPr>
        <w:spacing w:after="160" w:before="0"/>
      </w:pPr>
    </w:p>
    <w:p>
      <w:pPr>
        <w:spacing w:after="100"/>
      </w:pPr>
      <w:r>
        <w:rPr>
          <w:b/>
          <w:bCs/>
        </w:rPr>
        <w:t xml:space="preserve">Valor por acción por suma de partes:</w:t>
      </w:r>
      <w:r>
        <w:t xml:space="preserve"> 291,92 (-23,0 %); con ±1x en los múltiplos, 234,70 – 349,14.</w:t>
      </w:r>
    </w:p>
    <w:p>
      <w:pPr>
        <w:pStyle w:val="Heading1"/>
      </w:pPr>
      <w:r>
        <w:t xml:space="preserve">23. Síntesis de valoración</w:t>
      </w:r>
    </w:p>
    <w:p>
      <w:pPr>
        <w:pStyle w:val="Confianza"/>
        <w:spacing w:after="100"/>
      </w:pPr>
      <w:r>
        <w:t xml:space="preserve">Confianza: Alta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7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371,62 USD (-2,0 % sobre 379,30).</w:t>
      </w:r>
    </w:p>
    <w:p>
      <w:pPr>
        <w:spacing w:after="100"/>
      </w:pPr>
      <w:r>
        <w:t xml:space="preserve">El puente es del 10-Q del 2T26 (30-jun-2026): deuda de 73.328 M, minoritarios contables de 7.502 M (1.436 M rescatables y 6.066 M no rescatables), participadas de 4.000 M a valor contable y 5.000 M de otros ajustes (2.000 M de la recompra a plazo pagada el 1-jul, porque las acciones son las de la portada del 31-jul, y 3.000 M de la compra cerrada el 2-jul) [5]. La decisión clave es la caja: de los 28.585 M de caja y equivalentes, solo 1.100 M son de libre uso; el resto, con las inversiones a corto y largo (60.599 M más), respalda reservas médicas (38.930 M) y el capital estatutario (mínimo de 23.200 M) [1, 5]. Como su rendimiento ya está en el EBITDA, solo cuenta la caja no regulada; contar la caja y las inversiones a corto (31.468 M) añadiría unos 34 USD por acción. Pesos: el DCF y los escenarios (70 %) porque el valor depende de la recuperación del margen; comparables (PER) y suma de partes, un 15 % cada uno, porque reflejan el resultado deprimido de 2026; transacciones, nada, porque no hay operación posible.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(18.2x) × 1.1 (tope: la mediana de 5 años, 23.7x,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677,09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+80,9 %</w:t>
            </w:r>
          </w:p>
        </w:tc>
      </w:tr>
    </w:tbl>
    <w:p>
      <w:pPr>
        <w:spacing w:after="160" w:before="0"/>
      </w:pPr>
    </w:p>
    <w:p>
      <w:pPr>
        <w:spacing w:after="100"/>
      </w:pPr>
      <w:r>
        <w:rPr>
          <w:b/>
          <w:bCs/>
        </w:rPr>
        <w:t xml:space="preserve">Objetivo a 12 meses (ponderado):</w:t>
      </w:r>
      <w:r>
        <w:t xml:space="preserve"> 469,09 USD · rentabilidad +26,0 % (base +26,0 %) · señal Mantener.</w:t>
      </w:r>
    </w:p>
    <w:p>
      <w:pPr>
        <w:spacing w:after="100"/>
      </w:pPr>
      <w:r>
        <w:t xml:space="preserve">Para comparar, con la regla v2 (historia al cierre, mismo precio): 15,5x / 18,2x / 23,0x, 18,2 % Mantener; con el tope anterior del base (×1,3, 14-oct mediodía): 29,2 % Mantener. Decide la regla vigente (v3 con tope ×1,1; METODO-VIGENTE.md).</w:t>
      </w:r>
    </w:p>
    <w:p>
      <w:pPr>
        <w:keepNext/>
        <w:spacing w:after="100"/>
      </w:pPr>
      <w:r>
        <w:rPr>
          <w:b/>
          <w:bCs/>
        </w:rPr>
        <w:t xml:space="preserve">Frente al consenso (solo contraste).</w:t>
      </w:r>
    </w:p>
    <w:p>
      <w:pPr>
        <w:spacing w:after="100"/>
      </w:pPr>
      <w:r>
        <w:t xml:space="preserve">Nuestro BPA base de 2028e (23,45) se separa un -4,1 % del consenso (24,45) y nuestro precio base (426,79) un -11,2 % del objetivo medio de los analistas (480,60).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371,62 (-2,0 %) frente al objetivo a 12 meses ponderado 439,57 (+18,3 % con dividendo; base +14,9 %).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posible revisión de la guía de 2026 [68]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ratio de siniestralidad del trimestre frente a la guía anual del 88,1 % y el desarrollo de reservas; las opciones descuentan un movimiento de ≈ 7 % [107]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 a 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Inscripción abierta de Medicare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cuántos afiliados de Medicare Advantage pierde tras cerrar planes; Humana mejoró sus estrellas y UnitedHealth no [108]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tarifas de Medicare Advantage del +2,48 %; el consenso espera un BPA ajustado de 22,61 USD [25,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tarifas de Medicare Advantage para 2028 (CMS)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aviso de 2027 (+0,09 %) costó un −19,6 % en un día; el comunicado final llega en abril [26, 64]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las investigaciones penal y civil del DOJ sobre Medicare Advantage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o acuerdo y posibles cambios en la codificación de riesgo; la empresa no las cuantifica [5,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resto de Sudamérica y desinversión de 164 centros de Amedisys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Simplifica la cartera; efecto pequeño en el valor [1, 62]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médico por encima de las primas: el ratio de siniestralidad no vuelve al 86-87 %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en el escenario bajista; ≈ −13 % por cada punto de ratio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Repricing anual de las primas comerciales y salida de planes de Medicare Advantage poco rentables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siniestralidad trimestral por encima del 88,5 % sin desarrollo favorable de reservas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Investigaciones penal y civil del DOJ sobre la codificación de riesgo en Medicare Advantage y demanda bajo la False Claims Act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Multa no cuantificable; si cambia la codificación, −1 punto de margen ≈ −18 %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Special Master recomendó fallar a favor de la empresa en la demanda de 2017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o acusación del DOJ; nuevas citaciones en el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 Advantage y ajuste de riesgo (V28) más duros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(estimación propia: 0,5-1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mantuvo el modelo de 2024 para 2027 y subió la tarifa al 2,48 % en el comunicado final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tarifas de 2028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los resultados de 2026 se apoyan en desarrollo favorable de ejercicios anteriores (1.250 M en el 1S26)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no se repite (≈ 0,3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siniestros pendientes estables (47,0 en el 2T26)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desfavorable de reservas o caída de los días de siniestros pendientes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 de los gestores de farmacia y presión sobre Optum Rx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ley de febrero de 2026 desvincula la remuneración del precio en Part D, no la elimina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Optum Rx por debajo del 3,5 %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Hemsley tiene 73 años y su opción de 60 M USD se consolida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+0,5 puntos ≈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CFO externo y nuevos jefes de Optum y UnitedHealthcare [38, 45]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en la cúpula o ausencia de sucesor designado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demanda colectiva de CalPERS, ajustes del IRS por precios de transferencia y reclamaciones del ciberataque de Change Healthcare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juez desestimó 43 de 48 declaraciones de la demanda de CalPERS [63]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nuevas en el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Medicaid y fin de los subsidios reforzados del ACA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ya redujo Medicaid (6,78 M de afiliados a junio frente a 7,38 M en diciembre)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Ratio de siniestralidad de Medicaid por encima del 92 %</w:t>
            </w:r>
          </w:p>
        </w:tc>
      </w:tr>
    </w:tbl>
    <w:p>
      <w:pPr>
        <w:spacing w:after="160" w:before="0"/>
      </w:pPr>
    </w:p>
    <w:p>
      <w:pPr>
        <w:pStyle w:val="Heading2"/>
      </w:pPr>
      <w:r>
        <w:t xml:space="preserve">Pre-mortem</w:t>
      </w:r>
    </w:p>
    <w:p>
      <w:pPr>
        <w:spacing w:after="100"/>
      </w:pPr>
      <w:r>
        <w:t xml:space="preserve">Octubre de 2029: la acción vale 230 USD y ha perdido un 40 %. La recuperación de 2026 fue en parte contable: el desarrollo favorable de reservas (1.250 M en el primer semestre) se agotó en 2027 y el ratio de siniestralidad volvió al 89 %, porque la utilización de servicios en mayores y los fármacos GLP-1 siguieron subiendo más deprisa que las primas. CMS, con el foco político en los «sobrepagos» a Medicare Advantage, publicó tarifas planas para 2028 y 2029 y endureció la revisión de diagnósticos. En 2028 el DOJ cerró sus investigaciones con un acuerdo multimillonario y la obligación de cambiar la codificación de riesgo, lo que restó ingresos por afiliado de forma permanente. Hemsley cumplió los 76, cobró su opción y dejó la empresa sin un sucesor claro. El margen EBITDA se quedó en el 6,5 % y el mercado dejó de pagar la prima frente a Elevance y Cigna: con 13 veces el beneficio, el precio cayó por debajo de 250 USD. Los indicadores que lo habrían anticipado: el ratio de siniestralidad trimestral sin el desarrollo de reservas, el aviso de tarifas de enero de 2027 y los días de siniestros pendientes.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14,5, riesgo bajo (ambiental 0,1; social 10,7; gobierno 3,7) [35]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El primer asunto material es la ciberseguridad y la privacidad de datos de salud: el ataque a Change Healthcare de febrero de 2024 afectó a unos 190 M de personas, costó 2.200 M USD de respuesta directa en 2024 y 867 M de negocio perdido en Optum Insight, obligó a prestar más de 9.000 M sin intereses a proveedores y aún en el 4T25 exigió 799 M de provisiones por esos préstamos [1, 2]. El segundo es el acceso a la atención y la integridad de la facturación a Medicare: el ajuste por riesgo y la codificación de diagnósticos están bajo auditoría de CMS (RADV) y del DOJ [1, 30]. El tercero, la asequibilidad: el compromiso de devolver el beneficio de 2026 del seguro individual del ACA [5].</w:t>
      </w:r>
    </w:p>
    <w:p>
      <w:pPr>
        <w:pStyle w:val="Heading2"/>
      </w:pPr>
      <w:r>
        <w:t xml:space="preserve">Controversias</w:t>
      </w:r>
    </w:p>
    <w:p>
      <w:pPr>
        <w:spacing w:after="100"/>
      </w:pPr>
      <w:r>
        <w:t xml:space="preserve">Ciberataque a Change Healthcare (21-feb-2024) [2]. Asesinato del consejero delegado de UnitedHealthcare, Brian Thompson, en Nueva York el 4-dic-2024, que abrió un debate público sobre la denegación de coberturas [33]. Investigaciones penal y civil del DOJ sobre Medicare Advantage, comunicadas el 24-jul-2025 [30]. Demanda por la ley de reclamaciones falsas (False Claims Act) sobre el ajuste por riesgo, asumida por el DOJ en 2017: en marzo de 2025 un perito judicial recomendó fallar a favor de la empresa y el DOJ lo recurrió en abril de 2025 [1,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mejora del ratio de siniestralidad de 2026 viene del desarrollo favorable de reservas (860 M en el 2T26 según la nota de prensa, 200 M según el 10-Q) y qué ratio subyacente esperan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las reservas, el ratio del 2T26 (86,7 %) sería más alto; cada punto vale ≈ 13 %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DOJ</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fase están las investigaciones penal y civil sobre Medicare Advantage y qué prácticas de codificación se han cambiado ya?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10-Q del 2T26 no las cuantifica ni da novedades; es el mayor riesgo binario.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 Advantage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afiliados esperan perder en 2027 y con qué margen objetivo por afiliado?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cayó del 29 % al 26 % en un año; la estrategia de margen frente a volumen decide el crecimiento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Optum Health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es alcanzable en Optum Health en 2028 tras la poda de contratos de riesgo y la venta de centros?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de 7.770 M de resultado en 2024 a −278 M en 2025; es la parte de la suma de partes con más recorrido.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volverán las filiales reguladas a pagar dividendos a la matriz (9.200 M en 2024; aportación neta de 535 M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1.100 M de la caja son libres; la recompra de 5.000 M de 2026 depende de esos dividendos.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 Hemsley antes de que se consolide su opción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casi total de la cúpula en 2025-2026 y presidente y CEO en la misma persona.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Optum Rx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resultado de Optum Rx depende de remuneraciones ligadas al precio de los fármacos que la reforma de 2026 desvincula?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Optum Rx aporta ≈ 25 % del resultado operativo del grupo en 2026e.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y noticias sobre UNH, canal RSS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mediados de agosto y el 12 de octubre los colaboradores pasan de «es hora de comprar la recuperación» y «la recuperación de márgenes da más recorrido» (septiembre) a «el potencial se ha agotado», «la recuperación funciona, la acción no» y una rebaja de recomendación (finales de septiembre y octubre); solo se leyeron titulares y fechas, porque las páginas devuelven 403 [100].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 (artículos de opinión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comprador: presentan a UNH como una historia de recuperación con valoración razonable y dividendo más alto de lo habitual, aunque admiten que el entusiasmo se ha enfriado desde el máximo de julio y que el margen comercial tardará más en recuperarse [101, 102, 103, 104, 105].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TipRanks (indicador de carteras de particulares y de blogueros)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indicador de carteras de particulares marca «muy negativo» (reducen posiciones en los últimos 7 y 30 días) mientras el de blogueros sale alcista y por encima de la media del sector; el avance de resultados subraya que la acción cayó con fuerza tras batir previsiones en enero [106, 107].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y Yahoo Finance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Prudentemente positivos: el múltiplo «se ha reajustado» y puede descontar ya buena parte de lo malo, pero ingresos casi planos y márgenes estrechos dejan poco margen para decepcionar; destacan la venta de clínicas de Florida a TPG y la simplificación de Optum Health [110, 111].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24/7 Wall St. (artículos de mercado y de finanzas personales)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UNH «se mantiene» mientras Humana sube con fuerza por sus estrellas de Medicare y CVS cae; el cierre de planes de Medicare Advantage que denuncian divulgadores de finanzas personales y la llamada de «historia de recuperación» en televisión se leen como dos caras del mismo recorte de afiliados [108, 109].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(flujo de noticias y titulares sobre UNH)</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la semana previa a resultados muy repartidos: gestoras que suben y que recortan posición, avances que dudan si la acción subirá o bajará tras el 3T, artículos de «ganga» junto a una nota de un bufete que investiga si los directivos incumplieron sus deberes fiduciarios [112].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siniestralidad (MCR) y recuperación de márgenes: los resultados del 3T26 como prueba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86,7 % del 2T26 incluía 860 M de desarrollo favorable de ejercicios anteriores y la guía anual es de 88,1 % ± 25 pb, lo que implica un MCR más alto en el segundo semestre por pura estacionalidad: quien espera «mantener o bajar» el 86,7 % en el 3T pide más de lo que la propia guía promete [105].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rebote desde el mínimo de marzo: ¿queda recorrido?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subió de 255,97 USD (27-mar) a 461,62 USD (16-jul) y cerró a 379,30 USD el 9-oct; los foros se parten entre «más barata cada vez» y «el potencial se ha agotado», sin que nadie discuta que el precio ya no es de capitulación [100, 102, 111].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Medicare Advantage: cierre de planes, pérdida de afiliados, tarifas y estrellas de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unos el recorte de afiliados es la disciplina de precios que explica la mejora del margen; para otros, una pérdida de cuota frente a Humana, que mejora sus estrellas; la cifra de afiliados perdidos que circula hay que comprobarla en el 10-Q del 2T26 [108, 109].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negocio comercial (GLP-1, fármacos antiinflamatorios, arbitrajes de facturación)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dirección dijo en la conferencia del 2T26 que la recuperación del margen comercial llevará más de lo previsto: es el riesgo que la gente sí ha recogido y que explica parte de la caída desde julio [101, 102].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DOJ, litigios y gobierno (vuelta de Hemsley)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Apenas aparece en lo leído: solo un titular de un bufete sobre posibles incumplimientos de deberes fiduciarios; las investigaciones del DOJ siguen abiertas según la empresa, así que la escasa atención de los particulares puede infravalorar un riesgo binario [112].</w:t>
            </w:r>
          </w:p>
        </w:tc>
      </w:tr>
    </w:tbl>
    <w:p>
      <w:pPr>
        <w:spacing w:after="160" w:before="0"/>
      </w:pPr>
    </w:p>
    <w:p>
      <w:pPr>
        <w:spacing w:after="100"/>
      </w:pPr>
      <w:r>
        <w:t xml:space="preserve">El sentimiento no es extremo: ni la capitulación de marzo ni la euforia de julio. Los particulares que escriben se han enfriado (el indicador de carteras de TipRanks marca salidas y los colaboradores de Seeking Alpha publican rebajas y tesis de «potencial agotado»), mientras blogueros y analistas siguen mayoritariamente alcistas [100, 106, 107]. Eso va en contra del consenso profesional y deja la acción expuesta a una lectura exigente del 3T26: el mercado de opciones descuenta un movimiento de alrededor del 7 % [107]. El foco casi exclusivo en el MCR del trimestre es un riesgo, porque la guía anual ya implica un segundo semestre peor que el 2T. Llama la atención que el DOJ y el gobierno casi no se discutan: si hubiera novedades, el mercado no las tiene descontadas.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112 (64 primarias); citas distintas en el texto: 112.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-2,6 % frente a -2,6 % real: genera una variación de circulante de 77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112 fuentes (64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(transcripción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web de la transcripción del 1T26; 2) Insider Monkey: solo publica el arranque, el resto tras registro; 3) AOL/Motley Fool: la dirección da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(salvo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 empresa (no dan consenso); 2) transcripción del 2T26 de Motley Fool (no da el consenso previo); 3) búsqueda web de la transcripción del 1T26 (solo da el del 1T26)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8 del 10-K 2025 (solo vencimientos por año); 2) 10-Q del 2T26 (remite al 10-K); 3) XBRL companyfacts (sin dato de vida media)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extra.caja_no_regulada (2016, 2017, 2019, 2020, 2022 y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2018 (solo da 2018); 2) 10-K 2021 (solo 2021); 3) 10-K 2024 (solo 2024); no se bajaron los 10-K de esos años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desinversiones 2016-2019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ProceedsFromDivestitureOfBusinesses (empieza en 2020); 2) 10-K 2018 (no hay línea separada en el estado de flujos); 3) 10-K 2021 (desde 2019 sin dato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ESG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empresa en Sustainalytics/MSCI (carga con JavaScript, sin dato); 2) búsqueda web de la nota MSCI de UNH (sin letra publicada en abierto); 3) MarketScreener y Yahoo Finance (solo descripción cualitativa o puntuaciones de Sustainalytics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(ejercicio 2021 y reexpresión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(2023-2025); 2) 10-K 2024 (2022); 3) el 10-K 2023 no se descargó por presupuesto; la reexpresión de 2026 (Optum Bank pasa a Optum Insight) solo está en los 10-Q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StockAnalysis forecast: solo ingresos y BPA (EBITDA previsto de pago); 2) MarketScreener: no consultado para los ocho comparables por presupuesto de llamadas; 3) cálculo con el margen LTM: descartado por mezclar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con comentarios de particulares: Stocktwits, Seeking Alpha comentarios, Rankia, InvestorsHub, Stockhouse, Investing.com)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y web), artículos de Seeking Alpha e Investing.com con WebFetch y descargar.mjs: HTTP 403; 2) InvestorsHub y Stockhouse: HTTP 403; Rankia: sin hilo propio de UNH localizable (la etiqueta y la búsqueda llevan a hilos ajenos o 404); 3) se sustituye por titulares de colaboradores de Seeking Alpha, el indicador de particulares de TipRanks y artículos de opinión para particulares (Motley Fool, Insider Monkey, 24/7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https://www.sec.gov/Archives/edgar/data/731766/000073176626000062/unh-20251231.htm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https://www.sec.gov/Archives/edgar/data/731766/000073176625000063/unh-20241231.htm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https://www.sec.gov/Archives/edgar/data/731766/000073176622000008/unh-20211231.htm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10-K del ejercicio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https://www.sec.gov/Archives/edgar/data/731766/000073176619000005/unh2018123110-k.htm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https://www.sec.gov/Archives/edgar/data/731766/000073176626000197/unh-20260630.htm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10-Q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https://www.sec.gov/Archives/edgar/data/731766/000073176626000127/unh-20260331.htm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Form 10-Q del tercer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https://www.sec.gov/Archives/edgar/data/731766/000073176625000305/unh-20250930.htm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https://www.sec.gov/Archives/edgar/data/731766/000073176626000191/earningsrelease2q26_7152.htm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https://www.sec.gov/Archives/edgar/data/731766/000073176626000121/earningsrelease1q26press.htm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 2025 y guía 2026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https://www.sec.gov/Archives/edgar/data/731766/000073176626000025/a991unherq42025.htm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https://www.sec.gov/Archives/edgar/data/731766/000073176625000301/a2025q3exhibit991.htm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UnitedHealth Group (companyfacts, CIK 731766)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https://data.sec.gov/api/xbrl/companyfacts/CIK0000731766.json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(UNH)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https://www.mitrade.com/insights/news/live-news/article-8-1910297-20260717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Incorporated (NYSE:UNH) Q1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https://www.insidermonkey.com/blog/unitedhealth-group-incorporated-nyseunh-q1-2026-earnings-call-transcript-1743818/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Fact Sheet (National Health Expenditures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https://www.cms.gov/data-research/statistics-trends-and-reports/national-health-expenditure-data/nhe-fact-sheet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Health Expenditure Projections 2025-2034: Forecast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https://www.cms.gov/files/document/nhe-projections-forecast-summary.pdf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Projections 2025-2034, Table 1: National Health Expenditures and Selected Economic Indicators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https://www.cms.gov/files/zip/nhe-projections-tables.zip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Advantage in 2026: Enrollment Update and Key 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https://www.kff.org/medicare/medicare-advantage-in-2026-enrollment-update-and-key-trends/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https://www.sec.gov/Archives/edgar/data/1156039/000115603926000013/elv-20251231.htm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https://www.sec.gov/Archives/edgar/data/1739940/000173994026000006/ci-20251231.htm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https://www.sec.gov/Archives/edgar/data/64803/000006480326000010/cvs-20251231.htm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https://www.sec.gov/Archives/edgar/data/49071/000004907126000009/hum-20251231.htm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https://www.sec.gov/Archives/edgar/data/1071739/000107173926000049/cnc-20251231.htm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https://www.sec.gov/Archives/edgar/data/1179929/000117992926000005/moh-20251231.htm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Advance Notice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https://www.cms.gov/newsroom/fact-sheets/2027-medicare-advantage-part-d-advance-notice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https://www.cms.gov/newsroom/fact-sheets/2026-medicare-advantage-part-d-rate-announcement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Top Pharmacy Benefit Managers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Drug Channels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https://www.drugchannels.net/2026/03/the-top-pharmacy-benefit-managers-of.html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in Health Insurance: A Comprehensive Study of U.S. Markets (actualización 2025, datos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Medical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https://www.ama-assn.org/system/files/competition-health-insurance-us-markets.pdf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8-K (punto 8.01) sobre las investigaciones del DOJ</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https://www.sec.gov/Archives/edgar/data/731766/000073176625000224/unh-20250723.htm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8-K (punto 5.02): dimisión de Andrew Witty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https://www.sec.gov/Archives/edgar/data/731766/000073176625000150/unh-20250520.htm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proxy statement (DEF 14A)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https://www.sec.gov/Archives/edgar/data/731766/000110465926046125/tm261387-6_def14a.htm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(artículo de enciclopedia)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https://en.wikipedia.org/wiki/UnitedHealth_Group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Chairman Guthrie Celebrates Long-Awaited PBM Reform Being Signed into Law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Energía y Comercio de la Cámara de Representantes de EE. UU.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https://republicans-energycommerce.house.gov/posts/chairman-guthrie-celebrates-long-awaited-pbm-reform-being-signed-into-law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(UNH): ficha con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https://www.home.saxo/en-gb/markets/stocks/unh-xnys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informe anual 10-K 2015 (compra de Catamaran)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https://www.sec.gov/Archives/edgar/data/731766/000073176616000058/unh2015123110-k.htm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salida de Andrew Witty y nombramiento de Stephen Hemsley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https://www.sec.gov/Archives/edgar/data/731766/000073176625000134/unh-20250512.htm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Wayne DeVeydt como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https://www.sec.gov/Archives/edgar/data/731766/000073176625000232/unh-20250725.htm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https://www.sec.gov/Archives/edgar/data/731766/000073176624000167/unh-20240603.htm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5.07): junta de 2025 y cancelación de las PSU de Witty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https://www.sec.gov/Archives/edgar/data/731766/000073176625000154/unh-20250602.htm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https://www.sec.gov/Archives/edgar/data/731766/000073176626000138/unh-20260601.htm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obligación de mantener las acciones de la opción de Hemsley hasta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https://www.sec.gov/Archives/edgar/data/731766/000073176626000046/unh-20260223.htm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Scott Gottlieb como consejero independiente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https://www.sec.gov/Archives/edgar/data/731766/000073176625000314/unh-20251118.htm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nuevo Chief Accounting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https://www.sec.gov/Archives/edgar/data/731766/000073176626000064/unh-20260224.htm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Cianfrocco a Gobierno y Cumplimiento; Conway, CEO de Optum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https://www.sec.gov/Archives/edgar/data/731766/000073176625000125/unh-20250429.htm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UnitedHealth Group (abr-2025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https://www.sec.gov/cgi-bin/browse-edgar?action=getcompany&amp;CIK=0000731766&amp;type=4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(10,08 %)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https://www.sec.gov/Archives/edgar/data/731766/000093247125000662/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(realineamiento interno,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https://www.sec.gov/Archives/edgar/data/731766/000010290926002526/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(7,50 %)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https://www.sec.gov/Archives/edgar/data/731766/000210011926001233/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State Street Corporation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https://www.sec.gov/Archives/edgar/data/731766/000009375126000551/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2023 presentada en el Investor Conference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https://www.sec.gov/Archives/edgar/data/731766/000073176622000048/a2022investorconferencegui.htm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2024 presentada en el Investor Conference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https://www.sec.gov/Archives/edgar/data/731766/000073176623000080/a2023investorconferencegui.htm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https://www.sec.gov/Archives/edgar/data/731766/000073176624000023/a2023q4exhibit991.htm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https://www.sec.gov/Archives/edgar/data/731766/000073176625000022/a2024q4exhibit991.htm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https://www.sec.gov/Archives/edgar/data/731766/000073176625000123/a2025q1exhibit991.htm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cambio de CEO y suspensión de la guía 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https://www.sec.gov/Archives/edgar/data/731766/000073176625000134/exhibit991.htm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https://www.sec.gov/Archives/edgar/data/731766/000073176625000228/a2025q2exhibit991.htm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 Berkshire Hathaway, 2T25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https://www.sec.gov/Archives/edgar/data/1067983/000095012325008343/43977.xml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 Berkshire Hathaway, 4T25 (tabla de posiciones)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https://www.sec.gov/Archives/edgar/data/1067983/000119312526054580/50240.xml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 Berkshire Hathaway, 1T26 (tabla de posiciones, sin UNH)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https://www.sec.gov/Archives/edgar/data/1067983/000119312526226661/53405.xml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judgment reached in DOJ's Amedisys-UnitedHealth Group lawsuit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Hospice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https://hospicenews.com/2025/12/12/final-judgement-reached-in-in-dojs-amedisys-unitedhealth-group-lawsuit/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Judge lets CalPERS lawsuit against UnitedHealth proceed in part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Claims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https://www.claimsjournal.com/news/national/2026/10/01/340484.htm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UNH, SPY y XLV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https://finance.yahoo.com/quote/UNH/history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https://www.marketscreener.com/quote/stock/UNITEDHEALTH-GROUP-INC-14750/finances/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https://www.marketscreener.com/quote/stock/UNITEDHEALTH-GROUP-INC-14750/consensus/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UNH stock forecast (consenso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https://stockanalysis.com/stocks/unh/forecast/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Announces Earnings Release Date (Business Wire,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https://finviz.com/news/392380/unitedhealth-group-announces-earnings-release-date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(CVS)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(HUM)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(CNC)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https://stockanalysis.com/stocks/cnc/statistics/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(MOH)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Oscar Health (OSCR)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https://stockanalysis.com/stocks/oscr/statistics/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Alignment Healthcare (ALHC)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(CI)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https://stockanalysis.com/stocks/ci/forecast/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(CVS)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(HUM)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https://stockanalysis.com/stocks/hum/forecast/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(CNC)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https://stockanalysis.com/stocks/cnc/forecast/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(MOH)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https://stockanalysis.com/stocks/moh/forecast/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Oscar Health (OSCR)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https://stockanalysis.com/stocks/oscr/forecast/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Alignment Healthcare (ALHC)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https://stockanalysis.com/stocks/alhc/forecast/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to Acquire Express Scripts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https://www.sec.gov/Archives/edgar/data/701221/000095015918000059/ex99-1.htm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Aetna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https://www.sec.gov/Archives/edgar/data/64803/000119312517359526/d482402dex991.htm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OptumInsight and Change Healthcare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https://www.sec.gov/Archives/edgar/data/731766/000119312521002419/d60247dex991.htm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and Optum to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https://www.sec.gov/Archives/edgar/data/896262/000110465923074547/tm2319648d1_ex99-1.htm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Signify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https://www.sec.gov/Archives/edgar/data/64803/000119312522238311/d344935dex991.htm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Express Scripts Holding,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https://data.sec.gov/api/xbrl/companyfacts/CIK0001532063.json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Aetna,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https://data.sec.gov/api/xbrl/companyfacts/CIK0001122304.json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Healthcare,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https://data.sec.gov/api/xbrl/companyfacts/CIK0001756497.json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https://data.sec.gov/api/xbrl/companyfacts/CIK0000896262.json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Health,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https://data.sec.gov/api/xbrl/companyfacts/CIK0001828182.json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Oak Street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https://www.sec.gov/Archives/edgar/data/64803/000094787123000133/ss1747225_ex9901.htm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to acquire remaining interest in Kindred at Home (exhibit 99.3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https://www.sec.gov/Archives/edgar/data/49071/000004907121000079/exhibit993kindredathome-.htm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Incorporated - News and Analysis (canal RSS del valor, titulares de agosto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https://seekingalpha.com/api/sa/combined/UNH.xml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Is Trouncing the Market in 2026. Is the Stock Still a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https://www.fool.com/investing/2026/09/04/unitedhealth-is-trouncing-the-market-in-2026-is-th/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Stock Is Up 39.4% in the Last 6 Months. How High Can It 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https://www.fool.com/investing/2026/09/08/unitedhealth-group-stock-is-up-39-in-the-last-6-mo/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Should You Buy UnitedHealth Group Stock Before Oct. 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https://www.fool.com/investing/2026/09/21/should-you-buy-unitedhealth-group-stock-before-oct-13/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UnitedHealth Stock an Undervalued Stock to Buy Right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https://www.fool.com/investing/2026/09/24/is-unitedhealth-stock-an-undervalued-stock-to-buy/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Reports on Oct. 13. Here's the 1 Number I'm Watching.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https://www.fool.com/investing/2026/10/03/unitedhealth-reports-on-oct-13-heres-the-1-number/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UNH Investor Sentiment (Crowd Wisdom y Blogger Sentiment)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https://www.tipranks.com/stocks/unh/investor-sentiment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Will UnitedHealth Stock Rise or Fall after Q3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https://www.tipranks.com/news/will-unitedhealth-stock-rise-or-fall-after-q3-results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Soars 16% on Improved Medicare Advantage Star Ratings; CVS Slides 3%, UnitedHealth Holds Steady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https://247wallst.com/investing/2026/10/09/humana-soars-16-on-improved-medicare-advantage-star-ratings-cvs-slides-3-unitedhealth-holds-steady/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Suze Orman Warned 390,000 People Their Medicare Plans Are Shutting Down. Then CNBC Called the Same Stock a Turnaround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https://247wallst.com/personal-finance/2026/10/07/suze-orman-warned-390000-people-their-medicare-plans-are-shutting-down-then-cnbc-called-the-same-stock-a-turnaround/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Does UnitedHealth (UNH) Present a Case for Patience in a Margin-Repair 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https://www.insidermonkey.com/news/does-unitedhealth-unh-present-a-case-for-patience-in-a-margin-repair-story-1849912/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UnitedHealth's P/E Has Reset. Is the Stock Finally Undervalued?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 (en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https://finance.yahoo.com/markets/stocks/articles/unitedhealth-p-e-reset-stock-070435587.html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(UNH) News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https://www.marketbeat.com/stocks/NYSE/UNH/news/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93,4 %</w:t>
      </w:r>
      <w:r>
        <w:t xml:space="preserve"> · Secciones con menos del 60 % de campos cubiertos: </w:t>
      </w:r>
      <w:r>
        <w:rPr>
          <w:b/>
          <w:bCs/>
        </w:rPr>
        <w:t xml:space="preserve">ninguna</w:t>
      </w:r>
      <w:r>
        <w:t xml:space="preserve"> · Generado el 14 oct 2026.</w:t>
      </w:r>
    </w:p>
    <w:p>
      <w:pPr>
        <w:pStyle w:val="Nota"/>
        <w:spacing w:after="100"/>
      </w:pPr>
      <w:r>
        <w:t xml:space="preserve">Precio de cierre del viernes 9-oct-2026: la sesión del lunes 12-oct, fecha de corte, no había cerrado. Los resultados del 3T26 se publican el 13-oct-2026, al día siguiente del corte, y no se recogen. Criterio de flotante: UnitedHealth es una aseguradora de salud con reservas de cola corta; el EBITDA incluye el rendimiento de las inversiones de las filiales reguladas («investment and other income», 3.920 M en 2025) y, por coherencia, la caja e inversiones de esas filiales quedan fuera del puente (solo cuentan los 1.100 M de caja no regulada a 30-jun-2026), y los «medical costs payable» y los ingresos cobrados por anticipado quedan fuera del circulante comercial. El balance histórico conserva la caja publicada (caja + inversiones a corto), por lo que la deuda neta histórica y el ROIC del motor no son del todo homogéneos con el puente. Los segmentos de 2016-2025 son los publicados en su día (no reexpresados por el paso de Optum Financial a Optum Insight en 2026). Los múltiplos de los comparables son de Stock Analysis, cuyo valor empresa resta la caja regulada de las aseguradoras: por eso la síntesis usa solo su PER.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UnitedHealth Group Incorporated (UNH)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379,30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(255,97 – 461,62)</c:v>
                </c:pt>
                <c:pt idx="1">
                  <c:v>Precio objetivo de los analistas (380,00 – 529,00)</c:v>
                </c:pt>
                <c:pt idx="2">
                  <c:v>Comparables: PER NTM (224,32 – 360,45)</c:v>
                </c:pt>
                <c:pt idx="3">
                  <c:v>Transacciones precedentes (EV/EBITDA) (341,41 – 482,94)</c:v>
                </c:pt>
                <c:pt idx="4">
                  <c:v>DCF (WACC y g ± 0,5) (350,91 – 505,10)</c:v>
                </c:pt>
                <c:pt idx="5">
                  <c:v>Escenarios (bajista – alcista) (245,27 – 520,36)</c:v>
                </c:pt>
                <c:pt idx="6">
                  <c:v>Suma de partes (234,70 – 349,14)</c:v>
                </c:pt>
                <c:pt idx="7">
                  <c:v>DCF con la prima implícita del mercado (4,2 %)</c:v>
                </c:pt>
                <c:pt idx="8">
                  <c:v>Precio actual (379,30)</c:v>
                </c:pt>
              </c:strCache>
            </c:strRef>
          </c:cat>
          <c:val>
            <c:numRef>
              <c:f>Hoja1!$B$2:$B$10</c:f>
              <c:numCache>
                <c:formatCode>#,##0</c:formatCode>
                <c:ptCount val="9"/>
                <c:pt idx="0">
                  <c:v>255.97</c:v>
                </c:pt>
                <c:pt idx="1">
                  <c:v>380</c:v>
                </c:pt>
                <c:pt idx="2">
                  <c:v>224.32</c:v>
                </c:pt>
                <c:pt idx="3">
                  <c:v>341.41</c:v>
                </c:pt>
                <c:pt idx="4">
                  <c:v>350.91</c:v>
                </c:pt>
                <c:pt idx="5">
                  <c:v>245.27</c:v>
                </c:pt>
                <c:pt idx="6">
                  <c:v>234.7</c:v>
                </c:pt>
                <c:pt idx="7">
                  <c:v>453.68</c:v>
                </c:pt>
                <c:pt idx="8">
                  <c:v>377.4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(255,97 – 461,62)</c:v>
                </c:pt>
                <c:pt idx="1">
                  <c:v>Precio objetivo de los analistas (380,00 – 529,00)</c:v>
                </c:pt>
                <c:pt idx="2">
                  <c:v>Comparables: PER NTM (224,32 – 360,45)</c:v>
                </c:pt>
                <c:pt idx="3">
                  <c:v>Transacciones precedentes (EV/EBITDA) (341,41 – 482,94)</c:v>
                </c:pt>
                <c:pt idx="4">
                  <c:v>DCF (WACC y g ± 0,5) (350,91 – 505,10)</c:v>
                </c:pt>
                <c:pt idx="5">
                  <c:v>Escenarios (bajista – alcista) (245,27 – 520,36)</c:v>
                </c:pt>
                <c:pt idx="6">
                  <c:v>Suma de partes (234,70 – 349,14)</c:v>
                </c:pt>
                <c:pt idx="7">
                  <c:v>DCF con la prima implícita del mercado (4,2 %)</c:v>
                </c:pt>
                <c:pt idx="8">
                  <c:v>Precio actual (379,30)</c:v>
                </c:pt>
              </c:strCache>
            </c:strRef>
          </c:cat>
          <c:val>
            <c:numRef>
              <c:f>Hoja1!$C$2:$C$10</c:f>
              <c:numCache>
                <c:formatCode>#,##0</c:formatCode>
                <c:ptCount val="9"/>
                <c:pt idx="0">
                  <c:v>205.65</c:v>
                </c:pt>
                <c:pt idx="1">
                  <c:v>149</c:v>
                </c:pt>
                <c:pt idx="2">
                  <c:v>136.13</c:v>
                </c:pt>
                <c:pt idx="3">
                  <c:v>141.52999999999997</c:v>
                </c:pt>
                <c:pt idx="4">
                  <c:v>154.19</c:v>
                </c:pt>
                <c:pt idx="5">
                  <c:v>275.09000000000003</c:v>
                </c:pt>
                <c:pt idx="6">
                  <c:v>114.44</c:v>
                </c:pt>
                <c:pt idx="7">
                  <c:v>121.22999999999996</c:v>
                </c:pt>
                <c:pt idx="8">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UnitedHealthcare</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148581</c:v>
                </c:pt>
                <c:pt idx="1">
                  <c:v>163257</c:v>
                </c:pt>
                <c:pt idx="2">
                  <c:v>183476</c:v>
                </c:pt>
                <c:pt idx="3">
                  <c:v>193842</c:v>
                </c:pt>
                <c:pt idx="4">
                  <c:v>200875</c:v>
                </c:pt>
                <c:pt idx="5">
                  <c:v>222899</c:v>
                </c:pt>
                <c:pt idx="6">
                  <c:v>249741</c:v>
                </c:pt>
                <c:pt idx="7">
                  <c:v>281360</c:v>
                </c:pt>
                <c:pt idx="8">
                  <c:v>298208</c:v>
                </c:pt>
                <c:pt idx="9">
                  <c:v>344903</c:v>
                </c:pt>
              </c:numCache>
            </c:numRef>
          </c:val>
        </c:ser>
        <c:ser>
          <c:idx val="1"/>
          <c:order val="1"/>
          <c:tx>
            <c:strRef>
              <c:f>Hoja1!$C$1</c:f>
              <c:strCache>
                <c:ptCount val="1"/>
                <c:pt idx="0">
                  <c:v>Optum Health</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16908</c:v>
                </c:pt>
                <c:pt idx="1">
                  <c:v>20570</c:v>
                </c:pt>
                <c:pt idx="2">
                  <c:v>24145</c:v>
                </c:pt>
                <c:pt idx="3">
                  <c:v>30317</c:v>
                </c:pt>
                <c:pt idx="4">
                  <c:v>39808</c:v>
                </c:pt>
                <c:pt idx="5">
                  <c:v>54065</c:v>
                </c:pt>
                <c:pt idx="6">
                  <c:v>71174</c:v>
                </c:pt>
                <c:pt idx="7">
                  <c:v>95319</c:v>
                </c:pt>
                <c:pt idx="8">
                  <c:v>105358</c:v>
                </c:pt>
                <c:pt idx="9">
                  <c:v>101957</c:v>
                </c:pt>
              </c:numCache>
            </c:numRef>
          </c:val>
        </c:ser>
        <c:ser>
          <c:idx val="2"/>
          <c:order val="2"/>
          <c:tx>
            <c:strRef>
              <c:f>Hoja1!$D$1</c:f>
              <c:strCache>
                <c:ptCount val="1"/>
                <c:pt idx="0">
                  <c:v>Optum Insight</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7333</c:v>
                </c:pt>
                <c:pt idx="1">
                  <c:v>8087</c:v>
                </c:pt>
                <c:pt idx="2">
                  <c:v>9008</c:v>
                </c:pt>
                <c:pt idx="3">
                  <c:v>10006</c:v>
                </c:pt>
                <c:pt idx="4">
                  <c:v>10802</c:v>
                </c:pt>
                <c:pt idx="5">
                  <c:v>12199</c:v>
                </c:pt>
                <c:pt idx="6">
                  <c:v>14581</c:v>
                </c:pt>
                <c:pt idx="7">
                  <c:v>18932</c:v>
                </c:pt>
                <c:pt idx="8">
                  <c:v>18757</c:v>
                </c:pt>
                <c:pt idx="9">
                  <c:v>19417</c:v>
                </c:pt>
              </c:numCache>
            </c:numRef>
          </c:val>
        </c:ser>
        <c:ser>
          <c:idx val="3"/>
          <c:order val="3"/>
          <c:tx>
            <c:strRef>
              <c:f>Hoja1!$E$1</c:f>
              <c:strCache>
                <c:ptCount val="1"/>
                <c:pt idx="0">
                  <c:v>Optum Rx</c:v>
                </c:pt>
              </c:strCache>
            </c:strRef>
          </c:tx>
          <c:spPr>
            <a:solidFill>
              <a:srgbClr val="EDA100"/>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60440</c:v>
                </c:pt>
                <c:pt idx="1">
                  <c:v>63755</c:v>
                </c:pt>
                <c:pt idx="2">
                  <c:v>69536</c:v>
                </c:pt>
                <c:pt idx="3">
                  <c:v>74288</c:v>
                </c:pt>
                <c:pt idx="4">
                  <c:v>87498</c:v>
                </c:pt>
                <c:pt idx="5">
                  <c:v>91314</c:v>
                </c:pt>
                <c:pt idx="6">
                  <c:v>99773</c:v>
                </c:pt>
                <c:pt idx="7">
                  <c:v>116087</c:v>
                </c:pt>
                <c:pt idx="8">
                  <c:v>133231</c:v>
                </c:pt>
                <c:pt idx="9">
                  <c:v>154726</c:v>
                </c:pt>
              </c:numCache>
            </c:numRef>
          </c:val>
        </c:ser>
        <c:ser>
          <c:idx val="4"/>
          <c:order val="4"/>
          <c:tx>
            <c:strRef>
              <c:f>Hoja1!$F$1</c:f>
              <c:strCache>
                <c:ptCount val="1"/>
                <c:pt idx="0">
                  <c:v>Eliminaciones</c:v>
                </c:pt>
              </c:strCache>
            </c:strRef>
          </c:tx>
          <c:spPr>
            <a:solidFill>
              <a:srgbClr val="E87BA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Hoja1!$F$2:$F$11</c:f>
              <c:numCache>
                <c:formatCode>#,##0</c:formatCode>
                <c:ptCount val="10"/>
                <c:pt idx="0">
                  <c:v>-48422</c:v>
                </c:pt>
                <c:pt idx="1">
                  <c:v>-54510</c:v>
                </c:pt>
                <c:pt idx="2">
                  <c:v>-59918</c:v>
                </c:pt>
                <c:pt idx="3">
                  <c:v>-66298</c:v>
                </c:pt>
                <c:pt idx="4">
                  <c:v>-81842</c:v>
                </c:pt>
                <c:pt idx="5">
                  <c:v>-92880</c:v>
                </c:pt>
                <c:pt idx="6">
                  <c:v>-111107</c:v>
                </c:pt>
                <c:pt idx="7">
                  <c:v>-140076</c:v>
                </c:pt>
                <c:pt idx="8">
                  <c:v>-155276</c:v>
                </c:pt>
                <c:pt idx="9">
                  <c:v>-173436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UnitedHealthcare</c:v>
                </c:pt>
                <c:pt idx="1">
                  <c:v>Optum Health</c:v>
                </c:pt>
                <c:pt idx="2">
                  <c:v>Optum Insight</c:v>
                </c:pt>
                <c:pt idx="3">
                  <c:v>Optum Rx</c:v>
                </c:pt>
                <c:pt idx="4">
                  <c:v>Eliminaciones</c:v>
                </c:pt>
              </c:strCache>
            </c:strRef>
          </c:cat>
          <c:val>
            <c:numRef>
              <c:f>Hoja1!$B$2:$B$6</c:f>
              <c:numCache>
                <c:formatCode>General</c:formatCode>
                <c:ptCount val="5"/>
                <c:pt idx="0">
                  <c:v>77.1</c:v>
                </c:pt>
                <c:pt idx="1">
                  <c:v>22.8</c:v>
                </c:pt>
                <c:pt idx="2">
                  <c:v>4.3</c:v>
                </c:pt>
                <c:pt idx="3">
                  <c:v>34.6</c:v>
                </c:pt>
                <c:pt idx="4">
                  <c:v>-38.8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Otros (UnitedHealthcare Global, Sudamérica)</c:v>
                </c:pt>
              </c:strCache>
            </c:strRef>
          </c:cat>
          <c:val>
            <c:numRef>
              <c:f>Hoja1!$B$2:$B$3</c:f>
              <c:numCache>
                <c:formatCode>0"%"</c:formatCode>
                <c:ptCount val="2"/>
                <c:pt idx="0">
                  <c:v>99.3</c:v>
                </c:pt>
                <c:pt idx="1">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2019</c:v>
                </c:pt>
                <c:pt idx="1">
                  <c:v>2020</c:v>
                </c:pt>
                <c:pt idx="2">
                  <c:v>2021</c:v>
                </c:pt>
                <c:pt idx="3">
                  <c:v>2022</c:v>
                </c:pt>
                <c:pt idx="4">
                  <c:v>2023</c:v>
                </c:pt>
                <c:pt idx="5">
                  <c:v>2024</c:v>
                </c:pt>
                <c:pt idx="6">
                  <c:v>2025e</c:v>
                </c:pt>
                <c:pt idx="7">
                  <c:v>2026e</c:v>
                </c:pt>
                <c:pt idx="8">
                  <c:v>2027e</c:v>
                </c:pt>
                <c:pt idx="9">
                  <c:v>2028e</c:v>
                </c:pt>
              </c:strCache>
            </c:strRef>
          </c:cat>
          <c:val>
            <c:numRef>
              <c:f>Hoja1!$B$2:$B$11</c:f>
              <c:numCache>
                <c:formatCode>#,##0</c:formatCode>
                <c:ptCount val="10"/>
                <c:pt idx="0">
                  <c:v>3805100</c:v>
                </c:pt>
                <c:pt idx="1">
                  <c:v>4204300</c:v>
                </c:pt>
                <c:pt idx="2">
                  <c:v>4376900</c:v>
                </c:pt>
                <c:pt idx="3">
                  <c:v>4586600</c:v>
                </c:pt>
                <c:pt idx="4">
                  <c:v>4925300</c:v>
                </c:pt>
                <c:pt idx="5">
                  <c:v>5278600</c:v>
                </c:pt>
                <c:pt idx="6">
                  <c:v>5661700</c:v>
                </c:pt>
                <c:pt idx="7">
                  <c:v>6017400</c:v>
                </c:pt>
                <c:pt idx="8">
                  <c:v>6301600</c:v>
                </c:pt>
                <c:pt idx="9">
                  <c:v>6627100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UnitedHealth</c:v>
                </c:pt>
                <c:pt idx="1">
                  <c:v>CVS Health (Aetna, CVS Caremark)</c:v>
                </c:pt>
                <c:pt idx="2">
                  <c:v>The Cigna Group (Express Scripts, Evernorth)</c:v>
                </c:pt>
                <c:pt idx="3">
                  <c:v>Elevance Health</c:v>
                </c:pt>
                <c:pt idx="4">
                  <c:v>Centene</c:v>
                </c:pt>
                <c:pt idx="5">
                  <c:v>Humana</c:v>
                </c:pt>
                <c:pt idx="6">
                  <c:v>Molina Healthcare</c:v>
                </c:pt>
              </c:strCache>
            </c:strRef>
          </c:cat>
          <c:val>
            <c:numRef>
              <c:f>Hoja1!$B$2:$B$8</c:f>
              <c:numCache>
                <c:formatCode>0.0"%"</c:formatCode>
                <c:ptCount val="7"/>
                <c:pt idx="0">
                  <c:v>4.9</c:v>
                </c:pt>
                <c:pt idx="1">
                  <c:v>1.2</c:v>
                </c:pt>
                <c:pt idx="2">
                  <c:v>3.3</c:v>
                </c:pt>
                <c:pt idx="3">
                  <c:v>4.1</c:v>
                </c:pt>
                <c:pt idx="4">
                  <c:v>-3.9</c:v>
                </c:pt>
                <c:pt idx="5">
                  <c:v>2.1</c:v>
                </c:pt>
                <c:pt idx="6">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2</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184840</c:v>
                </c:pt>
                <c:pt idx="1">
                  <c:v>201159</c:v>
                </c:pt>
                <c:pt idx="2">
                  <c:v>226247</c:v>
                </c:pt>
                <c:pt idx="3">
                  <c:v>242155</c:v>
                </c:pt>
                <c:pt idx="4">
                  <c:v>257141</c:v>
                </c:pt>
                <c:pt idx="5">
                  <c:v>287597</c:v>
                </c:pt>
                <c:pt idx="6">
                  <c:v>324162</c:v>
                </c:pt>
                <c:pt idx="7">
                  <c:v>371622</c:v>
                </c:pt>
                <c:pt idx="8">
                  <c:v>400278</c:v>
                </c:pt>
                <c:pt idx="9">
                  <c:v>447567</c:v>
                </c:pt>
                <c:pt idx="10">
                  <c:v>447567</c:v>
                </c:pt>
                <c:pt idx="11">
                  <c:v>460994</c:v>
                </c:pt>
                <c:pt idx="12">
                  <c:v>486349</c:v>
                </c:pt>
                <c:pt idx="13">
                  <c:v>513098</c:v>
                </c:pt>
                <c:pt idx="14">
                  <c:v>538753</c:v>
                </c:pt>
                <c:pt idx="15">
                  <c:v>562997</c:v>
                </c:pt>
                <c:pt idx="16">
                  <c:v>585516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14985</c:v>
                </c:pt>
                <c:pt idx="1">
                  <c:v>17454</c:v>
                </c:pt>
                <c:pt idx="2">
                  <c:v>19772</c:v>
                </c:pt>
                <c:pt idx="3">
                  <c:v>22405</c:v>
                </c:pt>
                <c:pt idx="4">
                  <c:v>25296</c:v>
                </c:pt>
                <c:pt idx="5">
                  <c:v>27073</c:v>
                </c:pt>
                <c:pt idx="6">
                  <c:v>31835</c:v>
                </c:pt>
                <c:pt idx="7">
                  <c:v>36330</c:v>
                </c:pt>
                <c:pt idx="8">
                  <c:v>36386</c:v>
                </c:pt>
                <c:pt idx="9">
                  <c:v>26077</c:v>
                </c:pt>
                <c:pt idx="10">
                  <c:v>29539</c:v>
                </c:pt>
                <c:pt idx="11">
                  <c:v>33192</c:v>
                </c:pt>
                <c:pt idx="12">
                  <c:v>36476</c:v>
                </c:pt>
                <c:pt idx="13">
                  <c:v>40022</c:v>
                </c:pt>
                <c:pt idx="14">
                  <c:v>43100</c:v>
                </c:pt>
                <c:pt idx="15">
                  <c:v>45040</c:v>
                </c:pt>
                <c:pt idx="16">
                  <c:v>46841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23.5</c:v>
                </c:pt>
                <c:pt idx="1">
                  <c:v>23.4</c:v>
                </c:pt>
                <c:pt idx="2">
                  <c:v>23.8</c:v>
                </c:pt>
                <c:pt idx="3">
                  <c:v>23.8</c:v>
                </c:pt>
                <c:pt idx="4">
                  <c:v>26.1</c:v>
                </c:pt>
                <c:pt idx="5">
                  <c:v>24.2</c:v>
                </c:pt>
                <c:pt idx="6">
                  <c:v>24.6</c:v>
                </c:pt>
                <c:pt idx="7">
                  <c:v>24.5</c:v>
                </c:pt>
                <c:pt idx="8">
                  <c:v>22.3</c:v>
                </c:pt>
                <c:pt idx="9">
                  <c:v>18.5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8.1</c:v>
                </c:pt>
                <c:pt idx="1">
                  <c:v>8.7</c:v>
                </c:pt>
                <c:pt idx="2">
                  <c:v>8.7</c:v>
                </c:pt>
                <c:pt idx="3">
                  <c:v>9.3</c:v>
                </c:pt>
                <c:pt idx="4">
                  <c:v>9.8</c:v>
                </c:pt>
                <c:pt idx="5">
                  <c:v>9.4</c:v>
                </c:pt>
                <c:pt idx="6">
                  <c:v>9.8</c:v>
                </c:pt>
                <c:pt idx="7">
                  <c:v>9.8</c:v>
                </c:pt>
                <c:pt idx="8">
                  <c:v>9.1</c:v>
                </c:pt>
                <c:pt idx="9">
                  <c:v>5.8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c:v>
                </c:pt>
                <c:pt idx="1">
                  <c:v>7.6</c:v>
                </c:pt>
                <c:pt idx="2">
                  <c:v>7.7</c:v>
                </c:pt>
                <c:pt idx="3">
                  <c:v>8.1</c:v>
                </c:pt>
                <c:pt idx="4">
                  <c:v>8.7</c:v>
                </c:pt>
                <c:pt idx="5">
                  <c:v>8.3</c:v>
                </c:pt>
                <c:pt idx="6">
                  <c:v>8.8</c:v>
                </c:pt>
                <c:pt idx="7">
                  <c:v>8.7</c:v>
                </c:pt>
                <c:pt idx="8">
                  <c:v>8.1</c:v>
                </c:pt>
                <c:pt idx="9">
                  <c:v>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3.8</c:v>
                </c:pt>
                <c:pt idx="1">
                  <c:v>5.2</c:v>
                </c:pt>
                <c:pt idx="2">
                  <c:v>5.3</c:v>
                </c:pt>
                <c:pt idx="3">
                  <c:v>5.7</c:v>
                </c:pt>
                <c:pt idx="4">
                  <c:v>6</c:v>
                </c:pt>
                <c:pt idx="5">
                  <c:v>6</c:v>
                </c:pt>
                <c:pt idx="6">
                  <c:v>6.2</c:v>
                </c:pt>
                <c:pt idx="7">
                  <c:v>6</c:v>
                </c:pt>
                <c:pt idx="8">
                  <c:v>3.6</c:v>
                </c:pt>
                <c:pt idx="9">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9.2</c:v>
                </c:pt>
                <c:pt idx="1">
                  <c:v>6.8</c:v>
                </c:pt>
                <c:pt idx="2">
                  <c:v>9.8</c:v>
                </c:pt>
                <c:pt idx="3">
                  <c:v>12.9</c:v>
                </c:pt>
                <c:pt idx="4">
                  <c:v>12.2</c:v>
                </c:pt>
                <c:pt idx="5">
                  <c:v>12.3</c:v>
                </c:pt>
                <c:pt idx="6">
                  <c:v>2</c:v>
                </c:pt>
                <c:pt idx="7">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c:v>
                </c:pt>
                <c:pt idx="1">
                  <c:v>17</c:v>
                </c:pt>
                <c:pt idx="2">
                  <c:v>18</c:v>
                </c:pt>
                <c:pt idx="3">
                  <c:v>18</c:v>
                </c:pt>
                <c:pt idx="4">
                  <c:v>18</c:v>
                </c:pt>
                <c:pt idx="5">
                  <c:v>18</c:v>
                </c:pt>
                <c:pt idx="6">
                  <c:v>20</c:v>
                </c:pt>
                <c:pt idx="7">
                  <c:v>21</c:v>
                </c:pt>
                <c:pt idx="8">
                  <c:v>20</c:v>
                </c:pt>
                <c:pt idx="9">
                  <c:v>19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5">
                  <c:v>5</c:v>
                </c:pt>
                <c:pt idx="6">
                  <c:v>5</c:v>
                </c:pt>
                <c:pt idx="7">
                  <c:v>4</c:v>
                </c:pt>
                <c:pt idx="8">
                  <c:v>4</c:v>
                </c:pt>
                <c:pt idx="9">
                  <c:v>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34</c:v>
                </c:pt>
                <c:pt idx="1">
                  <c:v>36</c:v>
                </c:pt>
                <c:pt idx="2">
                  <c:v>35</c:v>
                </c:pt>
                <c:pt idx="3">
                  <c:v>38</c:v>
                </c:pt>
                <c:pt idx="4">
                  <c:v>43</c:v>
                </c:pt>
                <c:pt idx="5">
                  <c:v>41</c:v>
                </c:pt>
                <c:pt idx="6">
                  <c:v>41</c:v>
                </c:pt>
                <c:pt idx="7">
                  <c:v>42</c:v>
                </c:pt>
                <c:pt idx="8">
                  <c:v>40</c:v>
                </c:pt>
                <c:pt idx="9">
                  <c:v>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8090</c:v>
                </c:pt>
                <c:pt idx="1">
                  <c:v>11573</c:v>
                </c:pt>
                <c:pt idx="2">
                  <c:v>13650</c:v>
                </c:pt>
                <c:pt idx="3">
                  <c:v>16392</c:v>
                </c:pt>
                <c:pt idx="4">
                  <c:v>20123</c:v>
                </c:pt>
                <c:pt idx="5">
                  <c:v>19889</c:v>
                </c:pt>
                <c:pt idx="6">
                  <c:v>23404</c:v>
                </c:pt>
                <c:pt idx="7">
                  <c:v>25682</c:v>
                </c:pt>
                <c:pt idx="8">
                  <c:v>20705</c:v>
                </c:pt>
                <c:pt idx="9">
                  <c:v>16075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7017</c:v>
                </c:pt>
                <c:pt idx="1">
                  <c:v>10558</c:v>
                </c:pt>
                <c:pt idx="2">
                  <c:v>11986</c:v>
                </c:pt>
                <c:pt idx="3">
                  <c:v>13839</c:v>
                </c:pt>
                <c:pt idx="4">
                  <c:v>15403</c:v>
                </c:pt>
                <c:pt idx="5">
                  <c:v>17285</c:v>
                </c:pt>
                <c:pt idx="6">
                  <c:v>20120</c:v>
                </c:pt>
                <c:pt idx="7">
                  <c:v>22381</c:v>
                </c:pt>
                <c:pt idx="8">
                  <c:v>14405</c:v>
                </c:pt>
                <c:pt idx="9">
                  <c:v>12056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c:v>
                </c:pt>
                <c:pt idx="1">
                  <c:v>18.3</c:v>
                </c:pt>
                <c:pt idx="2">
                  <c:v>18.4</c:v>
                </c:pt>
                <c:pt idx="3">
                  <c:v>18.7</c:v>
                </c:pt>
                <c:pt idx="4">
                  <c:v>18.6</c:v>
                </c:pt>
                <c:pt idx="5">
                  <c:v>19.8</c:v>
                </c:pt>
                <c:pt idx="6">
                  <c:v>20.8</c:v>
                </c:pt>
                <c:pt idx="7">
                  <c:v>20.8</c:v>
                </c:pt>
                <c:pt idx="8">
                  <c:v>17.4</c:v>
                </c:pt>
                <c:pt idx="9">
                  <c:v>12.5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8.9</c:v>
                </c:pt>
                <c:pt idx="1">
                  <c:v>8.9</c:v>
                </c:pt>
                <c:pt idx="2">
                  <c:v>8.9</c:v>
                </c:pt>
                <c:pt idx="3">
                  <c:v>8.9</c:v>
                </c:pt>
                <c:pt idx="4">
                  <c:v>8.9</c:v>
                </c:pt>
                <c:pt idx="5">
                  <c:v>8.9</c:v>
                </c:pt>
                <c:pt idx="6">
                  <c:v>8.9</c:v>
                </c:pt>
                <c:pt idx="7">
                  <c:v>8.9</c:v>
                </c:pt>
                <c:pt idx="8">
                  <c:v>8.9</c:v>
                </c:pt>
                <c:pt idx="9">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18.3</c:v>
                </c:pt>
                <c:pt idx="1">
                  <c:v>24.5</c:v>
                </c:pt>
                <c:pt idx="2">
                  <c:v>24.1</c:v>
                </c:pt>
                <c:pt idx="3">
                  <c:v>25.3</c:v>
                </c:pt>
                <c:pt idx="4">
                  <c:v>25</c:v>
                </c:pt>
                <c:pt idx="5">
                  <c:v>25.2</c:v>
                </c:pt>
                <c:pt idx="6">
                  <c:v>26.9</c:v>
                </c:pt>
                <c:pt idx="7">
                  <c:v>26.9</c:v>
                </c:pt>
                <c:pt idx="8">
                  <c:v>15.9</c:v>
                </c:pt>
                <c:pt idx="9">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1.31</c:v>
                </c:pt>
                <c:pt idx="1">
                  <c:v>0.93</c:v>
                </c:pt>
                <c:pt idx="2">
                  <c:v>1.12</c:v>
                </c:pt>
                <c:pt idx="3">
                  <c:v>1.18</c:v>
                </c:pt>
                <c:pt idx="4">
                  <c:v>0.94</c:v>
                </c:pt>
                <c:pt idx="5">
                  <c:v>0.82</c:v>
                </c:pt>
                <c:pt idx="6">
                  <c:v>0.93</c:v>
                </c:pt>
                <c:pt idx="7">
                  <c:v>0.91</c:v>
                </c:pt>
                <c:pt idx="8">
                  <c:v>1.31</c:v>
                </c:pt>
                <c:pt idx="9">
                  <c:v>1.93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6082</c:v>
                </c:pt>
                <c:pt idx="1">
                  <c:v>3530</c:v>
                </c:pt>
                <c:pt idx="2">
                  <c:v>3605</c:v>
                </c:pt>
                <c:pt idx="3">
                  <c:v>3655</c:v>
                </c:pt>
                <c:pt idx="4">
                  <c:v>3855</c:v>
                </c:pt>
                <c:pt idx="5">
                  <c:v>58657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1760</c:v>
                </c:pt>
                <c:pt idx="1">
                  <c:v>2131</c:v>
                </c:pt>
                <c:pt idx="2">
                  <c:v>5997</c:v>
                </c:pt>
                <c:pt idx="3">
                  <c:v>8343</c:v>
                </c:pt>
                <c:pt idx="4">
                  <c:v>7139</c:v>
                </c:pt>
                <c:pt idx="5">
                  <c:v>4821</c:v>
                </c:pt>
                <c:pt idx="6">
                  <c:v>21458</c:v>
                </c:pt>
                <c:pt idx="7">
                  <c:v>10136</c:v>
                </c:pt>
                <c:pt idx="8">
                  <c:v>13408</c:v>
                </c:pt>
                <c:pt idx="9">
                  <c:v>4509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2261</c:v>
                </c:pt>
                <c:pt idx="1">
                  <c:v>2773</c:v>
                </c:pt>
                <c:pt idx="2">
                  <c:v>3320</c:v>
                </c:pt>
                <c:pt idx="3">
                  <c:v>3932</c:v>
                </c:pt>
                <c:pt idx="4">
                  <c:v>4584</c:v>
                </c:pt>
                <c:pt idx="5">
                  <c:v>5280</c:v>
                </c:pt>
                <c:pt idx="6">
                  <c:v>5991</c:v>
                </c:pt>
                <c:pt idx="7">
                  <c:v>6761</c:v>
                </c:pt>
                <c:pt idx="8">
                  <c:v>7533</c:v>
                </c:pt>
                <c:pt idx="9">
                  <c:v>7916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1280</c:v>
                </c:pt>
                <c:pt idx="1">
                  <c:v>1500</c:v>
                </c:pt>
                <c:pt idx="2">
                  <c:v>4500</c:v>
                </c:pt>
                <c:pt idx="3">
                  <c:v>5500</c:v>
                </c:pt>
                <c:pt idx="4">
                  <c:v>4250</c:v>
                </c:pt>
                <c:pt idx="5">
                  <c:v>5000</c:v>
                </c:pt>
                <c:pt idx="6">
                  <c:v>7000</c:v>
                </c:pt>
                <c:pt idx="7">
                  <c:v>8000</c:v>
                </c:pt>
                <c:pt idx="8">
                  <c:v>9000</c:v>
                </c:pt>
                <c:pt idx="9">
                  <c:v>5545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 Inc.</c:v>
                </c:pt>
                <c:pt idx="1">
                  <c:v>Vanguard Capital Management</c:v>
                </c:pt>
                <c:pt idx="2">
                  <c:v>State Street Corporation</c:v>
                </c:pt>
                <c:pt idx="3">
                  <c:v>Berkshire Hathaway</c:v>
                </c:pt>
                <c:pt idx="4">
                  <c:v>Consejeros y directivos (16 personas)</c:v>
                </c:pt>
                <c:pt idx="5">
                  <c:v>Autocartera</c:v>
                </c:pt>
              </c:strCache>
            </c:strRef>
          </c:cat>
          <c:val>
            <c:numRef>
              <c:f>Hoja1!$B$2:$B$7</c:f>
              <c:numCache>
                <c:formatCode>0.0"%"</c:formatCode>
                <c:ptCount val="6"/>
                <c:pt idx="0">
                  <c:v>7.99</c:v>
                </c:pt>
                <c:pt idx="1">
                  <c:v>7.5</c:v>
                </c:pt>
                <c:pt idx="2">
                  <c:v>5</c:v>
                </c:pt>
                <c:pt idx="3">
                  <c:v>0</c:v>
                </c:pt>
                <c:pt idx="4">
                  <c:v>0.19</c:v>
                </c:pt>
                <c:pt idx="5">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38.4</c:v>
                </c:pt>
                <c:pt idx="1">
                  <c:v>39.8</c:v>
                </c:pt>
                <c:pt idx="2">
                  <c:v>14.5</c:v>
                </c:pt>
                <c:pt idx="3">
                  <c:v>20</c:v>
                </c:pt>
                <c:pt idx="4">
                  <c:v>21.3</c:v>
                </c:pt>
                <c:pt idx="5">
                  <c:v>45.2</c:v>
                </c:pt>
                <c:pt idx="6">
                  <c:v>6.9</c:v>
                </c:pt>
                <c:pt idx="7">
                  <c:v>0.8</c:v>
                </c:pt>
                <c:pt idx="8">
                  <c:v>-2.4</c:v>
                </c:pt>
                <c:pt idx="9">
                  <c:v>-33.1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11.8</c:v>
                </c:pt>
                <c:pt idx="1">
                  <c:v>13.6</c:v>
                </c:pt>
                <c:pt idx="2">
                  <c:v>13.7</c:v>
                </c:pt>
                <c:pt idx="3">
                  <c:v>14.1</c:v>
                </c:pt>
                <c:pt idx="4">
                  <c:v>14.5</c:v>
                </c:pt>
                <c:pt idx="5">
                  <c:v>18.7</c:v>
                </c:pt>
                <c:pt idx="6">
                  <c:v>17</c:v>
                </c:pt>
                <c:pt idx="7">
                  <c:v>14.8</c:v>
                </c:pt>
                <c:pt idx="8">
                  <c:v>14.5</c:v>
                </c:pt>
                <c:pt idx="9">
                  <c:v>13.8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14.3</c:v>
                </c:pt>
                <c:pt idx="1">
                  <c:v>14.3</c:v>
                </c:pt>
                <c:pt idx="2">
                  <c:v>14.3</c:v>
                </c:pt>
                <c:pt idx="3">
                  <c:v>14.3</c:v>
                </c:pt>
                <c:pt idx="4">
                  <c:v>14.3</c:v>
                </c:pt>
                <c:pt idx="5">
                  <c:v>14.3</c:v>
                </c:pt>
                <c:pt idx="6">
                  <c:v>14.3</c:v>
                </c:pt>
                <c:pt idx="7">
                  <c:v>14.3</c:v>
                </c:pt>
                <c:pt idx="8">
                  <c:v>14.3</c:v>
                </c:pt>
                <c:pt idx="9">
                  <c:v>14.3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UnitedHealth</c:v>
                </c:pt>
                <c:pt idx="1">
                  <c:v>Elevance Health</c:v>
                </c:pt>
                <c:pt idx="2">
                  <c:v>The Cigna Group</c:v>
                </c:pt>
                <c:pt idx="3">
                  <c:v>CVS Health</c:v>
                </c:pt>
                <c:pt idx="4">
                  <c:v>Humana</c:v>
                </c:pt>
                <c:pt idx="5">
                  <c:v>Centene</c:v>
                </c:pt>
                <c:pt idx="6">
                  <c:v>Molina Healthcare</c:v>
                </c:pt>
                <c:pt idx="7">
                  <c:v>Oscar Health</c:v>
                </c:pt>
                <c:pt idx="8">
                  <c:v>Alignment Healthcare</c:v>
                </c:pt>
              </c:strCache>
            </c:strRef>
          </c:cat>
          <c:val>
            <c:numRef>
              <c:f>Hoja1!$B$2:$B$10</c:f>
              <c:numCache>
                <c:formatCode>0.0"x"</c:formatCode>
                <c:ptCount val="9"/>
                <c:pt idx="0">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Express Scripts</c:v>
                </c:pt>
                <c:pt idx="1">
                  <c:v>Aetna</c:v>
                </c:pt>
                <c:pt idx="2">
                  <c:v>Change Healthcare</c:v>
                </c:pt>
                <c:pt idx="3">
                  <c:v>Amedisys</c:v>
                </c:pt>
                <c:pt idx="4">
                  <c:v>Signify Health</c:v>
                </c:pt>
                <c:pt idx="5">
                  <c:v>Oak Street Health</c:v>
                </c:pt>
                <c:pt idx="6">
                  <c:v>Kindred at Home (60 % restante)</c:v>
                </c:pt>
              </c:strCache>
            </c:strRef>
          </c:cat>
          <c:val>
            <c:numRef>
              <c:f>Hoja1!$B$2:$B$8</c:f>
              <c:numCache>
                <c:formatCode>0.0"x"</c:formatCode>
                <c:ptCount val="7"/>
                <c:pt idx="0">
                  <c:v>9.2</c:v>
                </c:pt>
                <c:pt idx="2">
                  <c:v>18.1</c:v>
                </c:pt>
                <c:pt idx="3">
                  <c:v>17.9</c:v>
                </c:pt>
                <c:pt idx="4">
                  <c:v>67.8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21021</c:v>
                </c:pt>
                <c:pt idx="1">
                  <c:v>22468</c:v>
                </c:pt>
                <c:pt idx="2">
                  <c:v>24904</c:v>
                </c:pt>
                <c:pt idx="3">
                  <c:v>27233</c:v>
                </c:pt>
                <c:pt idx="4">
                  <c:v>29383</c:v>
                </c:pt>
                <c:pt idx="5">
                  <c:v>30638</c:v>
                </c:pt>
                <c:pt idx="6">
                  <c:v>31794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130064</c:v>
                </c:pt>
                <c:pt idx="1">
                  <c:v>324905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379,30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245.27</c:v>
                </c:pt>
                <c:pt idx="1">
                  <c:v>415.08</c:v>
                </c:pt>
                <c:pt idx="2">
                  <c:v>520.36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379,30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(255,97 – 461,62)</c:v>
                </c:pt>
                <c:pt idx="1">
                  <c:v>Precio objetivo de los analistas (380,00 – 529,00)</c:v>
                </c:pt>
                <c:pt idx="2">
                  <c:v>Comparables: PER NTM (224,32 – 360,45)</c:v>
                </c:pt>
                <c:pt idx="3">
                  <c:v>Transacciones precedentes (EV/EBITDA) (341,41 – 482,94)</c:v>
                </c:pt>
                <c:pt idx="4">
                  <c:v>DCF (WACC y g ± 0,5) (350,91 – 505,10)</c:v>
                </c:pt>
                <c:pt idx="5">
                  <c:v>Escenarios (bajista – alcista) (245,27 – 520,36)</c:v>
                </c:pt>
                <c:pt idx="6">
                  <c:v>Suma de partes (234,70 – 349,14)</c:v>
                </c:pt>
                <c:pt idx="7">
                  <c:v>DCF con la prima implícita del mercado (4,2 %)</c:v>
                </c:pt>
                <c:pt idx="8">
                  <c:v>Precio actual (379,30)</c:v>
                </c:pt>
              </c:strCache>
            </c:strRef>
          </c:cat>
          <c:val>
            <c:numRef>
              <c:f>Hoja1!$B$2:$B$10</c:f>
              <c:numCache>
                <c:formatCode>#,##0</c:formatCode>
                <c:ptCount val="9"/>
                <c:pt idx="0">
                  <c:v>255.97</c:v>
                </c:pt>
                <c:pt idx="1">
                  <c:v>380</c:v>
                </c:pt>
                <c:pt idx="2">
                  <c:v>224.32</c:v>
                </c:pt>
                <c:pt idx="3">
                  <c:v>341.41</c:v>
                </c:pt>
                <c:pt idx="4">
                  <c:v>350.91</c:v>
                </c:pt>
                <c:pt idx="5">
                  <c:v>245.27</c:v>
                </c:pt>
                <c:pt idx="6">
                  <c:v>234.7</c:v>
                </c:pt>
                <c:pt idx="7">
                  <c:v>453.68</c:v>
                </c:pt>
                <c:pt idx="8">
                  <c:v>377.4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(255,97 – 461,62)</c:v>
                </c:pt>
                <c:pt idx="1">
                  <c:v>Precio objetivo de los analistas (380,00 – 529,00)</c:v>
                </c:pt>
                <c:pt idx="2">
                  <c:v>Comparables: PER NTM (224,32 – 360,45)</c:v>
                </c:pt>
                <c:pt idx="3">
                  <c:v>Transacciones precedentes (EV/EBITDA) (341,41 – 482,94)</c:v>
                </c:pt>
                <c:pt idx="4">
                  <c:v>DCF (WACC y g ± 0,5) (350,91 – 505,10)</c:v>
                </c:pt>
                <c:pt idx="5">
                  <c:v>Escenarios (bajista – alcista) (245,27 – 520,36)</c:v>
                </c:pt>
                <c:pt idx="6">
                  <c:v>Suma de partes (234,70 – 349,14)</c:v>
                </c:pt>
                <c:pt idx="7">
                  <c:v>DCF con la prima implícita del mercado (4,2 %)</c:v>
                </c:pt>
                <c:pt idx="8">
                  <c:v>Precio actual (379,30)</c:v>
                </c:pt>
              </c:strCache>
            </c:strRef>
          </c:cat>
          <c:val>
            <c:numRef>
              <c:f>Hoja1!$C$2:$C$10</c:f>
              <c:numCache>
                <c:formatCode>#,##0</c:formatCode>
                <c:ptCount val="9"/>
                <c:pt idx="0">
                  <c:v>205.65</c:v>
                </c:pt>
                <c:pt idx="1">
                  <c:v>149</c:v>
                </c:pt>
                <c:pt idx="2">
                  <c:v>136.13</c:v>
                </c:pt>
                <c:pt idx="3">
                  <c:v>141.52999999999997</c:v>
                </c:pt>
                <c:pt idx="4">
                  <c:v>154.19</c:v>
                </c:pt>
                <c:pt idx="5">
                  <c:v>275.09000000000003</c:v>
                </c:pt>
                <c:pt idx="6">
                  <c:v>114.44</c:v>
                </c:pt>
                <c:pt idx="7">
                  <c:v>121.22999999999996</c:v>
                </c:pt>
                <c:pt idx="8">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