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Veeva Systems Inc.</w:t>
      </w:r>
    </w:p>
    <w:p>
      <w:pPr>
        <w:spacing w:after="60"/>
        <w:rPr>
          <w:color w:val="52514E"/>
          <w:sz w:val="22"/>
          <w:szCs w:val="22"/>
        </w:rPr>
      </w:pPr>
      <w:r>
        <w:rPr>
          <w:color w:val="52514E"/>
          <w:sz w:val="22"/>
          <w:szCs w:val="22"/>
        </w:rPr>
        <w:t xml:space="preserve">VEEV · NYSE · ISIN US9224751084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296,13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343,09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+15,9 % (base +20,4 %)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166,15 USD · mercado 188,15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48.773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-6,8x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Veeva Systems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VEEV / US9224751084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Tecnología sanitaria (software para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Pleasanton (California) · 2007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veeva.com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296,13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148,05 – 310,50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48.773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41.530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343,09 USD</w:t>
      </w:r>
      <w:r>
        <w:t xml:space="preserve"> frente a 296,13 · Rentabilidad a 12 meses </w:t>
      </w:r>
      <w:r>
        <w:rPr>
          <w:b/>
          <w:bCs/>
        </w:rPr>
        <w:t xml:space="preserve">+15,9 % (base +20,4 %)</w:t>
      </w:r>
      <w:r>
        <w:t xml:space="preserve"> · Valor intrínseco 166,15 USD · con la prima implícita del mercado: 188,15 (-36,5 %) · Alcista / bajista -38,0 % / -59,5 %</w:t>
      </w:r>
    </w:p>
    <w:p>
      <w:pPr>
        <w:spacing w:after="100"/>
      </w:pPr>
      <w:r>
        <w:rPr>
          <w:b/>
        </w:rPr>
        <w:t xml:space="preserve">La recomendación y por qué.</w:t>
      </w:r>
      <w:r>
        <w:t xml:space="preserve"> Mantener con convicción baja. A 296,13 USD (cierre del 9-oct, el último fechado que hemos podido ver), el objetivo a 12 meses es de 343,09 USD: rentabilidad ponderada del +15,9 % y del +20,4 % en el caso base, con asimetría de 2,44 veces. Pasa los dos umbrales de rentabilidad, pero no el filtro de valor real: el valor intrínseco es de 166,15 USD, un 43,9 % por debajo del precio. El objetivo medio de ocho bancos (290,5 USD) queda por debajo de nuestro rango central [34, 35]. La convicción es baja porque las dos lecturas se contradicen (el PER histórico dice que puede subir; el DCF dice que está cara) y porque el precio y parte del balance no están confirmados con fuente primaria; la subiría una caída del precio hacia 166 USD o una guía en el día del inversor del 5-nov que eleve el crecimiento sostenible por encima del 15 %.</w:t>
      </w:r>
    </w:p>
    <w:p>
      <w:pPr>
        <w:spacing w:after="100"/>
      </w:pPr>
      <w:r>
        <w:rPr>
          <w:b/>
        </w:rPr>
        <w:t xml:space="preserve">El negocio.</w:t>
      </w:r>
      <w:r>
        <w:t xml:space="preserve"> Veeva es el líder del software para ciencias de la vida, con ≈16 % de un mercado direccionable de más de 20.000 M USD [15]. El 84 % de las ventas es suscripción, los clientes pagan por adelantado y el ROIC operativo es del 104,4 %, unos 93 puntos por encima del 11,0 % de coste del capital. La migración del CRM fuera de Salesforce, el gran riesgo de 2022-24, va bien: más de 190 clientes en producción y 14 de las 20 mayores farmacéuticas comprometidas [17, 18]. La calidad sostiene el crecimiento proyectado (veredicto «Sí»): el negocio no necesita capital y la cuota implícita en FY2036e (22,3 %) es 1,4 veces la actual.</w:t>
      </w:r>
    </w:p>
    <w:p>
      <w:pPr>
        <w:spacing w:after="100"/>
      </w:pPr>
      <w:r>
        <w:rPr>
          <w:b/>
        </w:rPr>
        <w:t xml:space="preserve">Finanzas.</w:t>
      </w:r>
      <w:r>
        <w:t xml:space="preserve"> Ventas de 3.195,3 M en FY2026 (+16 %) y aceleración al +18 % en el 2T27, con la guía de FY2027 elevada a 3.682-3.687 M [6, 12]. El beneficio GAAP fue de 908,9 M (5,44 USD por acción); la remuneración en acciones, 472,7 M (14,8 % de las ventas), explica la distancia con el BPA no GAAP que sigue el mercado [2]. Caja neta de 7.243 M y primera recompra, de 2.000 M [8].</w:t>
      </w:r>
    </w:p>
    <w:p>
      <w:pPr>
        <w:spacing w:after="100"/>
      </w:pPr>
      <w:r>
        <w:rPr>
          <w:b/>
        </w:rPr>
        <w:t xml:space="preserve">Equipo y gobierno.</w:t>
      </w:r>
      <w:r>
        <w:t xml:space="preserve"> El fundador sigue al frente y cobra solo sueldo más una opción de 2024 a 236,90 USD; los asesores de voto la consideraron desproporcionada [25]. Gobierno con datos incompletos.</w:t>
      </w:r>
    </w:p>
    <w:p>
      <w:pPr>
        <w:spacing w:after="100"/>
      </w:pPr>
      <w:r>
        <w:rPr>
          <w:b/>
        </w:rPr>
        <w:t xml:space="preserve">Valoración.</w:t>
      </w:r>
      <w:r>
        <w:t xml:space="preserve"> El DCF da 159,66 USD con la remuneración en acciones como gasto y 184,74 con la prima de mercado. El DCF inverso pide un 20,9 % anual de crecimiento entre FY2028e y FY2036e, frente al 9,0 % de nuestro base y al 14,6 % histórico: el precio es exigente. La rentabilidad a 12 meses sale positiva porque Veeva ha cotizado siempre a 36-62 veces el beneficio GAAP del año siguiente (hoy 40,3) y la regla supone que eso sigue; es una apuesta de múltiplo, no de valor.</w:t>
      </w:r>
    </w:p>
    <w:p>
      <w:pPr>
        <w:spacing w:after="100"/>
      </w:pPr>
      <w:r>
        <w:rPr>
          <w:b/>
        </w:rPr>
        <w:t xml:space="preserve">Riesgos y catalizadores.</w:t>
      </w:r>
      <w:r>
        <w:t xml:space="preserve"> El riesgo mayor es la compresión del múltiplo hacia el del software (≈25 veces): −20 % en el bajista a 12 meses y hasta −44 % hacia el valor intrínseco. El segundo, que la IA reduzca usuarios de CRM. Catalizadores: día del inversor (5-nov), resultados del 3T27 (≈19-nov) y la recompra. Los foros han pasado de la capitulación al entusiasmo tras el 2T, sin euforia.</w:t>
      </w:r>
    </w:p>
    <w:p>
      <w:pPr>
        <w:spacing w:after="100"/>
      </w:pPr>
      <w:r>
        <w:rPr>
          <w:b/>
        </w:rPr>
        <w:t xml:space="preserve">Qué cambiaría la decisión.</w:t>
      </w:r>
      <w:r>
        <w:t xml:space="preserve"> Compraríamos por debajo de 166,15 USD y venderíamos por encima de 381,22. Pasaríamos a Vender si la suscripción crece menos del 12 % o si el PER adelantado cae por debajo de 36 veces sin caída del beneficio.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343,09 USD</w:t>
      </w:r>
      <w:r>
        <w:t xml:space="preserve"> (rentabilidad +15,9 % (base +20,4 %)) · Valor intrínseco: 166,15 USD (-43,9 % sobre 296,13) · con la prima implícita del mercado: 188,15 (-36,5 %)</w:t>
      </w:r>
    </w:p>
    <w:p>
      <w:pPr>
        <w:spacing w:after="100"/>
      </w:pPr>
      <w:r>
        <w:t xml:space="preserve">Veeva es el sistema operativo de la industria farmacéutica: CRM, contenidos regulados, ensayos clínicos, calidad y datos, con un 84 % de ingresos recurrentes, un margen operativo no GAAP del 44 % y 7.243 M de caja sin deuda [6, 8]. Ha sobrevivido a su mayor riesgo, salir de la plataforma de Salesforce, con 14 de las 20 mayores farmacéuticas en Vault CRM [17].</w:t>
      </w:r>
    </w:p>
    <w:p>
      <w:pPr>
        <w:spacing w:after="100"/>
      </w:pPr>
      <w:r>
        <w:t xml:space="preserve">El precio, 296,13 USD, descuenta mucho: el DCF inverso pide un 20,9 % anual de crecimiento durante nueve años, y la acción cotiza a 40,3 veces nuestro BPA GAAP de FY2028e, en la parte baja de su historia (36-62 veces) pero muy por encima del software maduro (24,6 veces).</w:t>
      </w:r>
    </w:p>
    <w:p>
      <w:pPr>
        <w:spacing w:after="100"/>
      </w:pPr>
      <w:r>
        <w:t xml:space="preserve">Para invertir hay que creer que el mercado seguirá pagando esa prima porque la IA amplía el negocio en vez de comérselo. Nuestras cifras coinciden con el consenso en ventas; la diferencia está en el precio que se paga por ellas.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 × 6,95 = 238,39 · 42,8x × 8,33 = 356,52 · 48,4x × 9,03 = 437,05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 / 20,4 %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290,50 (nuestro base +22,7 %)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 / -59,5 %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11,0 %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166,15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166,15 y 381,22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381,22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166,15 USD: pasaría a Comprar (valor real ≥ precio).</w:t>
      </w:r>
    </w:p>
    <w:p>
      <w:pPr>
        <w:pStyle w:val="ListParagraph"/>
        <w:numPr>
          <w:ilvl w:val="0"/>
          <w:numId w:val="2"/>
        </w:numPr>
        <w:spacing w:after="60"/>
      </w:pPr>
      <w:r>
        <w:t xml:space="preserve">Precio por encima de 381,22 USD: pasaría a Vender.</w:t>
      </w:r>
    </w:p>
    <w:p>
      <w:pPr>
        <w:pStyle w:val="ListParagraph"/>
        <w:numPr>
          <w:ilvl w:val="0"/>
          <w:numId w:val="2"/>
        </w:numPr>
        <w:spacing w:after="60"/>
      </w:pPr>
      <w:r>
        <w:t xml:space="preserve">Crecimiento de la suscripción por debajo del 12 % en dos trimestres: Vender.</w:t>
      </w:r>
    </w:p>
    <w:p>
      <w:pPr>
        <w:pStyle w:val="ListParagraph"/>
        <w:numPr>
          <w:ilvl w:val="0"/>
          <w:numId w:val="2"/>
        </w:numPr>
        <w:spacing w:after="60"/>
      </w:pPr>
      <w:r>
        <w:t xml:space="preserve">Guía de FY2028 por encima del +16 % con ingresos de IA cuantificados: revisaríamos al alza el DCF.</w:t>
      </w:r>
    </w:p>
    <w:p>
      <w:pPr>
        <w:pStyle w:val="Heading2"/>
      </w:pPr>
      <w:r>
        <w:t xml:space="preserve">Dónde discrepamos del mercado</w:t>
      </w:r>
    </w:p>
    <w:p>
      <w:pPr>
        <w:keepNext/>
        <w:spacing w:after="100"/>
      </w:pPr>
      <w:r>
        <w:rPr>
          <w:b/>
          <w:bCs/>
        </w:rPr>
        <w:t xml:space="preserve">Lo que descuenta el precio.</w:t>
      </w:r>
    </w:p>
    <w:p>
      <w:pPr>
        <w:spacing w:after="100"/>
      </w:pPr>
      <w:r>
        <w:t xml:space="preserve">Que Veeva crecerá al 15-20 % durante una década gracias a la IA y a la migración del CRM, y que merece un PER de 40-45 veces el beneficio GAAP.</w:t>
      </w:r>
    </w:p>
    <w:p>
      <w:pPr>
        <w:keepNext/>
        <w:spacing w:after="100"/>
      </w:pPr>
      <w:r>
        <w:rPr>
          <w:b/>
          <w:bCs/>
        </w:rPr>
        <w:t xml:space="preserve">Lo que creemos nosotros.</w:t>
      </w:r>
    </w:p>
    <w:p>
      <w:pPr>
        <w:spacing w:after="100"/>
      </w:pPr>
      <w:r>
        <w:t xml:space="preserve">El crecimiento se moderará del 15 % al 5 % en diez años; el negocio es excelente, pero el precio ya paga más que ese crecimiento. A 12 meses la acción puede seguir subiendo con el beneficio si el múltiplo aguanta.</w:t>
      </w:r>
    </w:p>
    <w:p>
      <w:pPr>
        <w:keepNext/>
        <w:spacing w:after="100"/>
      </w:pPr>
      <w:r>
        <w:rPr>
          <w:b/>
          <w:bCs/>
        </w:rPr>
        <w:t xml:space="preserve">Por qué podemos tener razón.</w:t>
      </w:r>
    </w:p>
    <w:p>
      <w:pPr>
        <w:spacing w:after="100"/>
      </w:pPr>
      <w:r>
        <w:t xml:space="preserve">Nadie en el sector ha crecido al 20 % durante nueve años con más del 20 % de cuota; el mercado direccionable crece al 6 %. No tenemos una visión opuesta a la del mercado sobre el negocio, sí sobre lo que vale.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96,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Aceleración</w:t>
      </w:r>
      <w:r>
        <w:t xml:space="preserve">: ventas +18 % en el 2T27 y guía elevada a 3.682-3.687 M [6].</w:t>
      </w:r>
    </w:p>
    <w:p>
      <w:pPr>
        <w:pStyle w:val="ListParagraph"/>
        <w:numPr>
          <w:ilvl w:val="0"/>
          <w:numId w:val="2"/>
        </w:numPr>
        <w:spacing w:after="60"/>
      </w:pPr>
      <w:r>
        <w:rPr>
          <w:b/>
        </w:rPr>
        <w:t xml:space="preserve">Migración del CRM ganada</w:t>
      </w:r>
      <w:r>
        <w:t xml:space="preserve">: 14 de las 20 mayores farmacéuticas con Vault CRM [17].</w:t>
      </w:r>
    </w:p>
    <w:p>
      <w:pPr>
        <w:pStyle w:val="ListParagraph"/>
        <w:numPr>
          <w:ilvl w:val="0"/>
          <w:numId w:val="2"/>
        </w:numPr>
        <w:spacing w:after="60"/>
      </w:pPr>
      <w:r>
        <w:rPr>
          <w:b/>
        </w:rPr>
        <w:t xml:space="preserve">Balance</w:t>
      </w:r>
      <w:r>
        <w:t xml:space="preserve">: 7.243 M de caja neta y recompra de 2.000 M [8].</w:t>
      </w:r>
    </w:p>
    <w:p>
      <w:pPr>
        <w:pStyle w:val="ListParagraph"/>
        <w:numPr>
          <w:ilvl w:val="0"/>
          <w:numId w:val="2"/>
        </w:numPr>
        <w:spacing w:after="60"/>
      </w:pPr>
      <w:r>
        <w:rPr>
          <w:b/>
        </w:rPr>
        <w:t xml:space="preserve">Rentabilidad</w:t>
      </w:r>
      <w:r>
        <w:t xml:space="preserve">: ROIC operativo del 104,4 % y conversión en caja del 156 % del beneficio.</w:t>
      </w:r>
    </w:p>
    <w:p>
      <w:pPr>
        <w:pStyle w:val="ListParagraph"/>
        <w:numPr>
          <w:ilvl w:val="0"/>
          <w:numId w:val="2"/>
        </w:numPr>
        <w:spacing w:after="60"/>
      </w:pPr>
      <w:r>
        <w:rPr>
          <w:b/>
        </w:rPr>
        <w:t xml:space="preserve">Múltiplo en mínimos propios</w:t>
      </w:r>
      <w:r>
        <w:t xml:space="preserve">: 40,3 veces frente a una mediana de 45,5 en cinco años.</w:t>
      </w:r>
    </w:p>
    <w:p>
      <w:pPr>
        <w:pStyle w:val="Heading2"/>
      </w:pPr>
      <w:r>
        <w:t xml:space="preserve">En contra</w:t>
      </w:r>
    </w:p>
    <w:p>
      <w:pPr>
        <w:pStyle w:val="ListParagraph"/>
        <w:numPr>
          <w:ilvl w:val="0"/>
          <w:numId w:val="2"/>
        </w:numPr>
        <w:spacing w:after="60"/>
      </w:pPr>
      <w:r>
        <w:rPr>
          <w:b/>
        </w:rPr>
        <w:t xml:space="preserve">Valor intrínseco</w:t>
      </w:r>
      <w:r>
        <w:t xml:space="preserve">: 166,15 USD, un 43,9 % por debajo del precio.</w:t>
      </w:r>
    </w:p>
    <w:p>
      <w:pPr>
        <w:pStyle w:val="ListParagraph"/>
        <w:numPr>
          <w:ilvl w:val="0"/>
          <w:numId w:val="2"/>
        </w:numPr>
        <w:spacing w:after="60"/>
      </w:pPr>
      <w:r>
        <w:rPr>
          <w:b/>
        </w:rPr>
        <w:t xml:space="preserve">DCF inverso</w:t>
      </w:r>
      <w:r>
        <w:t xml:space="preserve">: el precio pide un 20,9 % anual de crecimiento durante nueve años.</w:t>
      </w:r>
    </w:p>
    <w:p>
      <w:pPr>
        <w:pStyle w:val="ListParagraph"/>
        <w:numPr>
          <w:ilvl w:val="0"/>
          <w:numId w:val="2"/>
        </w:numPr>
        <w:spacing w:after="60"/>
      </w:pPr>
      <w:r>
        <w:rPr>
          <w:b/>
        </w:rPr>
        <w:t xml:space="preserve">Remuneración en acciones</w:t>
      </w:r>
      <w:r>
        <w:t xml:space="preserve">: 14,8 % de las ventas, fuera del BPA que sigue el mercado [2].</w:t>
      </w:r>
    </w:p>
    <w:p>
      <w:pPr>
        <w:pStyle w:val="ListParagraph"/>
        <w:numPr>
          <w:ilvl w:val="0"/>
          <w:numId w:val="2"/>
        </w:numPr>
        <w:spacing w:after="60"/>
      </w:pPr>
      <w:r>
        <w:rPr>
          <w:b/>
        </w:rPr>
        <w:t xml:space="preserve">IA</w:t>
      </w:r>
      <w:r>
        <w:t xml:space="preserve">: riesgo para el modelo por usuario del CRM; sin ingresos de IA publicados.</w:t>
      </w:r>
    </w:p>
    <w:p>
      <w:pPr>
        <w:pStyle w:val="ListParagraph"/>
        <w:numPr>
          <w:ilvl w:val="0"/>
          <w:numId w:val="2"/>
        </w:numPr>
        <w:spacing w:after="60"/>
      </w:pPr>
      <w:r>
        <w:rPr>
          <w:b/>
        </w:rPr>
        <w:t xml:space="preserve">Rebote</w:t>
      </w:r>
      <w:r>
        <w:t xml:space="preserve">: la acción casi se ha duplicado desde el mínimo de 148,05 USD [40].</w:t>
      </w:r>
    </w:p>
    <w:p>
      <w:pPr>
        <w:pStyle w:val="Heading2"/>
      </w:pPr>
      <w:r>
        <w:t xml:space="preserve">Qué tiene que pasar para que la tesis funcione</w:t>
      </w:r>
    </w:p>
    <w:p>
      <w:pPr>
        <w:spacing w:after="100"/>
      </w:pPr>
      <w:r>
        <w:t xml:space="preserve">La tesis depende de que el mercado siga pagando 40 veces o más el beneficio GAAP del año siguiente, y eso depende del crecimiento de la suscripción. La señal de que no se cumple: suscripción creciendo menos del 12 % interanual o una guía de FY2028 por debajo del +12 % en marzo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suscripción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(2T27)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en producción con Vault CRM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190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Pérdida de una de las 20 mayores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Migración del CRM.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adelantado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cinco años.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Distancia GAAP / no GAAP.</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48,5x / 29,8x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Peter Gassner, que venía de Salesforce y PeopleSoft, fundó Veeva en 2007 para llevar el CRM de Salesforce a la industria farmacéutica con una versión específica del sector [22]. En 2011 lanzó Vault, su propia plataforma de gestión de contenidos regulados, que hoy cubre ensayos clínicos, calidad, regulatorio y farmacovigilancia. Salió a bolsa en el NYSE en 2013 con beneficios desde el principio. En 2021 se convirtió en sociedad de beneficio público (PBC), la primera grande cotizada en hacerlo. En 2022 anunció que sacaría su CRM de la plataforma de Salesforce y lo rehízo sobre Vault (Vault CRM, disponible desde 2024); Salesforce lanzó a su vez su propio CRM para farmacéuticas. En 2025 cerró sus litigios con IQVIA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Peter Gassner; CRM para farmacéuticas sobre la plataforma de Salesforce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Veeva Vault (contenidos regulados)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NYSE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en sociedad de beneficio público (PBC)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salida de la plataforma de Salesforce y del nuevo Vault CRM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IQVIA que pone fin a los litigios y permite integrar sus datos [20]; agentes de IA anunciados para todas las aplicaciones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recompra (2.000 M); más de 190 clientes en producción con Vault CRM y 14 de las 20 mayores farmacéuticas comprometidas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Veeva vende software en la nube, datos y consultoría exclusivamente a la industria de ciencias de la vida (farmacéuticas, biotecnológicas, productos sanitarios, consumo regulado). Tiene dos grandes áreas: Commercial (CRM para los visitadores médicos, Vault CRM; gestión de contenidos promocionales; datos de clientes y de prescripción: OpenData, Link, Compass, Crossix) y R&amp;D o Development Cloud (Vault Clinical, CDMS de datos clínicos, Regulatory, Quality y Safety). Sus clientes van desde las 20 mayores farmacéuticas hasta centenares de biotecnológicas pequeñas. Vende directamente, con contratos anuales que se facturan por adelantado.</w:t>
      </w:r>
    </w:p>
    <w:p>
      <w:pPr>
        <w:pStyle w:val="Heading2"/>
      </w:pPr>
      <w:r>
        <w:t xml:space="preserve">Cómo gana dinero</w:t>
      </w:r>
    </w:p>
    <w:p>
      <w:pPr>
        <w:spacing w:after="100"/>
      </w:pPr>
      <w:r>
        <w:t xml:space="preserve">El 84 % de los ingresos es suscripción recurrente (2.684,2 M en FY2026) y el 16 % servicios profesionales de implantación y migración, con margen bajo. La suscripción se cobra por usuario (CRM), por ensayo o volumen (Vault Clinical) o por datos, y se factura anualmente por adelantado, lo que genera ingresos diferidos y caja antes del beneficio. El margen depende del apalancamiento operativo: con un gasto en I+D y ventas ya dimensionado, cada cliente adicional en Vault llega con margen bruto superior al 80 %. Los agentes de IA se cobran por consumo (tokens) desde diciembre de 2025 [21].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r>
    </w:tbl>
    <w:p>
      <w:pPr>
        <w:spacing w:after="160" w:before="0"/>
      </w:pPr>
    </w:p>
    <w:p>
      <w:pPr>
        <w:pStyle w:val="Heading2"/>
      </w:pPr>
      <w:r>
        <w:t xml:space="preserve">Clientes, recurrencia y poder de precios</w:t>
      </w:r>
    </w:p>
    <w:p>
      <w:pPr>
        <w:spacing w:after="100"/>
      </w:pPr>
      <w:r>
        <w:t xml:space="preserve">Concentración en las grandes farmacéuticas: la migración del CRM es una decisión de las 20 mayores, de las que 14 se han comprometido con Vault CRM a escala global (Lilly, Roche, Amgen, Biogen, Regeneron, Merck para un lanzamiento) [17, 19]. Los contratos son anuales y renovables; los costes de cambio son altos (datos validados, procesos regulados GxP, formación de miles de visitadores). El poder de precios se vio en la migración: Veeva cobra Vault CRM con un precio comparable al antiguo, pero con más funciones y sin pagar a Salesforce por la plataforma.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suscripción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2.284,7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2.684,2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Suscripción = 84 % de las ventas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totales del 2T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789,1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928,0 (2T27)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frente al +16 % de FY2026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en producción con Vault CRM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125 (mar-26)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190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de las 20 mayores farmacéuticas comprometidas con Vault CRM a escala global (nota de Veeva, sep-26; ver nota B).</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operativo (millones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Ayudado por la deducción del I+D de la ley fiscal OBBBA de 2025 [3].</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Software, datos y consultoría específicos para la industria de ciencias de la vida (CRM y datos comerciales, ensayos clínicos, regulatorio, calidad y farmacovigilancia), en todo el mundo. Usamos el mercado direccionable que estima Veeva (más de 20.000 M USD: la industria gasta en torno al 1 % de sus ventas en tecnología específica) [15] y lo contrastamos con un estudio del mercado de nube de ciencias de la vida (29.150 M USD en 2025), de perímetro más amplio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20.000 M USD (mercado direccionable de Veeva, FY2026) [15]; 29.150 M USD de nube de ciencias de la vida en 2025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farmacéutico y número de ensayos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industria crece en torno a un 6 % anual según Evaluate, citado por Veeva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del CRM de las grandes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soporte del antiguo Veeva CRM adelantado a diciembre de 2029; 14 de las 20 mayores con Vault CRM [17,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específicos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consumo; riesgo de que la IA genérica reduzca el número de usuarios de pago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visitadores médicos y de costes en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usuarios de CRM por cliente: riesgo citado por analistas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Salesforce (Life Sciences Cloud) e IQVIA compiten en CRM; Medidata (Dassault) en ensayos clínicos [19,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20 mayores farmacéuticas pesan mucho y negocian en bloque la migración del CRM.</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Vault CRM ya no depende de la plataforma de Salesforce; la nube pública es intercambiable.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regulatoria (GxP) y datos propios elevan la barrera; la IA la rebaja en parte.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genéricos y desarrollos internos de las grandes farmacéuticas.</w:t>
            </w:r>
          </w:p>
        </w:tc>
      </w:tr>
    </w:tbl>
    <w:p>
      <w:pPr>
        <w:spacing w:after="160" w:before="0"/>
      </w:pPr>
    </w:p>
    <w:p>
      <w:pPr>
        <w:pStyle w:val="Heading2"/>
      </w:pPr>
      <w:r>
        <w:t xml:space="preserve">Ciclo</w:t>
      </w:r>
    </w:p>
    <w:p>
      <w:pPr>
        <w:spacing w:after="100"/>
      </w:pPr>
      <w:r>
        <w:t xml:space="preserve">El gasto en tecnología de las farmacéuticas sigue al I+D y no a la economía: en 2020 y 2022 Veeva siguió creciendo a doble dígito. El riesgo cíclico viene de los recortes de visitadores y de la financiación de las biotecnológicas pequeñas.</w:t>
      </w:r>
    </w:p>
    <w:p>
      <w:pPr>
        <w:pStyle w:val="Heading2"/>
      </w:pPr>
      <w:r>
        <w:t xml:space="preserve">Regulación</w:t>
      </w:r>
    </w:p>
    <w:p>
      <w:pPr>
        <w:spacing w:after="100"/>
      </w:pPr>
      <w:r>
        <w:t xml:space="preserve">Las aplicaciones de Veeva soportan procesos regulados (FDA 21 CFR Part 11, GxP, EMA); los cambios normativos sobre ensayos descentralizados y farmacovigilancia amplían la demanda. Sin cambios regulatorios en tramitación que afecten de forma directa a las cifras.</w:t>
      </w:r>
    </w:p>
    <w:p>
      <w:pPr>
        <w:pStyle w:val="Heading2"/>
      </w:pPr>
      <w:r>
        <w:t xml:space="preserve">Tendencias y disrupción</w:t>
      </w:r>
    </w:p>
    <w:p>
      <w:pPr>
        <w:spacing w:after="100"/>
      </w:pPr>
      <w:r>
        <w:t xml:space="preserve">La tendencia que domina es la IA: Veeva lanza agentes en todas sus aplicaciones entre diciembre de 2025 y diciembre de 2026, cobrados por consumo [21]. Si la IA reduce los usuarios por cliente, el modelo por usuario sufre; si amplía el uso de los datos y los procesos regulados, Veeva gana porque es dueña de los datos validados.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software específico de ciencias de la vida (≈16 % del mercado direccionable de 20.000 M); líder en CRM farmacéutico y en gestión de contenidos regulados [15,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 (Life Sciences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Lanzó su CRM para farmacéuticas tras la salida de Veeva; cifras del grupo entero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(OCE)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CRM y datos; litigios con Veeva cerrados en 2025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Medidata (Dassault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principal en ensayos clínicos (EDC, CTMS)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clientes (OpenData, Link) mejoran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Procesos regulados, datos validados y miles de usuarios: 14 de las 20 mayores siguen con Veeva en la migración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Especialización de 19 años y validación GxP.</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plataforma (Vault) para todos los productos.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≈20.000 M en el que Veeva tiene ≈16 % y ningún rival especializado de su tamaño [1].</w:t>
            </w:r>
          </w:p>
        </w:tc>
      </w:tr>
    </w:tbl>
    <w:p>
      <w:pPr>
        <w:spacing w:after="160" w:before="0"/>
      </w:pPr>
    </w:p>
    <w:p>
      <w:pPr>
        <w:pStyle w:val="Heading2"/>
      </w:pPr>
      <w:r>
        <w:t xml:space="preserve">Amenazas</w:t>
      </w:r>
    </w:p>
    <w:p>
      <w:pPr>
        <w:spacing w:after="100"/>
      </w:pPr>
      <w:r>
        <w:t xml:space="preserve">La amenaza principal es la IA: si los agentes genéricos o los de Salesforce reducen los usuarios por cliente, el precio por usuario de CRM pierde base. La segunda es Salesforce, que compite con precio en la migración del CRM; hasta ahora ha ganado pocas grandes cuentas (tres comprometidas en 2025 frente a nueve de Veeva, según la prensa) [19, 20]. Probabilidad media a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FY2022-FY2026: ingresos </w:t>
      </w:r>
      <w:r>
        <w:rPr>
          <w:b/>
          <w:bCs/>
        </w:rPr>
        <w:t xml:space="preserve">14,6 %</w:t>
      </w:r>
      <w:r>
        <w:t xml:space="preserve">, EBITDA </w:t>
      </w:r>
      <w:r>
        <w:rPr>
          <w:b/>
          <w:bCs/>
        </w:rPr>
        <w:t xml:space="preserve">15,5 %</w:t>
      </w:r>
      <w:r>
        <w:t xml:space="preserve">, BPA </w:t>
      </w:r>
      <w:r>
        <w:rPr>
          <w:b/>
          <w:bCs/>
        </w:rPr>
        <w:t xml:space="preserve">19,9 %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Veeva creció de 1.850,8 M USD en FY2022 a 3.195,3 M en FY2026 (ejercicios cerrados en enero; la etiqueta es el año en que termina), un 14,6 % anual compuesto, casi todo orgánico [1, 4]. El margen EBIT GAAP cayó de 27,3 % en FY2022 a 18,2 % en FY2024 (contratación en I+D y en la plataforma Vault CRM, que sustituye al CRM que corría sobre Salesforce) y se recuperó a 25,2 % en FY2025 y 28,7 % en FY2026 [4]. En los dos primeros trimestres de FY2027 las ventas aceleraron al +16 % y +18 % y el BPA GAAP subió a 1,57 y 1,66 USD [6, 7]. Una parte relevante del beneficio es financiera: 278,1 M de otros ingresos en FY2026 (rendimiento de 6.561 M de caja e inversiones), el 23 % del beneficio antes de impuestos [3].</w:t>
      </w:r>
    </w:p>
    <w:p>
      <w:pPr>
        <w:pStyle w:val="Heading2"/>
      </w:pPr>
      <w:r>
        <w:t xml:space="preserve">Ajustes y partidas no recurrentes</w:t>
      </w:r>
    </w:p>
    <w:p>
      <w:pPr>
        <w:spacing w:after="100"/>
      </w:pPr>
      <w:r>
        <w:t xml:space="preserve">Usamos cifras GAAP: la remuneración en acciones (472,7 M en FY2026, 14,8 % de las ventas; 437,4 M en FY2025) es un gasto real [2]. La empresa publica un BPA no GAAP que la excluye (2,35 USD en el 2T27 frente a 1,66 GAAP) [6]. No hay partidas no recurrentes relevantes. El tipo efectivo pasó del 10,6 % en FY2024 (deducciones por ejercicio de opciones) al 22,3 % en FY2025 y al 23,9 % en FY2026 [3]. La amortización de FY2022-FY2024 es estimación propia (≈1,7 % de las ventas, la de FY2025-26 según agregadores de los flujos [4, 5]); el BAI y el impuesto de FY2022-23 no se localizaron. El LTM a julio de 2026 se construye con los trimestres publicados: ventas exactas [1, 6, 7]; EBIT, EBITDA y beneficio son estimación propia con el margen GAAP de FY2026 más la mejora de 1S27.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2T27 (26-ago-2026) la dirección dijo que los resultados superaron la guía en todas las métricas y que su visión del año mejoraba en todo: subió la guía de ingresos de FY2027 a 3.682-3.687 M (antes 3.640-3.650 M), el resultado operativo no GAAP a unos 1.640 M y el BPA no GAAP a 9,21 USD (antes 9,05) [6, 13]. Atribuyó la mejora al mejor trimestre de su historia en CRM, al impulso de las nubes comerciales y al interés de los clientes por los agentes de IA. En el 1T27 (3-jun-2026) ya había subido la guía tras crecer un 16 % [7]. La guía del 3T27 es de 932-935 M de ventas y 2,33-2,34 USD de BPA no GAAP [13]. Las preguntas giraron en torno a la monetización de la IA (precio por consumo) y al ritmo de migración a Vault CRM; la dirección no da objetivos GAAP por la dificultad de prever la remuneración en acciones [13]. El BPA del 3T26 es estimación propia (BPA anual menos los otros tres trimestres).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es caja neta: 6.560,8 M a enero de 2026, el 73 % del activo, frente a 2.376,1 M en enero de 2022 [1, 10]. El patrimonio pasó de 2.912 M a 7.214,8 M en cuatro ejercicios porque la empresa retenía todo el beneficio; la recompra de 2026 es el primer cambio en esa política [2]. El circulante comercial es negativo: clientes de 1.310,3 M contra ingresos diferidos de 1.488,8 M. Las cifras de FY2022-FY2024 (pasivo total, patrimonio, clientes) vienen de agregadores y no se han podido cotejar con el 10-K [9]; las de FY2023 de caja y clientes no se localizaron.</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77"/>
        <w:gridCol w:w="1107"/>
        <w:gridCol w:w="886"/>
        <w:gridCol w:w="886"/>
        <w:gridCol w:w="886"/>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FY2022-FY2026: FCF </w:t>
      </w:r>
      <w:r>
        <w:rPr>
          <w:b/>
          <w:bCs/>
        </w:rPr>
        <w:t xml:space="preserve">4.960</w:t>
      </w:r>
      <w:r>
        <w:t xml:space="preserve">, conversión </w:t>
      </w:r>
      <w:r>
        <w:rPr>
          <w:b/>
          <w:bCs/>
        </w:rPr>
        <w:t xml:space="preserve">162 %</w:t>
      </w:r>
      <w:r>
        <w:t xml:space="preserve"> del beneficio neto; adquisiciones 0, dividendos 0, recompras 180.</w:t>
      </w:r>
    </w:p>
    <w:p>
      <w:pPr>
        <w:spacing w:after="100"/>
      </w:pPr>
      <w:r>
        <w:t xml:space="preserve">El flujo operativo pasó de 764 M en FY2022 a 1.415 M en FY2026 (156 % del beneficio neto de FY2026, por la remuneración en acciones no monetaria y la deducción fiscal del I+D) [3, 5]. La inversión en inmovilizado es mínima (decenas de millones al año, sin cifra anual cotejada: hueco) y el negocio no necesita capital: la caja se acumula. La recompra de FY2026 fueron 801.735 acciones por unos 180 M; antes no había programa y las salidas por acciones eran retenciones fiscales de la liquidación neta de acciones de empleados [2,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calidad del beneficio es alta: ingresos por suscripción reconocidos de forma lineal, sin capitalización relevante de I+D y una conversión en caja superior a 1,5 veces el beneficio. Los dos matices son la remuneración en acciones (14,8 % de las ventas), que el BPA no GAAP excluye, y el peso de los ingresos financieros (23 % del BAI en FY2026), que dependen del tipo de interés [2, 3]. La gran opción de 2024 al consejero delegado (2,65 M de acciones a 236,90 USD, valor de 172 M) se reconoce como gasto durante cinco años, unos 34 M al año. Los indicadores del motor (Altman, Piotroski y Beneish) quedan incompletos porque faltan coste de ventas, gastos generales y circulante de algunos años.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472,7 M en FY2026 (14,8 % de las ventas); diluye un 1-1,5 % al año antes de recompras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financieros sensibles a tipos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278 M de otros ingresos en FY2026: con tipos 2 puntos más bajos el BPA caería ≈0,8 USD (estimación propia).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240,9 % · </w:t>
      </w:r>
      <w:r>
        <w:rPr>
          <w:b/>
          <w:bCs/>
        </w:rPr>
        <w:t xml:space="preserve">WACC</w:t>
      </w:r>
      <w:r>
        <w:t xml:space="preserve">: 11,0 %.</w:t>
      </w:r>
    </w:p>
    <w:p>
      <w:pPr>
        <w:spacing w:after="100"/>
      </w:pPr>
      <w:r>
        <w:t xml:space="preserve">Veeva crea valor de forma holgada: el ROIC sobre el capital operativo fue del 104,4 % en FY2026, unos 93 puntos por encima del 11,0 % de coste del capital, porque el capital invertido operativo es casi nulo (668 M: los clientes pagan por adelantado). El dato está inflado por esa estructura; la rentabilidad sobre el patrimonio, que incluye 6.561 M de caja ociosa, es del 13,9 %. El ROIC cayó en FY2023-24 (16-18 %, también por la falta de la caja de FY2023 en el balance) cuando el margen EBIT bajó al 18 % por la inversión en Vault CRM, y se recuperó con el margen. El ROIC incremental histórico (240,9 %) muestra que el crecimiento no consume capital. Frente a Salesforce (ROIC del 10,8 %) y Workday (14,2 %) Veeva está muy por encima [38].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7.242,9 M USD a 31-jul-2026 (1.812,0 M de efectivo y 5.430,9 M de inversiones a corto), sin deuda financiera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(sin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deuda financiera, pensiones ni pagos aplazados relevantes. El principal pasivo es el ingreso diferido (1.488,8 M a enero de 2026 y 1.310,5 M a julio, por la facturación anual concentrada en el 1T) [2, 8]. Los arrendamientos son operativos (US GAAP) y no se suman al puente. La recompra de 2.000 M aprobada en enero de 2026, con dos años de plazo, había consumido unos 647 M hasta julio de 2026 (180 M en FY2026 y 467 M en el 1S27) [2, 8].</w:t>
      </w:r>
    </w:p>
    <w:p>
      <w:pPr>
        <w:pStyle w:val="Heading1"/>
      </w:pPr>
      <w:r>
        <w:t xml:space="preserve">12. Asignación de capital</w:t>
      </w:r>
    </w:p>
    <w:p>
      <w:pPr>
        <w:pStyle w:val="Confianza"/>
        <w:spacing w:after="100"/>
      </w:pPr>
      <w:r>
        <w:t xml:space="preserve">Confianza: Media</w:t>
      </w:r>
    </w:p>
    <w:p>
      <w:pPr>
        <w:spacing w:after="100"/>
      </w:pPr>
      <w:r>
        <w:t xml:space="preserve">Sin dividendo. Prioridad declarada: inversión orgánica (I+D, nuevos productos de datos y agentes de IA) y compras pequeñas. En enero de 2026 el consejo aprobó la primera recompra, hasta 2.000 M en dos años, financiada con la caja y el flujo operativo [2,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La dirección ha asignado el capital con disciplina: ninguna compra grande (el fondo de comercio sigue en 439,9 M desde 2022) y crecimiento orgánico con capital invertido operativo mínimo [11]. El defecto ha sido la acumulación de caja improductiva (7.243 M, 16 % de la capitalización), que la recompra de 2026 empieza a corregir con 647 M en 18 meses [8]. A 296 USD, el programa entero retiraría ≈4 % del capital.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Gassner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Veeva en 2007 tras pasar por Salesforce y PeopleSoft. Ha llevado la empresa de cero a 3.195 M de ventas con beneficios desde la salida a bolsa y ha dirigido la salida de la plataforma de Salesforce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Van Wagener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las guías de 2026, que la empresa ha superado y elevado en los dos primeros trimestres de FY2027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Gordon Ritter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Emergence Capital, primer inversor de Veeva; preside el comité de remuneración que aprobó la opción de 2024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3.640-3.650 M y BPA no GAAP 9,05 USD (jun-26)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Elevada a 3.682-3.687 M y 9,21 USD (ago-26); 1T y 2T por encima de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fundador sigue al mando después de 19 años y tiene la mayor parte de su riqueza en la empresa; su única remuneración en acciones hasta 2030 es la opción de 2024 con precio de ejercicio de 236,90 USD, por encima del precio de entonces, lo que alinea su interés con la cotización [25]. La credibilidad de la guía es alta: la empresa la supera y la eleva casi cada trimestre [6, 7, 26]. No se ha encontrado un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Ritter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Gassner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Carges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no tiene variable anual: en FY2026 cobró 470.833 USD de sueldo [25]. En FY2025 recibió opciones sobre 2,65 M de acciones con precio de ejercicio de 236,90 USD, valoradas en 172,0 M, que son su única remuneración en acciones hasta al menos 2030 (≈34,4 M al año durante la consolidación) [25]. ISS y Glass Lewis la calificaron de desproporcionada y recomendaron votar contra la reelección de los consejeros del comité de remuneración (Ritter y Carges) [25, 27]. La opción no lleva métricas de rentabilidad: solo paga si la acción sube por encima de 236,90 USD.</w:t>
      </w:r>
    </w:p>
    <w:p>
      <w:pPr>
        <w:pStyle w:val="Heading2"/>
      </w:pPr>
      <w:r>
        <w:t xml:space="preserve">Operaciones vinculadas, estructura de control y defensas</w:t>
      </w:r>
    </w:p>
    <w:p>
      <w:pPr>
        <w:spacing w:after="100"/>
      </w:pPr>
      <w:r>
        <w:t xml:space="preserve">Según la información consultada hay una sola clase de acciones cotizada con un voto por acción (no cotejado con el proxy). Veeva es sociedad de beneficio público (PBC) de Delaware desde 2021: el consejo debe equilibrar el interés del accionista con el de clientes, empleados y sociedad, lo que puede servir de defensa ante una OPA. Sin accionista de control; el fundador conserva una participación relevante (porcentaje no confirmado en esta búsqueda).</w:t>
      </w:r>
    </w:p>
    <w:p>
      <w:pPr>
        <w:pStyle w:val="Heading2"/>
      </w:pPr>
      <w:r>
        <w:t xml:space="preserve">Señales de alerta</w:t>
      </w:r>
    </w:p>
    <w:p>
      <w:pPr>
        <w:pStyle w:val="ListParagraph"/>
        <w:numPr>
          <w:ilvl w:val="0"/>
          <w:numId w:val="2"/>
        </w:numPr>
        <w:spacing w:after="60"/>
      </w:pPr>
      <w:r>
        <w:t xml:space="preserve">Voto negativo de los asesores de voto (ISS, Glass Lewis) contra los consejeros del comité de remuneración por la opción de 172 M de 2024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FY2027 (ejercicio que cierra el 31-ene-2027), elevada el 26-ago-2026: ventas de 3.682-3.687 M (+15 %), resultado operativo no GAAP de unos 1.640 M (44,5 % de margen) y BPA no GAAP de unos 9,21 USD (antes 9,05). Para el 3T27: ventas de 932-935 M y BPA no GAAP de 2,33-2,34 USD [34, 41]. El próximo día del inversor es el 5-nov-2026.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la empresa (no GAAP), 26-ago-2026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26 analistas (no GAAP)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 – 325,00</w:t>
            </w:r>
          </w:p>
        </w:tc>
      </w:tr>
    </w:tbl>
    <w:p>
      <w:pPr>
        <w:spacing w:after="160" w:before="0"/>
      </w:pPr>
    </w:p>
    <w:p>
      <w:pPr>
        <w:pStyle w:val="Heading2"/>
      </w:pPr>
      <w:r>
        <w:t xml:space="preserve">Revisiones de estimaciones</w:t>
      </w:r>
    </w:p>
    <w:p>
      <w:pPr>
        <w:spacing w:after="100"/>
      </w:pPr>
      <w:r>
        <w:t xml:space="preserve">Tras el 2T27 los analistas subieron los objetivos: Guggenheim de 276 a 310, Morgan Stanley de 215 a 275, RBC de 275 a 325, Canaccord de 220 a 260, Truist de 262 a 305, JPMorgan de 272 a 299, Evercore de 185 a 250 y Baird a 300 [34, 35]. El objetivo medio (290,5 USD) es la media de esos ocho objetivos publicados (estimación propia; no hay un consenso fechado accesible). El BPA no GAAP de FY2027 pasó de ≈9,06 a 9,21 con la guía; el de FY2028 está en 10,25 (rango 9,68-10,64) [32, 42]. Contraste solo con una fuente para FY2028.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Cierres de enero (fin de ejercicio) de Macrotrends [30]; el de FY2026 es el del 12-ene-2026 (no se localizó el del 30-ene) y el de FY2022 no se localizó (año de burbuja del software, se excluye). Con BPA GAAP del año siguiente, el PER adelantado bajó de 62x en enero de 2020 a 53x (2023), 48x (2024), 43x (2025) y 36x (2026): el mercado ha ido pagando menos por cada dólar de beneficio a medida que el crecimiento se moderaba del 25 % al 15 % y aparecía el riesgo de la IA.</w:t>
      </w:r>
    </w:p>
    <w:p>
      <w:pPr>
        <w:pStyle w:val="Heading1"/>
      </w:pPr>
      <w:r>
        <w:t xml:space="preserve">18. Comparables cotizados</w:t>
      </w:r>
    </w:p>
    <w:p>
      <w:pPr>
        <w:pStyle w:val="Confianza"/>
        <w:spacing w:after="100"/>
      </w:pPr>
      <w:r>
        <w:t xml:space="preserve">Confianza: Media</w:t>
      </w:r>
    </w:p>
    <w:p>
      <w:pPr>
        <w:spacing w:after="100"/>
      </w:pPr>
      <w:r>
        <w:t xml:space="preserve">No hay cotizadas puras de software para ciencias de la vida de tamaño comparable (Medidata está dentro de Dassault y la división de IQVIA no se publica por separado). Usamos los editores de software empresarial en la nube de la tabla del informe de ServiceNow del mismo día [38]: Microsoft, Oracle, SAP, Salesforce (rival directo en CRM), Adobe, Intuit, Autodesk y Workday. Sus PER son de consenso (normalmente no GAAP), en otra base que el BPA GAAP de Veeva.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17,7x / 20,6x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24,6x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5,2x / 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Veeva cotiza con prima sobre la mediana del software (el motor lo cuantifica) porque crece al 15-18 % con un margen operativo no GAAP del 44 % y sin deuda; los editores grandes crecen al 9-12 % salvo Microsoft y Oracle. La prima es coherente con su crecimiento, pero los múltiplos de los comparables están en base no GAAP y no sirven como ancla directa del PER GAAP de Veeva.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de ensayos clínicos; EV/ventas sobre 636 M de ventas de 2018 (cálculo propio) [39].</w:t>
            </w:r>
          </w:p>
        </w:tc>
      </w:tr>
    </w:tbl>
    <w:p>
      <w:pPr>
        <w:spacing w:after="160" w:before="0"/>
      </w:pPr>
    </w:p>
    <w:p>
      <w:pPr>
        <w:spacing w:after="160" w:before="0"/>
      </w:pPr>
    </w:p>
    <w:p>
      <w:pPr>
        <w:spacing w:after="100"/>
      </w:pPr>
      <w:r>
        <w:t xml:space="preserve">La única operación grande del nicho con cifras verificadas es la compra de Medidata por Dassault en 2019, a 9,1 veces las ventas. Veeva es demasiado grande (≈49.000 M de capitalización) y su estatuto de sociedad de beneficio público complica una OPA; las transacciones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queda fijo en el +15,3 % de la guía elevada (3.682-3.687 M) tras un 1S con +16 % y +18 % [6, 13]. Después bajamos un punto al año, del 13 % al 5 % en FY2036e: es más lento que el 14,6 % anual compuesto de FY2022-26 y que el consenso de FY2028 (4.140 M, +12 %) [32]. En FY2031e las ventas quedan en ≈5.700 M, algo por debajo de lo que la propia empresa considera alcanzable en esa fecha.</w:t>
      </w:r>
    </w:p>
    <w:p>
      <w:pPr>
        <w:keepNext/>
        <w:spacing w:after="100"/>
      </w:pPr>
      <w:r>
        <w:rPr>
          <w:b/>
          <w:bCs/>
        </w:rPr>
        <w:t xml:space="preserve">Márgenes.</w:t>
      </w:r>
    </w:p>
    <w:p>
      <w:pPr>
        <w:spacing w:after="100"/>
      </w:pPr>
      <w:r>
        <w:t xml:space="preserve">Margen EBITDA GAAP (con la remuneración en acciones como gasto): 29,9 % en FY2026 y 31 % en FY2027e, coherente con el margen operativo no GAAP del 44,5 % de la guía menos un 14-15 % de remuneración en acciones [2, 6]. Sube hasta el 35 % por apalancamiento operativo de una plataforma única; queda por debajo del 44 % no GAAP porque la remuneración en acciones es coste real.</w:t>
      </w:r>
    </w:p>
    <w:p>
      <w:pPr>
        <w:keepNext/>
        <w:spacing w:after="100"/>
      </w:pPr>
      <w:r>
        <w:rPr>
          <w:b/>
          <w:bCs/>
        </w:rPr>
        <w:t xml:space="preserve">Inversión y circulante.</w:t>
      </w:r>
    </w:p>
    <w:p>
      <w:pPr>
        <w:spacing w:after="100"/>
      </w:pPr>
      <w:r>
        <w:t xml:space="preserve">Negocio sin capital: capex del 1 % de las ventas (1,2 % en el último año, igual a la amortización) y circulante del −5 % de las ventas por la facturación anual por adelantado (clientes de 1.310 M frente a ingresos diferidos de 1.489 M en enero de 2026) [2].</w:t>
      </w:r>
    </w:p>
    <w:p>
      <w:pPr>
        <w:keepNext/>
        <w:spacing w:after="100"/>
      </w:pPr>
      <w:r>
        <w:rPr>
          <w:b/>
          <w:bCs/>
        </w:rPr>
        <w:t xml:space="preserve">Coste del capital.</w:t>
      </w:r>
    </w:p>
    <w:p>
      <w:pPr>
        <w:spacing w:after="100"/>
      </w:pPr>
      <w:r>
        <w:t xml:space="preserve">Tasa libre del 5,22 % (bono del Tesoro a 10 años del 13-oct, FRED) [36], beta de 1,05 (por debajo de la de los editores de software genéricos, 1,25, porque la demanda depende del I+D farmacéutico y no del ciclo) y prima del 5,5 %: coste del capital del 11,0 %, sin deuda. Con la prima implícita del mercado (4,2 %) [37] el valor sube a 184,74 USD.</w:t>
      </w:r>
    </w:p>
    <w:p>
      <w:pPr>
        <w:keepNext/>
        <w:spacing w:after="100"/>
      </w:pPr>
      <w:r>
        <w:rPr>
          <w:b/>
          <w:bCs/>
        </w:rPr>
        <w:t xml:space="preserve">Valor terminal.</w:t>
      </w:r>
    </w:p>
    <w:p>
      <w:pPr>
        <w:spacing w:after="100"/>
      </w:pPr>
      <w:r>
        <w:t xml:space="preserve">Gordon con un 3 % nominal: el mercado direccionable crece al 6 % y Veeva tendría un 22 % de él en FY2036e, de modo que a partir de ahí crece algo por debajo del mercado. El valor terminal pesa el 54 %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 (hoy: 16,0 %)</w:t>
            </w:r>
          </w:p>
        </w:tc>
      </w:tr>
    </w:tbl>
    <w:p>
      <w:pPr>
        <w:spacing w:after="160" w:before="0"/>
      </w:pPr>
    </w:p>
    <w:p>
      <w:pPr>
        <w:spacing w:after="100"/>
      </w:pPr>
      <w:r>
        <w:t xml:space="preserve">La proyección apenas necesita inversión neta de la amortización (reinversión acumulada de -321 M, con un capex bruto medio del 1,0 % de las ventas). En un negocio de activos ligeros, el crecimiento medio del 9,6 % tiene que salir de subir precios y de ganar volumen sin capital nuevo, y la prueba es el poder de precios y la cuota (22,3 % del mercado en FY2036e, frente al 16,0 %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migraciones a Vault CRM, nuevos productos de datos y R&amp;D; precio ≈3 % en renovaciones; otros: agentes de IA por consumo [6,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las 14 grandes comprometidas con Vault CRM y de Development Cloud; precio 3 %; IA 1 punto [17,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aportación de la migración del CRM; Development Cloud y datos siguen.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volumen en biotecnológicas medianas y Asia; precio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Madurez del CRM; crecimiento al ritmo del mercado más ganancia de cuota en Quality y Safety.</w:t>
            </w:r>
          </w:p>
        </w:tc>
      </w:tr>
    </w:tbl>
    <w:p>
      <w:pPr>
        <w:spacing w:after="160" w:before="0"/>
      </w:pPr>
    </w:p>
    <w:p>
      <w:pPr>
        <w:spacing w:after="100"/>
      </w:pPr>
      <w:r>
        <w:t xml:space="preserve">La calidad de Veeva sostiene el crecimiento proyectado: el negocio no necesita capital (reinversión neta negativa por los ingresos cobrados por adelantado), el ROIC sobre el capital operativo es del 104,4 % y el crecimiento medio proyectado (9,6 %) queda por debajo del histórico (14,6 % en FY2022-26). La cuota implícita en FY2036e es del 22,3 % del mercado direccionable, frente al 16,0 % de hoy (1,4 veces, dentro del límite de 1,5), apoyada en que 14 de las 20 mayores farmacéuticas ya han elegido Vault CRM [17]. La prueba de reinversión no aplica (activos ligeros); la de poder de precios la pasa la migración del CRM sin pérdida de grandes clientes. No hace falta rebajar 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 (base: 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11,0 %)</w:t>
            </w:r>
          </w:p>
        </w:tc>
      </w:tr>
    </w:tbl>
    <w:p>
      <w:pPr>
        <w:spacing w:after="160" w:before="0"/>
      </w:pPr>
    </w:p>
    <w:p>
      <w:pPr>
        <w:spacing w:after="100"/>
      </w:pPr>
      <w:r>
        <w:t xml:space="preserve">El DCF da 159,66 USD por acción, un 46,1 % por debajo del precio, con el valor terminal en el 54 % del total y 7.243 M de caja neta (44 USD por acción). El DCF inverso es la conclusión central: para justificar 296,13 USD con nuestro margen terminal del 35 %, las ventas tendrían que crecer un 20,9 % anual entre FY2028e y FY2036e, frente al 9,0 % de nuestro caso base y al 14,6 % de los últimos cuatro años; ningún margen hasta el 65 % lo justifica con el crecimiento base. Dicho de otra forma, a este precio la rentabilidad implícita es del 6,8 % anual, por debajo del 11,0 % de coste del capital. Es exigente frente a la historia, aunque dos cosas lo matizan: el DCF trata como gasto la remuneración en acciones (14,8 % de las ventas) y la tasa libre del 5,22 % es alta. Con la prima de mercado implícita (4,2 %) el valor sube a 184,74 USD, aún un 38 %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genérica y los recortes de visitadores reducen los usuarios de CRM; Salesforce gana dos o tres grandes cuentas en la migración y el crecimiento baja al 8-9 % con 4 puntos menos de margen. Le pasó a Veeva en FY2023-24, cuando el margen EBIT cayó del 27 % al 18 %.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cumplida (+15 %), Vault CRM retiene a las grandes y Development Cloud sigue creciendo: ventas al 13-5 % en diez años y margen EBITDA GAAP del 35 %.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se convierten en una línea de ingresos relevante y la migración del CRM se completa sin pérdidas: 2 puntos más de crecimiento y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296,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154,55 USD (-47,8 %).</w:t>
      </w:r>
    </w:p>
    <w:p>
      <w:pPr>
        <w:spacing w:after="100"/>
      </w:pPr>
      <w:r>
        <w:t xml:space="preserve">Los tres escenarios del DCF quedan por debajo del precio: 120,02 USD en el bajista (−59,5 %), 159,66 en el base y 183,64 en el alcista (−38,0 %). La asimetría del valor intrínseco es negativa: el precio descuenta un crecimiento que ni el alcista alcanza. La lectura a 12 meses, con el PER histórico de la propia empresa, es otra (asimetría de 2,44 veces): el mercado lleva años pagando entre 36 y 62 veces el beneficio GAAP del año siguiente por Veeva, y mientras siga así la acción puede subir con el beneficio aunque el DCF diga que está cara.</w:t>
      </w:r>
    </w:p>
    <w:p>
      <w:pPr>
        <w:pStyle w:val="Heading1"/>
      </w:pPr>
      <w:r>
        <w:t xml:space="preserve">22. Suma de partes</w:t>
      </w:r>
    </w:p>
    <w:p>
      <w:pPr>
        <w:pStyle w:val="Confianza"/>
        <w:spacing w:after="100"/>
      </w:pPr>
      <w:r>
        <w:t xml:space="preserve">Confianza: Media</w:t>
      </w:r>
    </w:p>
    <w:p>
      <w:pPr>
        <w:spacing w:after="100"/>
      </w:pPr>
      <w:r>
        <w:t xml:space="preserve">No aplica: Commercial y R&amp;D comparten plataforma (Vault), clientes y márgenes y la empresa no publica resultados por área.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296,1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166,15 USD (-43,9 % sobre 296,13).</w:t>
      </w:r>
    </w:p>
    <w:p>
      <w:pPr>
        <w:spacing w:after="100"/>
      </w:pPr>
      <w:r>
        <w:t xml:space="preserve">Pesamos el DCF al 50 % y los escenarios al 40 % porque es un negocio previsible, con flujos recurrentes. Los comparables pesan solo el 10 %: no hay cotizadas puras del nicho y sus PER son no GAAP. La dispersión entre métodos es enorme: DCF 159,66, escenarios 154,55, comparables 245,01 y objetivo a 12 meses 343,09 USD. La distancia entre el valor intrínseco (166,15) y el precio (296,13) refleja que el mercado paga por Veeva un múltiplo de crecimiento duradero que nuestro DCF, con un 11 % de coste del capital y la remuneración en acciones como gasto, no concede.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(40.3x) a mitad de camino hacia la mediana de 5 años (45.5x)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r>
    </w:tbl>
    <w:p>
      <w:pPr>
        <w:spacing w:after="160" w:before="0"/>
      </w:pPr>
    </w:p>
    <w:p>
      <w:pPr>
        <w:spacing w:after="100"/>
      </w:pPr>
      <w:r>
        <w:rPr>
          <w:b/>
          <w:bCs/>
        </w:rPr>
        <w:t xml:space="preserve">Objetivo a 12 meses (ponderado):</w:t>
      </w:r>
      <w:r>
        <w:t xml:space="preserve"> 343,09 USD · rentabilidad +15,9 % (base +20,4 %) · señal Mantener.</w:t>
      </w:r>
    </w:p>
    <w:p>
      <w:pPr>
        <w:keepNext/>
        <w:spacing w:after="100"/>
      </w:pPr>
      <w:r>
        <w:rPr>
          <w:b/>
          <w:bCs/>
        </w:rPr>
        <w:t xml:space="preserve">Frente al consenso (solo contraste).</w:t>
      </w:r>
    </w:p>
    <w:p>
      <w:pPr>
        <w:spacing w:after="100"/>
      </w:pPr>
      <w:r>
        <w:t xml:space="preserve">Nuestro BPA GAAP de FY2028e (7,35 USD) queda un 28 % por debajo del consenso (10,25 USD) porque este es no GAAP: excluye la remuneración en acciones (≈2,7 USD por acción tras impuestos) y la amortización de intangibles; en ventas coincidimos (4.163 frente a 4.140 M) [32, 33]. Nuestro objetivo base (356,52 USD) supera en un 22,7 % al objetivo medio de ocho bancos (290,5 USD) porque la regla aplica el PER histórico propio de Veeva (mediana adelantada de 45,5x GAAP) y no un múltiplo de software; los objetivos de los bancos se fijaron tras el 2T27 con la acción en ≈265-295 USD [34, 35]; en abril, con la acción a 187 USD, el objetivo medio era de 270,93 USD [43].</w:t>
      </w:r>
    </w:p>
    <w:p>
      <w:pPr>
        <w:keepNext/>
        <w:spacing w:after="100"/>
      </w:pPr>
      <w:r>
        <w:rPr>
          <w:b/>
          <w:bCs/>
        </w:rPr>
        <w:t xml:space="preserve">Del valor intrínseco al objetivo a 12 meses.</w:t>
      </w:r>
    </w:p>
    <w:p>
      <w:pPr>
        <w:spacing w:after="100"/>
      </w:pPr>
      <w:r>
        <w:t xml:space="preserve">El objetivo a 12 meses (343,09 USD, +15,9 %) queda un 106 % por encima del valor intrínseco (166,15 USD). La distancia no la cierra ningún catalizador: depende de que el mercado siga pagando por Veeva un PER de 40-48 veces el beneficio GAAP, como ha hecho durante seis años. Si el múltiplo convergiera al de los editores de software (≈25x) el precio caería hacia el valor intrínseco. La tesis de valor no existe a ningún horizonte; la de 12 meses es de múltiplo y crecimiento, y por eso no basta para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de Veeva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2030 y monetización de los agentes de IA: «referéndum sobre la estrategia de IA» según Morgan Stanley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2026-11-19 (aprox.)</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932-935 M de ventas y 2,33-2,34 USD de BPA no GAAP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Agentes de IA para datos clínicos (último bloque del calendario)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Completa la oferta de IA en todas las aplicaciones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aportación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2.000 M (quedan ≈1.350 M hasta enero de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 ≈2,8 % del capital al precio actual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las grandes farmacéuticas que faltan por migrar el CRM (fin de soporte del antiguo en diciembre de 2029)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gran cuenta perdida frente a Salesforce resta ≈1-2 % de las ventas (estimación propia)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12 meses en el bajista (PER 34,3x); −44 % si converge al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acelerando al 18 %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36x sin caída del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genérica que reduce usuarios de CRM y del modelo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120,02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Agentes propios por consumo y datos validados GxP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suscripción por debajo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Salesforce gana cuentas grandes en la migración del CRM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de las 20 mayores ya comprometidas con Vault CRM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grandes farmacéuticas con Salesforce Life Sciences Cloud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visitadores y de gasto en farmacéuticas (precios de medicamentos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hacia R&amp;D, calidad y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 Commercial revisada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≈−0,8 USD de BPA por cada 2 puntos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que reduce la caja ociosa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 la caja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del fundador y estatuto PBC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Pequeño; limita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con precio de ejercicio de 236,90 USD alinea al consejero delegado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grandes concesiones de opciones</w:t>
            </w:r>
          </w:p>
        </w:tc>
      </w:tr>
    </w:tbl>
    <w:p>
      <w:pPr>
        <w:spacing w:after="160" w:before="0"/>
      </w:pPr>
    </w:p>
    <w:p>
      <w:pPr>
        <w:pStyle w:val="Heading2"/>
      </w:pPr>
      <w:r>
        <w:t xml:space="preserve">Pre-mortem</w:t>
      </w:r>
    </w:p>
    <w:p>
      <w:pPr>
        <w:spacing w:after="100"/>
      </w:pPr>
      <w:r>
        <w:t xml:space="preserve">Es octubre de 2029 y Veeva vale un 40 % menos. El primer golpe llegó en 2027: los agentes de IA de las propias farmacéuticas y de los grandes proveedores de modelos redujeron el número de visitadores y de usuarios de CRM, y Veeva, que cobra por usuario, vio su suscripción Commercial crecer solo un 5 %. Los agentes propios de Veeva se cobraban por consumo y no compensaron. Dos grandes farmacéuticas que faltaban por migrar eligieron Salesforce. El crecimiento total bajó del 15 % al 9 % y el mercado dejó de pagar 40 veces el beneficio: el PER adelantado bajó a 28 veces, como el de los editores de software maduros. Con el beneficio GAAP en ≈7 USD, la acción cayó a ≈180 USD, cerca de nuestro valor intrínseco. El indicador que lo habría anticipado: el crecimiento de la suscripción de Commercial y el número de usuarios de CRM por cliente, trimestre a trimestre.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Veeva lo material es la seguridad y privacidad de los datos (datos de pacientes y prescripción) y el capital humano (I+D). Como sociedad de beneficio público, su estatuto incluye objetivos para clientes, empleados y sociedad junto al accionista.</w:t>
      </w:r>
    </w:p>
    <w:p>
      <w:pPr>
        <w:pStyle w:val="Heading2"/>
      </w:pPr>
      <w:r>
        <w:t xml:space="preserve">Controversias</w:t>
      </w:r>
    </w:p>
    <w:p>
      <w:pPr>
        <w:spacing w:after="100"/>
      </w:pPr>
      <w:r>
        <w:t xml:space="preserve">Los litigios con IQVIA por el uso de datos se cerraron en 2025 con un acuerdo [20]. No se han encontrado sanciones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agentes de IA espera Veeva en FY2028 y cómo protege el precio por usuario si bajan los usuarios?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CRM</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de las 20 mayores farmacéuticas faltan por decidir la migración y cuántas han elegido a otro proveedor?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fin del soporte del antiguo CRM (diciembre de 2029) fuerza las decisiones.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7.243 M de caja sin deuda? ¿Ampliará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reduce el ROE al 13,9 %.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evolucionará la remuneración en acciones en porcentaje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BPA GAAP y el no GAAP (≈2,7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no GAAP objetivo 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DCF supone un margen EBITDA GAAP del 35 %.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los diez mayores clientes en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publica y la migración depende de pocas cuentas.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Quiver Quant (resumen de flujo de opiniones)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del 2T, las dudas eran la velocidad a la que la IA se convierte en ingresos, la fuga de clientes en la migración del CRM y si la acción merece prima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un 45 % desde máximos, se debate si la acción está por fin barata o si la IA rompe el modelo por usuario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SentiSense (resumen de noticias y redes)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 récord y el impulso de la IA dispararon la acción; el tono pasó a alcista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Zacks en Nasdaq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subir un 29 % en tres meses, la pregunta es si comprar ya o esperar; se citan la saturación del CRM y la competencia de la IA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y un PER de unas 30 veces se ven sólidos; a los vendedores les preocupaba la retención de clientes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despliegue global de Roche con Vault CRM y Lilly refuerzan la tesis; se avisa de la concentración en grandes farmacéuticas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¿amenaza o palanca?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Veeva se cobran por consumo y los ingresos aceleraron al +18 % en el 2T27; todavía no hay cifra de ingresos de IA publicada: el debate sigue abierto.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del CRM y Salesforce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de las 20 mayores farmacéuticas comprometidas con Vault CRM y más de 190 clientes en producción: los datos dan la razón a los alcistas.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rebote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casi se ha duplicado desde el mínimo de 148 USD; a 296 USD el PER GAAP adelantado es de unas 40 veces.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en grandes farmacéuticas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la migración depende de pocas cuentas grandes; no hay datos publicados de concentración por cliente.</w:t>
            </w:r>
          </w:p>
        </w:tc>
      </w:tr>
    </w:tbl>
    <w:p>
      <w:pPr>
        <w:spacing w:after="160" w:before="0"/>
      </w:pPr>
    </w:p>
    <w:p>
      <w:pPr>
        <w:spacing w:after="100"/>
      </w:pPr>
      <w:r>
        <w:t xml:space="preserve">El sentimiento ha pasado de la capitulación de la primavera (caída del 45 % por el temor a que la IA sustituya al software por usuario) al entusiasmo tras el mejor trimestre de la historia en CRM. No es euforia: la mayoría duda si comprar después de casi duplicar desde mínimos. Coincide con los analistas (12 comprar y 6 mantener) y no señala un riesgo que el informe no recoja; el día del inversor del 5-nov será el examen de la tesis de la IA. No se pudieron leer Reddit ni Stocktwits.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49 (17 primarias); citas distintas en el texto: 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 explica la causa (créditos fiscales, regularizaciones, mezcla de países) y no lo proyectes en el DCF. Explicación: 10,6 % por deducciones fiscales del ejercicio de opciones de empleados; en FY2025-26 volvió al 22-24 % y el DCF usa el 23 %.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22,3 % en FY2036e frente al 16,0 %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-5,6 %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(34,7x → 21,5x): el salto implica un crecimiento del EBITDA que no cuadra con el de las ventas. ¿EBITDA de proveedores distintos, o un cambio de perímetro? Explicación: Workday viene de la tabla del informe de ServiceNow: su EBITDA LTM está deprimido por costes de reestructuración; pesa poco (comparables al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22,7 %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 Explicación: Sin acceso a cotizaciones en este entorno; 296,13 USD es el último cierre fechado (9-oct). La recomendación es Mantener y no depende de ello; hay que actualizar con precios.mjs.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 (todos los años); BAI e impuestos de FY2022-23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y ARS en EDGAR (la red solo deja buscar; el extracto daba BAI e impuesto de FY2024-26); 2) Stock Analysis y Stockopedia por búsqueda (solo totales); 3) derivar de márgenes publicados: no hay dato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(sin extracto de la línea); 2) Stock Analysis y Stockopedia (cifras contradictorias y sin orden de años); 3) derivar del FCF publicado: no localizado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(inmaterial: &lt;1 % de las ventas)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FY2023 caja y clientes; activo y pasivo corriente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FY2023 (sin extracto); 2) nota de prensa del 4T23 (no apareció); 3) agregadores: solo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del día del inversor (solo el total direccionable); 2) estudios de mercado por búsqueda (un solo proveedor, perímetro distinto); 3) derivar de las cuentas de los competidores: no publican el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IQVIA y Medidata en el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desglosan el segmento); 2) prensa; 3) estimación: sin base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accionistas significativos, resultado de las votaciones y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en EDGAR (la red solo deja buscar; extractos parciales); 2) Boardroom Alpha y prensa por búsqueda; 3) 8-K de la junta de 17-jun-2026: no apareció en los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del fundador y fechas de los demás cargos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 búsqueda específica de la participación; 3) 13G: no localizado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búsquedas de la cotización del 12 y 13-oct (sin resultados fechados); 3) último cierre fechado: 296,13 USD el 9-oct (GuruFocus)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agregadores por búsqueda (sin series); 3) derivar de los cierres sueltos: insuficiente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2-5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software de ciencias de la vida; 2) Model N por Vista (sin múltiplo verificado); 3) prensa: sin cifras cotejables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dos ejercicios); 2) Seeking Alpha; 3) VCP Scanner (modelo propio, no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(sin resultados); 2) Stocktwits y Seeking Alpha (sin acceso: la red solo deja buscar); 3) blogs y agregadores de opinión: usados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(sin extracto); 2) 10-K;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Veeva Announces Fourth Quarter and Fiscal Year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https://www.sec.gov/Archives/edgar/data/1393052/000139305226000007/veev-20260131q426xex991.htm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2026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https://www.sec.gov/Archives/edgar/data/1393052/000139305226000014/veev-20260131.htm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to Shareholders (ARS)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https://www.sec.gov/Archives/edgar/data/0001393052/000114036126018799/ny20062821x4_ars.pdf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Income Statement, anual FY2022-FY2026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Cash Flow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2027 Second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https://www.veeva.com/resources/veeva-announces-fiscal-2027-second-quarter-results/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2027 First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https://www.veeva.com/resources/veeva-announces-fiscal-2027-first-quarter-results/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cerrado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https://www.sec.gov/Archives/edgar/data/0001393052/000139305226000036/veev-20260731.htm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balance anual FY2020-FY2024 (Stockopedia) y datos XBRL (edgar.tools)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 / 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https://stockopedia.com/share-prices/veeva-systems-FRA:VEE/balance-sheet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2023 Third Quarter Results (balance a 31-ene-2022)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https://www.veeva.com/resources/veeva-announces-fiscal-2023-third-quarter-results/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2024 (fondo de comercio)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https://www.sec.gov/Archives/edgar/data/1393052/000139305224000013/veev-20240131.htm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Year 2026 Total Revenues of $3,195.3M (nota de prensa en la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https://ir.veeva.com/news/news-details/2026/Veeva-Announces-Fourth-Quarter-and-Fiscal-Year-2026-Results/default.aspx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Announces Fiscal 2027 Second Quarter Results: guía del 3T y del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(comunicado íntegro)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https://www.placera.se/pressmeddelanden/veeva-systems-veeva-announces-fiscal-2027-second-quarter-results-20260826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income statement FY2020-FY2021 (BPA diluido)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https://www.marketbeat.com/stocks/NYSE/VEEV/financials/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Veeva Investor Day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https://s206.q4cdn.com/200001835/files/doc_events/2025/Oct/16/2025-Veeva-Investor-Day.pdf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Life Science Cloud Market Size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https://www.towardshealthcare.com/insights/life-science-cloud-market-sizing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Vault CRM: otra de las 20 mayores biofarmacéuticas elige Veeva (más de 190 clientes en producción)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https://www.veeva.com/products/crm-suite/crm/resources/vault-crm-extends-market-leadership-as-another-top-20-biopharma-chooses-veeva/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More Than 125 Customers Worldwide Live on Vault CRM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(vía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https://www.bolsamania.com/nota-de-prensa_print/mercados/more-than-125-customers-worldwide-live-on-vault-crm-as-veeva-accelerates-the-industrys-agentic-transformation--21906356.html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AI &amp; Vault CRM Strength Signal More Upside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https://www.zacks.com/stock/news/2926385/veeva-systems-ai-vault-crm-strength-signal-more-upside-ahead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lifts outlook, CRM wins (acuerdo con IQVIA)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https://www.nasdaq.com/articles/veeva-systems-lifts-outlook-crm-wins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AI Agents to Be Released Across All Veeva Applications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https://tools.prnewswire.com/en-us/live/20813/release/20251014EN96751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(Wikipedia):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https://en.wikipedia.org/wiki/Veeva_Systems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Salesforce, 12-oct-2026 (repositorio): cuenta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informes/salesforce-2026-10-12/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and Medidata Solutions join forces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https://www.3ds.com/newsroom/press-releases/dassault-systemes-and-medidata-solutions-join-forces-accelerate-life-sciences-industry-innovation-patient-centric-experience-through-end-end-collaborative-platform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DEF 14A 2026 (proxy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https://www.sec.gov/Archives/edgar/data/0001393052/000114036126018796/ny20062821x1_def14a.htm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fiscal 2027 guidance (anterior y nueva)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https://www.benzinga.com/quote/VEEV/earnings-forecasts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 DEF 14A de Veeva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https://www.boardroomalpha.com/sec/veev-def-14a-2026-05-04-0001140361-26-018796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(VEEV) Stock Up 4.0% (cierre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https://www.gurufocus.com/news/9117950/veeva-systems-inc-veev-stock-up-40-but-gf-value-says-overvalued-gf-score-99100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Stock Price: Oct 7 Close $282.50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https://www.heygotrade.com/en/us-stock/veev/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Price to Book Ratio (cierres de enero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https://www.macrotrends.net/stocks/charts/VEEV/veeva-systems/price-book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(VEEV) - Price History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https://www.digrin.com/stocks/detail/VEEV/price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Analysis: estimaciones FY2028 (26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https://sg.finance.yahoo.com/quote/VEEV/analysis/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earnings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https://seekingalpha.com/symbol/VEEV/earnings/estimates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Stock Takes Off After Best CRM Quarter Ever: Analysts Approve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https://www.itiger.com/news/2662082377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Given New $300.00 Price Target at Robert W. Baird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https://www.tickerreport.com/?p=13561822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14-oct-2026 (repositorio): bono del Tesoro a 10 años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ServiceNow, 14-oct-2026 (repositorio): tabla de comparables de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informes/servicenow-2026-10-14/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nota de prensa de la fusión con Dassault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https://www.sec.gov/Archives/edgar/data/1453814/000145381419000098/pressrelease.htm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Stock Price &amp; 52-week range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https://equibles.com/stocks/VEEV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stock rockets 20% following record Vault CRM 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https://parameter.io/veeva-systems-veev-stock-rockets-20-following-record-breaking-vault-crm-performance/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estimaciones de BPA del próximo ejercicio (15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 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https://tickerleague.com/companies/VEEV/price-target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Class A (VEEV):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https://uk.investing.com/equities/veeva-sys-inc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Has Fallen 45% From Its High. Is VEEV Finally Cheap?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https://www.tikr.com/blog/veeva-has-fallen-45-from-its-high-is-veev-finally-cheap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 Rises 29% in 3 Months: Should You Buy the Stock Now or Wait?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https://www.nasdaq.com/articles/veev-rises-29-3-months-should-you-buy-stock-now-or-wait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 opiniones de gestores sobre VEEV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https://stockchase.com/VEEV-N/opinions/269494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Slides as Investors Revisit AI, CRM Migration, and Valuation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https://www.quiverquant.com/news/Veeva%20Systems%20Slides%20as%20Investors%20Revisit%20AI,%20CRM%20Migration,%20and%20Valuation%20Risks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Bull Case For Veeva Systems Could Change Following Roche's Global Rollout of Vault CRM with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https://simplywall.st/stocks/us/healthcare/nyse-veev/veeva-systems/news/the-bull-case-for-veeva-systems-veev-could-change-following-3/amp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Posts Record Q2 Revenue and AI Momentum, Shares Surge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https://app.sentisense.ai/stories/veeva-systems-posts-record-q2-revenue-and-ai-momentum-shares-surge-08272026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78,9 %</w:t>
      </w:r>
      <w:r>
        <w:t xml:space="preserve"> · Secciones con menos del 60 % de campos cubiertos: </w:t>
      </w:r>
      <w:r>
        <w:rPr>
          <w:b/>
          <w:bCs/>
        </w:rPr>
        <w:t xml:space="preserve">capital, gobierno, bolsa</w:t>
      </w:r>
      <w:r>
        <w:t xml:space="preserve"> · Generado el 14 oct 2026.</w:t>
      </w:r>
    </w:p>
    <w:p>
      <w:pPr>
        <w:pStyle w:val="Nota"/>
        <w:spacing w:after="100"/>
      </w:pPr>
      <w:r>
        <w:t xml:space="preserve">Entorno de nube con acceso solo a la búsqueda web: no se pudieron abrir el 10-K, el 10-Q ni el proxy, ni ejecutar bolsa.mjs o cuentas.mjs. Las cifras salen de extractos de búsqueda de documentos de la SEC y de la empresa (8-K, 10-K, ARS, 10-Q, notas de resultados) y, para FY2022-FY2024 del balance, de agregadores (Stock Analysis, Stockopedia) [9]. El precio es el último cierre fechado que se encontró, 296,13 USD del 9-oct-2026, tres sesiones antes del corte [28, 29]. El ejercicio de Veeva cierra el 31 de enero y se nombra por el año en que termina (FY2026 = febrero de 2025 a enero de 2026). Cifras GAAP: la remuneración en acciones es gasto. Las acciones (164,7 M) son las diluidas del 2T27 (beneficio ÷ BPA) [6]. Comparables tomados del informe de ServiceNow del mismo día [38] y bono del de Group 1 [36].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Veeva Systems Inc. (VEEV)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296,13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Hoja1!$B$2:$B$8</c:f>
              <c:numCache>
                <c:formatCode>#,##0</c:formatCode>
                <c:ptCount val="7"/>
                <c:pt idx="0">
                  <c:v>148.05</c:v>
                </c:pt>
                <c:pt idx="1">
                  <c:v>250</c:v>
                </c:pt>
                <c:pt idx="2">
                  <c:v>176.93</c:v>
                </c:pt>
                <c:pt idx="3">
                  <c:v>149.14</c:v>
                </c:pt>
                <c:pt idx="4">
                  <c:v>120.02</c:v>
                </c:pt>
                <c:pt idx="5">
                  <c:v>174.42</c:v>
                </c:pt>
                <c:pt idx="6">
                  <c:v>294.65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Hoja1!$C$2:$C$8</c:f>
              <c:numCache>
                <c:formatCode>#,##0</c:formatCode>
                <c:ptCount val="7"/>
                <c:pt idx="0">
                  <c:v>162.45</c:v>
                </c:pt>
                <c:pt idx="1">
                  <c:v>75</c:v>
                </c:pt>
                <c:pt idx="2">
                  <c:v>74.78999999999999</c:v>
                </c:pt>
                <c:pt idx="3">
                  <c:v>23.930000000000007</c:v>
                </c:pt>
                <c:pt idx="4">
                  <c:v>63.61999999999999</c:v>
                </c:pt>
                <c:pt idx="5">
                  <c:v>22.350000000000023</c:v>
                </c:pt>
                <c:pt idx="6">
                  <c:v>2.9600000000000364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Suscripción</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2284.7</c:v>
                </c:pt>
                <c:pt idx="1">
                  <c:v>2684.2</c:v>
                </c:pt>
              </c:numCache>
            </c:numRef>
          </c:val>
        </c:ser>
        <c:ser>
          <c:idx val="1"/>
          <c:order val="1"/>
          <c:tx>
            <c:strRef>
              <c:f>Hoja1!$C$1</c:f>
              <c:strCache>
                <c:ptCount val="1"/>
                <c:pt idx="0">
                  <c:v>Servicios profesionales</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461.9</c:v>
                </c:pt>
                <c:pt idx="1">
                  <c:v>511.1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Suscripción</c:v>
                </c:pt>
                <c:pt idx="1">
                  <c:v>Servicios profesionales</c:v>
                </c:pt>
              </c:strCache>
            </c:strRef>
          </c:cat>
          <c:val>
            <c:numRef>
              <c:f>Hoja1!$B$2:$B$3</c:f>
              <c:numCache>
                <c:formatCode>General</c:formatCode>
                <c:ptCount val="2"/>
                <c:pt idx="0">
                  <c:v>84</c:v>
                </c:pt>
                <c:pt idx="1">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Veeva</c:v>
                </c:pt>
                <c:pt idx="1">
                  <c:v>Salesforce (Life Sciences Cloud)</c:v>
                </c:pt>
                <c:pt idx="2">
                  <c:v>IQVIA (OCE)</c:v>
                </c:pt>
                <c:pt idx="3">
                  <c:v>Medidata (Dassault Systèmes)</c:v>
                </c:pt>
              </c:strCache>
            </c:strRef>
          </c:cat>
          <c:val>
            <c:numRef>
              <c:f>Hoja1!$B$2:$B$5</c:f>
              <c:numCache>
                <c:formatCode>0.0"%"</c:formatCode>
                <c:ptCount val="4"/>
                <c:pt idx="0">
                  <c:v>28.7</c:v>
                </c:pt>
                <c:pt idx="1">
                  <c:v>20.1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Hoja1!$B$2:$B$16</c:f>
              <c:numCache>
                <c:formatCode>#,##0</c:formatCode>
                <c:ptCount val="15"/>
                <c:pt idx="0">
                  <c:v>1850.8</c:v>
                </c:pt>
                <c:pt idx="1">
                  <c:v>2155.1</c:v>
                </c:pt>
                <c:pt idx="2">
                  <c:v>2363.7</c:v>
                </c:pt>
                <c:pt idx="3">
                  <c:v>2746.6</c:v>
                </c:pt>
                <c:pt idx="4">
                  <c:v>3195.3</c:v>
                </c:pt>
                <c:pt idx="5">
                  <c:v>3684</c:v>
                </c:pt>
                <c:pt idx="6">
                  <c:v>4163</c:v>
                </c:pt>
                <c:pt idx="7">
                  <c:v>4663</c:v>
                </c:pt>
                <c:pt idx="8">
                  <c:v>5176</c:v>
                </c:pt>
                <c:pt idx="9">
                  <c:v>5693</c:v>
                </c:pt>
                <c:pt idx="10">
                  <c:v>6206</c:v>
                </c:pt>
                <c:pt idx="11">
                  <c:v>6702</c:v>
                </c:pt>
                <c:pt idx="12">
                  <c:v>7171</c:v>
                </c:pt>
                <c:pt idx="13">
                  <c:v>7601</c:v>
                </c:pt>
                <c:pt idx="14">
                  <c:v>7981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pt idx="13">
                  <c:v>FY2035e</c:v>
                </c:pt>
                <c:pt idx="14">
                  <c:v>FY2036e</c:v>
                </c:pt>
              </c:strCache>
            </c:strRef>
          </c:cat>
          <c:val>
            <c:numRef>
              <c:f>Hoja1!$C$2:$C$16</c:f>
              <c:numCache>
                <c:formatCode>#,##0</c:formatCode>
                <c:ptCount val="15"/>
                <c:pt idx="0">
                  <c:v>536.5</c:v>
                </c:pt>
                <c:pt idx="1">
                  <c:v>495.1</c:v>
                </c:pt>
                <c:pt idx="2">
                  <c:v>468.3</c:v>
                </c:pt>
                <c:pt idx="3">
                  <c:v>730.4</c:v>
                </c:pt>
                <c:pt idx="4">
                  <c:v>954.4</c:v>
                </c:pt>
                <c:pt idx="5">
                  <c:v>1142</c:v>
                </c:pt>
                <c:pt idx="6">
                  <c:v>1332</c:v>
                </c:pt>
                <c:pt idx="7">
                  <c:v>1539</c:v>
                </c:pt>
                <c:pt idx="8">
                  <c:v>1760</c:v>
                </c:pt>
                <c:pt idx="9">
                  <c:v>1964</c:v>
                </c:pt>
                <c:pt idx="10">
                  <c:v>2172</c:v>
                </c:pt>
                <c:pt idx="11">
                  <c:v>2346</c:v>
                </c:pt>
                <c:pt idx="12">
                  <c:v>2510</c:v>
                </c:pt>
                <c:pt idx="13">
                  <c:v>2660</c:v>
                </c:pt>
                <c:pt idx="14">
                  <c:v>2794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29</c:v>
                </c:pt>
                <c:pt idx="1">
                  <c:v>23</c:v>
                </c:pt>
                <c:pt idx="2">
                  <c:v>19.8</c:v>
                </c:pt>
                <c:pt idx="3">
                  <c:v>26.6</c:v>
                </c:pt>
                <c:pt idx="4">
                  <c:v>29.9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27.3</c:v>
                </c:pt>
                <c:pt idx="1">
                  <c:v>21.3</c:v>
                </c:pt>
                <c:pt idx="2">
                  <c:v>18.2</c:v>
                </c:pt>
                <c:pt idx="3">
                  <c:v>25.2</c:v>
                </c:pt>
                <c:pt idx="4">
                  <c:v>28.7</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23.1</c:v>
                </c:pt>
                <c:pt idx="1">
                  <c:v>22.6</c:v>
                </c:pt>
                <c:pt idx="2">
                  <c:v>22.2</c:v>
                </c:pt>
                <c:pt idx="3">
                  <c:v>26</c:v>
                </c:pt>
                <c:pt idx="4">
                  <c:v>28.4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1T26</c:v>
                </c:pt>
                <c:pt idx="1">
                  <c:v>2T26</c:v>
                </c:pt>
                <c:pt idx="2">
                  <c:v>3T26</c:v>
                </c:pt>
                <c:pt idx="3">
                  <c:v>4T26</c:v>
                </c:pt>
                <c:pt idx="4">
                  <c:v>1T27</c:v>
                </c:pt>
                <c:pt idx="5">
                  <c:v>2T27</c:v>
                </c:pt>
              </c:strCache>
            </c:strRef>
          </c:cat>
          <c:val>
            <c:numRef>
              <c:f>Hoja1!$B$2:$B$7</c:f>
              <c:numCache>
                <c:formatCode>0.0"%"</c:formatCode>
                <c:ptCount val="6"/>
                <c:pt idx="3">
                  <c:v>16</c:v>
                </c:pt>
                <c:pt idx="4">
                  <c:v>16.3</c:v>
                </c:pt>
                <c:pt idx="5">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124</c:v>
                </c:pt>
                <c:pt idx="2">
                  <c:v>132</c:v>
                </c:pt>
                <c:pt idx="3">
                  <c:v>140</c:v>
                </c:pt>
                <c:pt idx="4">
                  <c:v>150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764</c:v>
                </c:pt>
                <c:pt idx="1">
                  <c:v>780</c:v>
                </c:pt>
                <c:pt idx="2">
                  <c:v>911</c:v>
                </c:pt>
                <c:pt idx="3">
                  <c:v>1090</c:v>
                </c:pt>
                <c:pt idx="4">
                  <c:v>1415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427.4</c:v>
                </c:pt>
                <c:pt idx="1">
                  <c:v>487.7</c:v>
                </c:pt>
                <c:pt idx="2">
                  <c:v>525.7</c:v>
                </c:pt>
                <c:pt idx="3">
                  <c:v>714.1</c:v>
                </c:pt>
                <c:pt idx="4">
                  <c:v>908.9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70.7</c:v>
                </c:pt>
                <c:pt idx="1">
                  <c:v>16.2</c:v>
                </c:pt>
                <c:pt idx="2">
                  <c:v>17.7</c:v>
                </c:pt>
                <c:pt idx="3">
                  <c:v>82.6</c:v>
                </c:pt>
                <c:pt idx="4">
                  <c:v>104.4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11</c:v>
                </c:pt>
                <c:pt idx="1">
                  <c:v>11</c:v>
                </c:pt>
                <c:pt idx="2">
                  <c:v>11</c:v>
                </c:pt>
                <c:pt idx="3">
                  <c:v>11</c:v>
                </c:pt>
                <c:pt idx="4">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14.7</c:v>
                </c:pt>
                <c:pt idx="1">
                  <c:v>14.7</c:v>
                </c:pt>
                <c:pt idx="2">
                  <c:v>12.6</c:v>
                </c:pt>
                <c:pt idx="3">
                  <c:v>13.6</c:v>
                </c:pt>
                <c:pt idx="4">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-4.43</c:v>
                </c:pt>
                <c:pt idx="1">
                  <c:v>0</c:v>
                </c:pt>
                <c:pt idx="2">
                  <c:v>-8.6</c:v>
                </c:pt>
                <c:pt idx="3">
                  <c:v>-7.05</c:v>
                </c:pt>
                <c:pt idx="4">
                  <c:v>-6.87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180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1">
                  <c:v>56</c:v>
                </c:pt>
                <c:pt idx="2">
                  <c:v>63.7</c:v>
                </c:pt>
                <c:pt idx="3">
                  <c:v>45.7</c:v>
                </c:pt>
                <c:pt idx="4">
                  <c:v>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50.9</c:v>
                </c:pt>
                <c:pt idx="1">
                  <c:v>50.9</c:v>
                </c:pt>
                <c:pt idx="2">
                  <c:v>50.9</c:v>
                </c:pt>
                <c:pt idx="3">
                  <c:v>50.9</c:v>
                </c:pt>
                <c:pt idx="4">
                  <c:v>50.9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Veeva</c:v>
                </c:pt>
                <c:pt idx="1">
                  <c:v>Microsoft</c:v>
                </c:pt>
                <c:pt idx="2">
                  <c:v>Oracle</c:v>
                </c:pt>
                <c:pt idx="3">
                  <c:v>SAP</c:v>
                </c:pt>
                <c:pt idx="4">
                  <c:v>Salesforce</c:v>
                </c:pt>
                <c:pt idx="5">
                  <c:v>Adobe</c:v>
                </c:pt>
                <c:pt idx="6">
                  <c:v>Intuit</c:v>
                </c:pt>
                <c:pt idx="7">
                  <c:v>Autodesk</c:v>
                </c:pt>
                <c:pt idx="8">
                  <c:v>Workday</c:v>
                </c:pt>
              </c:strCache>
            </c:strRef>
          </c:cat>
          <c:val>
            <c:numRef>
              <c:f>Hoja1!$B$2:$B$10</c:f>
              <c:numCache>
                <c:formatCode>0.0"x"</c:formatCode>
                <c:ptCount val="9"/>
                <c:pt idx="1">
                  <c:v>15.4</c:v>
                </c:pt>
                <c:pt idx="2">
                  <c:v>10.1</c:v>
                </c:pt>
                <c:pt idx="3">
                  <c:v>15.1</c:v>
                </c:pt>
                <c:pt idx="4">
                  <c:v>14.6</c:v>
                </c:pt>
                <c:pt idx="5">
                  <c:v>8.5</c:v>
                </c:pt>
                <c:pt idx="6">
                  <c:v>9.9</c:v>
                </c:pt>
                <c:pt idx="7">
                  <c:v>16.6</c:v>
                </c:pt>
                <c:pt idx="8">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Microsoft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18.6</c:v>
                </c:pt>
              </c:numCache>
            </c:numRef>
          </c:xVal>
          <c:yVal>
            <c:numRef>
              <c:f>Hoja1!$C$2</c:f>
              <c:numCache>
                <c:formatCode>0.0"x"</c:formatCode>
                <c:ptCount val="1"/>
                <c:pt idx="0">
                  <c:v>15.4</c:v>
                </c:pt>
              </c:numCache>
            </c:numRef>
          </c:yVal>
          <c:smooth val="0"/>
        </c:ser>
        <c:ser>
          <c:idx val="1"/>
          <c:order val="1"/>
          <c:tx>
            <c:strRef>
              <c:f>Hoja1!$A$3</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38.8</c:v>
                </c:pt>
              </c:numCache>
            </c:numRef>
          </c:xVal>
          <c:yVal>
            <c:numRef>
              <c:f>Hoja1!$C$3</c:f>
              <c:numCache>
                <c:formatCode>0.0"x"</c:formatCode>
                <c:ptCount val="1"/>
                <c:pt idx="0">
                  <c:v>10.1</c:v>
                </c:pt>
              </c:numCache>
            </c:numRef>
          </c:yVal>
          <c:smooth val="0"/>
        </c:ser>
        <c:ser>
          <c:idx val="2"/>
          <c:order val="2"/>
          <c:tx>
            <c:strRef>
              <c:f>Hoja1!$A$4</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11.6</c:v>
                </c:pt>
              </c:numCache>
            </c:numRef>
          </c:xVal>
          <c:yVal>
            <c:numRef>
              <c:f>Hoja1!$C$4</c:f>
              <c:numCache>
                <c:formatCode>0.0"x"</c:formatCode>
                <c:ptCount val="1"/>
                <c:pt idx="0">
                  <c:v>15.1</c:v>
                </c:pt>
              </c:numCache>
            </c:numRef>
          </c:yVal>
          <c:smooth val="0"/>
        </c:ser>
        <c:ser>
          <c:idx val="3"/>
          <c:order val="3"/>
          <c:tx>
            <c:strRef>
              <c:f>Hoja1!$A$5</c:f>
              <c:strCache>
                <c:ptCount val="1"/>
                <c:pt idx="0">
                  <c:v>Salesforce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14.6</c:v>
                </c:pt>
              </c:numCache>
            </c:numRef>
          </c:yVal>
          <c:smooth val="0"/>
        </c:ser>
        <c:ser>
          <c:idx val="4"/>
          <c:order val="4"/>
          <c:tx>
            <c:strRef>
              <c:f>Hoja1!$A$6</c:f>
              <c:strCache>
                <c:ptCount val="1"/>
                <c:pt idx="0">
                  <c:v>Adobe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9.4</c:v>
                </c:pt>
              </c:numCache>
            </c:numRef>
          </c:xVal>
          <c:yVal>
            <c:numRef>
              <c:f>Hoja1!$C$6</c:f>
              <c:numCache>
                <c:formatCode>0.0"x"</c:formatCode>
                <c:ptCount val="1"/>
                <c:pt idx="0">
                  <c:v>8.5</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9.9</c:v>
                </c:pt>
              </c:numCache>
            </c:numRef>
          </c:yVal>
          <c:smooth val="0"/>
        </c:ser>
        <c:ser>
          <c:idx val="6"/>
          <c:order val="6"/>
          <c:tx>
            <c:strRef>
              <c:f>Hoja1!$A$8</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12.4</c:v>
                </c:pt>
              </c:numCache>
            </c:numRef>
          </c:xVal>
          <c:yVal>
            <c:numRef>
              <c:f>Hoja1!$C$8</c:f>
              <c:numCache>
                <c:formatCode>0.0"x"</c:formatCode>
                <c:ptCount val="1"/>
                <c:pt idx="0">
                  <c:v>16.6</c:v>
                </c:pt>
              </c:numCache>
            </c:numRef>
          </c:yVal>
          <c:smooth val="0"/>
        </c:ser>
        <c:ser>
          <c:idx val="7"/>
          <c:order val="7"/>
          <c:tx>
            <c:strRef>
              <c:f>Hoja1!$A$9</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21.5</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858</c:v>
                </c:pt>
                <c:pt idx="1">
                  <c:v>1020</c:v>
                </c:pt>
                <c:pt idx="2">
                  <c:v>1176</c:v>
                </c:pt>
                <c:pt idx="3">
                  <c:v>1343</c:v>
                </c:pt>
                <c:pt idx="4">
                  <c:v>1497</c:v>
                </c:pt>
                <c:pt idx="5">
                  <c:v>1653</c:v>
                </c:pt>
                <c:pt idx="6">
                  <c:v>1782</c:v>
                </c:pt>
                <c:pt idx="7">
                  <c:v>1904</c:v>
                </c:pt>
                <c:pt idx="8">
                  <c:v>2015</c:v>
                </c:pt>
                <c:pt idx="9">
                  <c:v>2096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8814</c:v>
                </c:pt>
                <c:pt idx="1">
                  <c:v>10239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296,13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120.02</c:v>
                </c:pt>
                <c:pt idx="1">
                  <c:v>159.66</c:v>
                </c:pt>
                <c:pt idx="2">
                  <c:v>183.64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296,13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Hoja1!$B$2:$B$8</c:f>
              <c:numCache>
                <c:formatCode>#,##0</c:formatCode>
                <c:ptCount val="7"/>
                <c:pt idx="0">
                  <c:v>148.05</c:v>
                </c:pt>
                <c:pt idx="1">
                  <c:v>250</c:v>
                </c:pt>
                <c:pt idx="2">
                  <c:v>176.93</c:v>
                </c:pt>
                <c:pt idx="3">
                  <c:v>149.14</c:v>
                </c:pt>
                <c:pt idx="4">
                  <c:v>120.02</c:v>
                </c:pt>
                <c:pt idx="5">
                  <c:v>174.42</c:v>
                </c:pt>
                <c:pt idx="6">
                  <c:v>294.65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(148,05 – 310,50)</c:v>
                </c:pt>
                <c:pt idx="1">
                  <c:v>Precio objetivo de los analistas (250,00 – 325,00)</c:v>
                </c:pt>
                <c:pt idx="2">
                  <c:v>Comparables: PER NTM (176,93 – 251,72)</c:v>
                </c:pt>
                <c:pt idx="3">
                  <c:v>DCF (WACC y g ± 0,5) (149,14 – 173,07)</c:v>
                </c:pt>
                <c:pt idx="4">
                  <c:v>Escenarios (bajista – alcista) (120,02 – 183,64)</c:v>
                </c:pt>
                <c:pt idx="5">
                  <c:v>DCF con la prima implícita del mercado (4,2 %)</c:v>
                </c:pt>
                <c:pt idx="6">
                  <c:v>Precio actual (296,13)</c:v>
                </c:pt>
              </c:strCache>
            </c:strRef>
          </c:cat>
          <c:val>
            <c:numRef>
              <c:f>Hoja1!$C$2:$C$8</c:f>
              <c:numCache>
                <c:formatCode>#,##0</c:formatCode>
                <c:ptCount val="7"/>
                <c:pt idx="0">
                  <c:v>162.45</c:v>
                </c:pt>
                <c:pt idx="1">
                  <c:v>75</c:v>
                </c:pt>
                <c:pt idx="2">
                  <c:v>74.78999999999999</c:v>
                </c:pt>
                <c:pt idx="3">
                  <c:v>23.930000000000007</c:v>
                </c:pt>
                <c:pt idx="4">
                  <c:v>63.61999999999999</c:v>
                </c:pt>
                <c:pt idx="5">
                  <c:v>22.350000000000023</c:v>
                </c:pt>
                <c:pt idx="6">
                  <c:v>2.9600000000000364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