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Vertiv Holdings Co</w:t>
      </w:r>
    </w:p>
    <w:p>
      <w:pPr>
        <w:spacing w:after="60"/>
        <w:rPr>
          <w:color w:val="52514E"/>
          <w:sz w:val="22"/>
          <w:szCs w:val="22"/>
        </w:rPr>
      </w:pPr>
      <w:r>
        <w:rPr>
          <w:color w:val="52514E"/>
          <w:sz w:val="22"/>
          <w:szCs w:val="22"/>
        </w:rPr>
        <w:t xml:space="preserve">VRT · New York Stock Exchange · ISIN US92537N1081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253,14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282,87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+11,8 % (base +31,3 %)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168,18 USD · mercado 168,18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99.535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22,4x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Vertiv Holdings 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VRT / US92537N1081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Westerville, Ohio (EE. UU.) · 1965 (Liebert); Vertiv desde 2016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https://www.vertiv.com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253,14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147,82 – 379,93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99.535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99.686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1.361 M USD/día (5,19 M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282,87 USD</w:t>
      </w:r>
      <w:r>
        <w:t xml:space="preserve"> frente a 253,14 · Rentabilidad a 12 meses </w:t>
      </w:r>
      <w:r>
        <w:rPr>
          <w:b/>
          <w:bCs/>
        </w:rPr>
        <w:t xml:space="preserve">+11,8 % (base +31,3 %)</w:t>
      </w:r>
      <w:r>
        <w:t xml:space="preserve"> · Valor intrínseco 168,18 USD · con la prima implícita del mercado: 168,18 (-33,6 %) · Alcista / bajista +6,0 % / -69,2 %</w:t>
      </w:r>
    </w:p>
    <w:p>
      <w:pPr>
        <w:spacing w:after="100"/>
      </w:pPr>
      <w:r>
        <w:rPr>
          <w:b/>
        </w:rPr>
        <w:t xml:space="preserve">La recomendación y por qué.</w:t>
      </w:r>
      <w:r>
        <w:t xml:space="preserve"> Vender, con convicción baja. El valor objetivo es de 168,18 USD frente a una cotización de 253,14 USD: una rentabilidad total esperada del −33,5 %. El escenario alcista apenas gana un 6,0 % y el bajista pierde un 69,2 %, una asimetría de 0,09x. La razón cabe en una frase: con cifras iguales a las del consenso hasta 2028, el precio solo rinde un 6,8 % anual, 1,5 puntos más que el Tesoro, por una acción con beta de 2,08. La convicción es baja, aunque los criterios darían alta, porque la discrepancia es de tasa y de duración del ciclo, no de cifras próximas, y ningún catalizador con fecha la cierra.</w:t>
      </w:r>
    </w:p>
    <w:p>
      <w:pPr>
        <w:spacing w:after="100"/>
      </w:pPr>
      <w:r>
        <w:rPr>
          <w:b/>
        </w:rPr>
        <w:t xml:space="preserve">El negocio.</w:t>
      </w:r>
      <w:r>
        <w:t xml:space="preserve"> Vertiv vende la energía (SAI, cuadros, busway) y la refrigeración que necesita un centro de datos, más servicios; los centros de datos son en torno al 85 % de las ventas [27]. Es n.º 1 en gestión térmica y comparte el primer puesto del mercado con Schneider [27, 34]. Su ROIC del 28,9 % supera con holgura el WACC del 11,4 %, pero la ventaja es estrecha: su margen operativo ajustado (20,4 % en 2025) está por debajo del de Eaton, ABB y Schneider [46, 47, 48], y Eaton paga 9.500 M por Boyd Thermal para entrar en su terreno [104]. La calidad sostiene el crecimiento proyectado: el 13,2 % anual del base queda por debajo del 22 % de su mercado, la cuota no sube y los anticipos financian la reinversión.</w:t>
      </w:r>
    </w:p>
    <w:p>
      <w:pPr>
        <w:spacing w:after="100"/>
      </w:pPr>
      <w:r>
        <w:rPr>
          <w:b/>
        </w:rPr>
        <w:t xml:space="preserve">Sector y ciclo.</w:t>
      </w:r>
      <w:r>
        <w:t xml:space="preserve"> El mercado de infraestructura física creció un 28 % en el 1T26 y Dell'Oro prevé 120.000 M USD en 2030 [33, 39]. Depende de la inversión de cuatro clientes, que pasó de 93.000 M en 2020 a 357.500 M en 2025 y ya cayó un 7 % en 2023 [42, 43, 44, 45].</w:t>
      </w:r>
    </w:p>
    <w:p>
      <w:pPr>
        <w:spacing w:after="100"/>
      </w:pPr>
      <w:r>
        <w:rPr>
          <w:b/>
        </w:rPr>
        <w:t xml:space="preserve">Finanzas.</w:t>
      </w:r>
      <w:r>
        <w:t xml:space="preserve"> Las ventas crecieron al 18,5 % anual en 2020-2025 y la guía de 2026 es de 14.000 M (+36,9 %) [5]. El margen EBITDA pasó del 9,2 % de 2022 al 20,9 % de 2025. El flujo libre de los últimos 12 meses (2.924 M) está empujado por los anticipos de clientes, que se duplicaron hasta 3.633,7 M en seis meses [4]: es caja real, pero no recurrente. Deuda neta ajustada de 152 M y grado de inversión desde febrero [6]; ya no publica pedidos trimestrales [25].</w:t>
      </w:r>
    </w:p>
    <w:p>
      <w:pPr>
        <w:spacing w:after="100"/>
      </w:pPr>
      <w:r>
        <w:rPr>
          <w:b/>
        </w:rPr>
        <w:t xml:space="preserve">Equipo y gobierno.</w:t>
      </w:r>
      <w:r>
        <w:t xml:space="preserve"> La dirección cumplió y superó la guía en 2023-2025 tras fallar en 2022. Resta en el margen: presidente ejecutivo sin consejero coordinador, un bonus del CEO al 205 % por encima del máximo del plan, ningún incentivo ligado al ROIC y ventas de consejeros por 128 M USD en doce meses sin una sola compra [28, 67]. Cumple 10 de 13 criterios.</w:t>
      </w:r>
    </w:p>
    <w:p>
      <w:pPr>
        <w:spacing w:after="100"/>
      </w:pPr>
      <w:r>
        <w:rPr>
          <w:b/>
        </w:rPr>
        <w:t xml:space="preserve">Valoración.</w:t>
      </w:r>
      <w:r>
        <w:t xml:space="preserve"> El DCF da 142,31 USD y el </w:t>
      </w:r>
      <w:r>
        <w:rPr>
          <w:b/>
        </w:rPr>
        <w:t xml:space="preserve">DCF inverso</w:t>
      </w:r>
      <w:r>
        <w:t xml:space="preserve"> muestra lo que descuenta el precio: un crecimiento del 19,9 % anual de 2027 a 2035, frente al 10,6 % de nuestro caso base, o un margen EBITDA del 43,7 %. Los comparables dan 215,71 USD (−14,8 %) porque todo el sector cotiza en máximos por la misma tesis. Las transacciones (77,80 USD) no pesan.</w:t>
      </w:r>
    </w:p>
    <w:p>
      <w:pPr>
        <w:spacing w:after="100"/>
      </w:pPr>
      <w:r>
        <w:rPr>
          <w:b/>
        </w:rPr>
        <w:t xml:space="preserve">Riesgos y catalizadores.</w:t>
      </w:r>
      <w:r>
        <w:t xml:space="preserve"> El mayor riesgo para el vendedor es que el ciclo dure más: los analistas (26 de 30 compran, precio objetivo de 337,43 USD) [77]. Para el comprador, una pausa del gasto en 2028 (−45 % sobre nuestro valor base) y la reversión de los anticipos. Catalizadores: el 3T26 (finales de octubre), el capex de los hiperescaladores para 2027 y la cartera anual del 10-K (febrero de 2027).</w:t>
      </w:r>
    </w:p>
    <w:p>
      <w:pPr>
        <w:spacing w:after="100"/>
      </w:pPr>
      <w:r>
        <w:rPr>
          <w:b/>
        </w:rPr>
        <w:t xml:space="preserve">Qué cambiaría la decisión.</w:t>
      </w:r>
      <w:r>
        <w:t xml:space="preserve"> Mantendríamos por debajo de 187,18 USD y compraríamos por debajo de 146,32 USD. Pasaríamos a Mantener si la cartera de diciembre de 2026 supera los 22.000 M con los anticipos por encima de 3.000 M, o si los cuatro hiperescaladores guían un capex de 2027 un 25 % superior al de 2026.</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282,87 USD</w:t>
      </w:r>
      <w:r>
        <w:t xml:space="preserve"> (rentabilidad +11,8 % (base +31,3 %)) · Valor intrínseco: 168,18 USD (-33,6 % sobre 253,14) · con la prima implícita del mercado: 168,18 (-33,6 %)</w:t>
      </w:r>
    </w:p>
    <w:p>
      <w:pPr>
        <w:spacing w:after="100"/>
      </w:pPr>
      <w:r>
        <w:t xml:space="preserve">Vertiv es el especialista más puro en la infraestructura física de los centros de datos: energía, refrigeración y servicios, con un 85 % de las ventas en ese mercado [27]. Tras la salida a bolsa por una SPAC en 2020 ha pasado de un margen EBIT del 3,9 % en 2022 al 17,9 % en 2025 y de un ROIC del 3,1 % al 28,9 %, con una cartera que se duplicó en 2025 hasta 15.000 M USD [1, 7]. La guía de 2026 (14.000 M de ventas, +36,9 %) se ha subido dos veces [5].</w:t>
      </w:r>
    </w:p>
    <w:p>
      <w:pPr>
        <w:spacing w:after="100"/>
      </w:pPr>
      <w:r>
        <w:t xml:space="preserve">El precio, 253,14 USD, valora la empresa en 99.686 M: 38,9x el EBITDA de los últimos 12 meses y 22,4x el de los próximos. Según el DCF inverso, con un WACC del 11,39 % el precio exige crecer un 19,9 % anual de 2027 a 2035, el doble que nuestro caso base, o aceptar una rentabilidad del 6,8 %. Los comparables, que crecen la mitad, cotizan a 19,4x.</w:t>
      </w:r>
    </w:p>
    <w:p>
      <w:pPr>
        <w:spacing w:after="100"/>
      </w:pPr>
      <w:r>
        <w:t xml:space="preserve">El mercado acierta en lo inmediato: nuestras cifras de 2026-2028 coinciden con el consenso [76]. Se equivoca, creemos, en extrapolar una década de crecimiento a un ciclo de inversión que depende de cuatro clientes, que ya se frenó en 2023 [42] y en el que entran Eaton y Schneider. Para invertir hay que creer que la IA mantendrá el gasto en centros de datos creciendo a tasas cercanas al 20 % hasta 2035 sin una sola pausa.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 × 4,99 = 57,39 · 33,8x × 9,83 = 332,25 · 35,4x × 11,57 = 409,58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 / 31,3 %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337,43 (nuestro base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 -69,2 %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frente a 11,4 % y 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 frente a 22,0 %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(13,2 %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-33,5 % (-33,5 % con la prima del mercado) y el precio pide 9,3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168,18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168,18 y 314,55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314,55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187,18 USD pasaríamos a Mantener; por debajo de 146,32 USD, a Comprar.</w:t>
      </w:r>
    </w:p>
    <w:p>
      <w:pPr>
        <w:pStyle w:val="ListParagraph"/>
        <w:numPr>
          <w:ilvl w:val="0"/>
          <w:numId w:val="2"/>
        </w:numPr>
        <w:spacing w:after="60"/>
      </w:pPr>
      <w:r>
        <w:t xml:space="preserve">Si la cartera a dic-26 (10-K de feb-27) supera los 22.000 M USD con anticipos por encima de 3.000 M, revisaríamos al alza el crecimiento de 2028-2030 y pasaríamos a Mantener.</w:t>
      </w:r>
    </w:p>
    <w:p>
      <w:pPr>
        <w:pStyle w:val="ListParagraph"/>
        <w:numPr>
          <w:ilvl w:val="0"/>
          <w:numId w:val="2"/>
        </w:numPr>
        <w:spacing w:after="60"/>
      </w:pPr>
      <w:r>
        <w:t xml:space="preserve">Si los cuatro hiperescaladores guían para 2027 un capex un 25 % superior al de 2026, subiríamos el crecimiento del caso base hacia el alcista.</w:t>
      </w:r>
    </w:p>
    <w:p>
      <w:pPr>
        <w:pStyle w:val="ListParagraph"/>
        <w:numPr>
          <w:ilvl w:val="0"/>
          <w:numId w:val="2"/>
        </w:numPr>
        <w:spacing w:after="60"/>
      </w:pPr>
      <w:r>
        <w:t xml:space="preserve">Si el margen operativo ajustado del 4T26 supera el 26 % con la entrada de Eaton y Schneider en refrigeración, subiríamos el margen de largo plazo.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de inversión en IA largo y sin interrupciones. Con nuestro WACC del 11,39 %, el precio supone un crecimiento del 19,9 % anual de 2027 a 2035, que llevaría las ventas a unos 71.700 M USD (estimación propia), o una rentabilidad del 6,8 % anual. Los analistas, con 26 recomendaciones de compra de 30 y un precio objetivo de 337,43 USD, ven aún más [77].</w:t>
      </w:r>
    </w:p>
    <w:p>
      <w:pPr>
        <w:keepNext/>
        <w:spacing w:after="100"/>
      </w:pPr>
      <w:r>
        <w:rPr>
          <w:b/>
          <w:bCs/>
        </w:rPr>
        <w:t xml:space="preserve">Lo que creemos nosotros.</w:t>
      </w:r>
    </w:p>
    <w:p>
      <w:pPr>
        <w:spacing w:after="100"/>
      </w:pPr>
      <w:r>
        <w:t xml:space="preserve">Las cifras de 2026-2028 son creíbles y coinciden con el consenso, pero el crecimiento se moderará hacia el 9 % en 2030 y el 4 % en 2035, con un margen EBITDA del 26 %. Eso vale 142,31 USD en el DCF y 168,18 USD en la síntesis. El escenario alcista, con 5 puntos más de crecimiento cada año, apenas da 268,33 USD.</w:t>
      </w:r>
    </w:p>
    <w:p>
      <w:pPr>
        <w:keepNext/>
        <w:spacing w:after="100"/>
      </w:pPr>
      <w:r>
        <w:rPr>
          <w:b/>
          <w:bCs/>
        </w:rPr>
        <w:t xml:space="preserve">Por qué podemos tener razón.</w:t>
      </w:r>
    </w:p>
    <w:p>
      <w:pPr>
        <w:spacing w:after="100"/>
      </w:pPr>
      <w:r>
        <w:t xml:space="preserve">Porque el gasto de los hiperescaladores es cíclico (−7 % en 2023 [42]), porque la refrigeración, el negocio más rentable de Vertiv, atrae a competidores con más balance (Eaton paga 22,5x por Boyd Thermal) [104], y porque la caja reciente depende de anticipos que no crecerán siempre más que las ventas [4]. Podemos equivocarnos en el plazo: mientras los pedidos sigan creciendo, el precio puede ignorar la tasa de descuento.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53,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Demanda visible</w:t>
      </w:r>
      <w:r>
        <w:t xml:space="preserve">: cartera de 15.000 M USD a dic-25, el doble que un año antes, y book-to-bill de ≈ 2,9x en el 4T25 [7].</w:t>
      </w:r>
    </w:p>
    <w:p>
      <w:pPr>
        <w:pStyle w:val="ListParagraph"/>
        <w:numPr>
          <w:ilvl w:val="0"/>
          <w:numId w:val="2"/>
        </w:numPr>
        <w:spacing w:after="60"/>
      </w:pPr>
      <w:r>
        <w:rPr>
          <w:b/>
        </w:rPr>
        <w:t xml:space="preserve">Rentabilidad excepcional</w:t>
      </w:r>
      <w:r>
        <w:t xml:space="preserve">: ROIC del 28,9 % en 2025, frente al 10,6-14,0 % de Eaton y Schneider [91, 92].</w:t>
      </w:r>
    </w:p>
    <w:p>
      <w:pPr>
        <w:pStyle w:val="ListParagraph"/>
        <w:numPr>
          <w:ilvl w:val="0"/>
          <w:numId w:val="2"/>
        </w:numPr>
        <w:spacing w:after="60"/>
      </w:pPr>
      <w:r>
        <w:rPr>
          <w:b/>
        </w:rPr>
        <w:t xml:space="preserve">Ejecución</w:t>
      </w:r>
      <w:r>
        <w:t xml:space="preserve">: superó su guía en 2023, 2024 y 2025, y en 2026 la ha subido dos veces, hasta 14.000 M de ventas [5].</w:t>
      </w:r>
    </w:p>
    <w:p>
      <w:pPr>
        <w:pStyle w:val="ListParagraph"/>
        <w:numPr>
          <w:ilvl w:val="0"/>
          <w:numId w:val="2"/>
        </w:numPr>
        <w:spacing w:after="60"/>
      </w:pPr>
      <w:r>
        <w:rPr>
          <w:b/>
        </w:rPr>
        <w:t xml:space="preserve">Balance sin deuda neta</w:t>
      </w:r>
      <w:r>
        <w:t xml:space="preserve">: caja neta de ≈ 143 M USD a jun-26 y grado de inversión desde febrero [4, 6].</w:t>
      </w:r>
    </w:p>
    <w:p>
      <w:pPr>
        <w:pStyle w:val="ListParagraph"/>
        <w:numPr>
          <w:ilvl w:val="0"/>
          <w:numId w:val="2"/>
        </w:numPr>
        <w:spacing w:after="60"/>
      </w:pPr>
      <w:r>
        <w:rPr>
          <w:b/>
        </w:rPr>
        <w:t xml:space="preserve">Prima moderada frente al sector</w:t>
      </w:r>
      <w:r>
        <w:t xml:space="preserve">: 22,4x el EBITDA NTM frente a 19,4x de mediana, con más del doble de crecimiento (37,9 % frente a 16,2 %).</w:t>
      </w:r>
    </w:p>
    <w:p>
      <w:pPr>
        <w:pStyle w:val="Heading2"/>
      </w:pPr>
      <w:r>
        <w:t xml:space="preserve">En contra</w:t>
      </w:r>
    </w:p>
    <w:p>
      <w:pPr>
        <w:pStyle w:val="ListParagraph"/>
        <w:numPr>
          <w:ilvl w:val="0"/>
          <w:numId w:val="2"/>
        </w:numPr>
        <w:spacing w:after="60"/>
      </w:pPr>
      <w:r>
        <w:rPr>
          <w:b/>
        </w:rPr>
        <w:t xml:space="preserve">El precio descuenta una década de crecimiento</w:t>
      </w:r>
      <w:r>
        <w:t xml:space="preserve">: 19,9 % anual hasta 2035 según el DCF inverso, o una rentabilidad del 6,8 %.</w:t>
      </w:r>
    </w:p>
    <w:p>
      <w:pPr>
        <w:pStyle w:val="ListParagraph"/>
        <w:numPr>
          <w:ilvl w:val="0"/>
          <w:numId w:val="2"/>
        </w:numPr>
        <w:spacing w:after="60"/>
      </w:pPr>
      <w:r>
        <w:rPr>
          <w:b/>
        </w:rPr>
        <w:t xml:space="preserve">Asimetría muy negativa</w:t>
      </w:r>
      <w:r>
        <w:t xml:space="preserve">: el alcista gana un 6,0 % y el bajista pierde un 69,2 %.</w:t>
      </w:r>
    </w:p>
    <w:p>
      <w:pPr>
        <w:pStyle w:val="ListParagraph"/>
        <w:numPr>
          <w:ilvl w:val="0"/>
          <w:numId w:val="2"/>
        </w:numPr>
        <w:spacing w:after="60"/>
      </w:pPr>
      <w:r>
        <w:rPr>
          <w:b/>
        </w:rPr>
        <w:t xml:space="preserve">Menos visibilidad</w:t>
      </w:r>
      <w:r>
        <w:t xml:space="preserve">: desde feb-26 no publica pedidos ni cartera trimestrales, justo tras un book-to-bill de 2,9x [25].</w:t>
      </w:r>
    </w:p>
    <w:p>
      <w:pPr>
        <w:pStyle w:val="ListParagraph"/>
        <w:numPr>
          <w:ilvl w:val="0"/>
          <w:numId w:val="2"/>
        </w:numPr>
        <w:spacing w:after="60"/>
      </w:pPr>
      <w:r>
        <w:rPr>
          <w:b/>
        </w:rPr>
        <w:t xml:space="preserve">Caja apoyada en anticipos</w:t>
      </w:r>
      <w:r>
        <w:t xml:space="preserve">: los ingresos diferidos pasaron de 1.815 a 3.634 M en seis meses [4].</w:t>
      </w:r>
    </w:p>
    <w:p>
      <w:pPr>
        <w:pStyle w:val="ListParagraph"/>
        <w:numPr>
          <w:ilvl w:val="0"/>
          <w:numId w:val="2"/>
        </w:numPr>
        <w:spacing w:after="60"/>
      </w:pPr>
      <w:r>
        <w:rPr>
          <w:b/>
        </w:rPr>
        <w:t xml:space="preserve">Competencia que llega</w:t>
      </w:r>
      <w:r>
        <w:t xml:space="preserve">: Eaton paga 9.500 M por Boyd Thermal y Schneider compró Motivair, en refrigeración líquida [101, 104].</w:t>
      </w:r>
    </w:p>
    <w:p>
      <w:pPr>
        <w:pStyle w:val="ListParagraph"/>
        <w:numPr>
          <w:ilvl w:val="0"/>
          <w:numId w:val="2"/>
        </w:numPr>
        <w:spacing w:after="60"/>
      </w:pPr>
      <w:r>
        <w:rPr>
          <w:b/>
        </w:rPr>
        <w:t xml:space="preserve">Señales de la cúpula</w:t>
      </w:r>
      <w:r>
        <w:t xml:space="preserve">: 128 M USD de ventas de consejeros en 12 meses sin ninguna compra [67].</w:t>
      </w:r>
    </w:p>
    <w:p>
      <w:pPr>
        <w:pStyle w:val="Heading2"/>
      </w:pPr>
      <w:r>
        <w:t xml:space="preserve">Qué tiene que pasar para que la tesis funcione</w:t>
      </w:r>
    </w:p>
    <w:p>
      <w:pPr>
        <w:spacing w:after="100"/>
      </w:pPr>
      <w:r>
        <w:t xml:space="preserve">La tesis depende de que el gasto de los cuatro grandes hiperescaladores no se pare antes de 2028. La señal de que sí se para llegará primero a los anticipos de clientes (3.633,7 M en junio) y a la cartera anual del 10-K de febrero de 2027: si los anticipos caen por debajo de 2.500 M o la cartera no supera los 15.000 M de diciembre de 2025, el escenario bajista gana peso. A la inversa, una cartera por encima de 22.000 M y una guía de capex de 2027 de los hiperescaladores un 25 % superior a la de 2026 nos harían revisar el crecimiento de 2028-2030.</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 frente a la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 M en el 2T26 (76 M por debajo del punto medio); guía 3T26: 3.650-3.850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Otro trimestre por debajo del rango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problema de capacidad de uno de demanda.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diferidos (anticipos)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3.633,7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2.500 M sin caída de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la mayor parte del FCF del 1S26 y el primer indicador de pedidos.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 M (dic-25)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15.000 M a dic-26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Única cifra de pedidos que publicará la empresa.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de Microsoft, Alphabet, Amazon y Meta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357.500 M USD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plana o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demanda final de Vertiv, con 12-18 meses de adelanto.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 (2T26); guía 2026: 23,3-24,3 %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22 % con ventas al alza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Mediría la presión de precios de Eaton, Schneider y Modine.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38,9x / 22,4x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74,0x / 32,1x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Vertiv nace de Liebert, fundada en 1946 por Ralph Liebert y primer fabricante de climatización para salas de ordenadores en 1965. Emerson Electric la compró en 1987 y en 2000 la integró con ASCO en Emerson Network Power, que creció con Avansys, Knurr y Avocent [1]. En la crisis de 2009 la división perdió el 15 % de las ventas y el 29 % del resultado (de 794 a 567 M USD) [54]. El 1 de diciembre de 2016 Emerson la vendió a Platinum Equity por 4.000 M USD (unos 4.400 M USD de ventas en el ejercicio fiscal 2016) y pasó a llamarse Vertiv [29]. Salió a bolsa el 7 de febrero de 2020 al fusionarse con la SPAC GS Acquisition Holdings, con David Cote como presidente ejecutivo [1, 28]. Platinum vendió en varias colocaciones entre 2020 y 2023 [1, 3]. Giordano Albertazzi es consejero delegado desde el 1 de enero de 2023 [28]. Las compras de E&amp;I (2021), Great Lakes y PurgeRite (2025) y KES (2026) desplazaron la cartera hacia la distribución eléctrica, los racks y los servicios de refrigeración líquida [1, 2,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Liebert Corporation, primer fabricante de climatización de precisión para salas de ordenadores; su origen se remonta a 1946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Emerson Electric compra Liebert; en 2000 crea Emerson Network Power con Liebert y ASCO, y la amplía con Avansys, Knurr y Avocent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financiera: las ventas de Network Power caen un 15 %, de 6.300 a 5.400 M USD (un 11 % subyacente), y su resultado un 29 % [54].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 de diciembre, Emerson vende Network Power a Platinum Equity por 4.000 M USD y conserva una participación subordinada; el negocio pasa a llamarse Vertiv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 de febrero cotiza en la NYSE (VRT) mediante la fusión con la SPAC GS Acquisition Holdings; David Cote pasa a ser presidente ejecutivo [1, 28]. Ventas de 2020: 4.370,6 M USD, un 1,4 % menos por la covid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E&amp;I Engineering (cuadros y barras de distribución eléctrica) por 1.770,4 M USD en efectivo y acciones (cierre el 1 de noviembre)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inflación de costes sobre una cartera con precio cerrado baja el margen bruto del 30,5 % al 28,4 %, aunque las ventas crecen un 13,9 %. Llega la demanda colectiva por las previsiones de precios y márgenes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Giordano Albertazzi, consejero delegado (1 de enero). Platinum Equity baja del 5 % del capital tras vender 20 millones de acciones (8 de agosto)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Great Lakes (racks, unos 200 M USD) y PurgeRite (servicios de fluidos para refrigeración líquida, 1.138,3 M USD). Las ventas llegan a 10.229,9 M USD (+27,7 %) y la cartera de pedidos, a 15.000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 en el S&amp;P 500 en la revisión de marzo [31]. El 24 de septiembre acuerda comprar KES, que lleva los servicios de fluidos a EMEA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Vertiv diseña, fabrica, instala y mantiene la infraestructura física crítica de los centros de datos. En energía: SAI de corriente alterna y continua, cuadros de baja y media tensión, barras de distribución (busbar), PDU de rack y almacenamiento de energía. En gestión térmica: refrigeración por aire y líquida, del chip a la expulsión del calor. A eso añade racks, soluciones modulares prefabricadas, software de gestión y servicios [1]. Sus marcas son Vertiv, Liebert, NetSure, Geist, Energy Labs, ERS, Albér y Avocent [1]. Los centros de datos (hiperescala y nube, colocation, neocloud y empresa) suponen en torno al 85 % de las ventas; las redes de comunicaciones, el 10 %, y las aplicaciones comerciales e industriales, el 5 % [27]. Vende sobre todo de forma directa, con unos 3.000 comerciales, y además a través de distribuidores, integradores y fabricantes de equipos [1]. Tiene 30 centros de fabricación, unos 34.000 empleados y presencia en más de 40 países [1, 27].</w:t>
      </w:r>
    </w:p>
    <w:p>
      <w:pPr>
        <w:pStyle w:val="Heading2"/>
      </w:pPr>
      <w:r>
        <w:t xml:space="preserve">Cómo gana dinero</w:t>
      </w:r>
    </w:p>
    <w:p>
      <w:pPr>
        <w:spacing w:after="100"/>
      </w:pPr>
      <w:r>
        <w:t xml:space="preserve">En 2025, el 80 % de las ventas fue de producto (8.207,0 M USD) y el 20 % de servicios y repuestos (2.022,9 M USD) [1]. Los servicios (mantenimiento preventivo, pruebas, monitorización remota, gestión de fluidos y repuestos) son la parte recurrente: se cobran sobre la base instalada que atienden unos 5.000 ingenieros de campo desde más de 300 centros [1]. El 21 % de las ventas (2.188,1 M USD) se reconoce a lo largo del tiempo, en proyectos a medida [1]. El margen bruto fue del 36,3 % (36,6 % en 2024): el volumen y la mejora de precios compensaron la inflación de costes [1]. El margen depende del precio frente al acero, el cobre, el aluminio y los aranceles, y de no cerrar precios en contratos largos, que es lo que hundió el margen en 2022 [1, 2]. El apalancamiento operativo es alto: con ventas un 28 % mayores, el beneficio operativo ajustado creció un 35 %, con un margen del 20,4 % (19,4 % en 2024 y 15,3 % en 2023) [27]. La cartera de 15.000 M USD se entrega en 12-18 meses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 Oriente Medio y África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 Oriente Medio y África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10-K no identifica ningún cliente que supere el 10 % de las ventas ni publica la concentración de los diez primeros [1]. Sí advierte de que los grandes clientes (hiperescaladores, neoclouds, colocation y operadores de telecomunicaciones) pesan de forma material y exigen condiciones más favorables: penalizaciones por retrasos y compromisos de servicio más estrictos en los proyectos de IA de varios años [1]. Los pedidos de la cartera son en su mayoría firmes, pero el cliente puede reducirlos o aplazarlos en algunos casos, normalmente con penalización [1]. El poder de precios está demostrado en los dos sentidos. En 2021-22 la inflación sobre pedidos con precio cerrado bajó el margen bruto del 33,7 % de 2020 al 28,4 % de 2022 [2, 3]. Desde entonces lo ha recuperado hasta el 36,3 % en 2025 [1], y en el 2T26 la relación entre precios y costes fue favorable incluso con los aranceles [5]. Algunas relaciones con clientes duran décadas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 M USD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 M USD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es firme y se entregará en 12-18 meses [1, 7]. Trimestral en 2025: 7.900 M (1T), 8.500 M (2T), 9.500 M (3T) [8, 9, 10]. Desde 2026 Vertiv dejó de publicar pedidos y cartera trimestrales; solo los dará al año en el 10-K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~1,4x en el 1T25 y ~1,2x en el 2T25 [7, 8, 9, 10]. No publicado en 2026.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crecimiento interanual del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 en el 3T24, ~+13 % en el 1T25 y ~+15 % en el 2T25; el 4T25 subió un 117 % sobre el 3T25 [7, 8, 9, 10,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últimos doce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~+37 % a sep-24, ~+20 % a mar-25, ~+11 % a jun-25 y +21 % a sep-25 [7, 8, 9, 10,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19,9 %; guía 2026: 30-32 % [5,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22,6 % en el 2T26 (+410 pb); guía 2026: 23,3-24,3 %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diferidos corrientes (anticipos)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1.814,7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3.633,7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1.063,3 M a dic-24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Ingenieros de servicio de campo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 (dic-24, implícito)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 de la presentación del 1T26; 34.000 empleados en total a dic-25 [1, 22].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infraestructura física de los centros de datos tal como la mide Dell'Oro Group: SAI, gestión térmica (con la refrigeración líquida directa), distribución de energía en armario y busway, PDU de rack, racks y contención, y software y servicios, a escala mundial y en ingresos de fabricante [33]. Lo usamos como fuente principal porque es el perímetro que la propia Vertiv cita para su liderazgo en térmica [27]. Lo contrastamos con dos fuentes independientes: la AIE (consumo eléctrico de los centros de datos [41]) y las previsiones de MarketsandMarkets recogidas por IEEE ComSoc [53]. Vertiv vende además cuadros de baja y media tensión y atiende telecomunicaciones e industria (en torno al 15 % de sus ventas [27]), que quedan fuera de este perímetro. Dell'Oro amplió su cobertura en 2026, en torno a 1.000 M USD por trimestre [39], así que sus series de 2024 y anteriores no son comparables con las de 2025 en adelante.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44.400 M USD en 2025: estimación propia implícita en la previsión de Dell'Oro de 120.000 M USD en 2030 con una TCAC del 22 % desde 2025 [33]. El 4T25 sumó 10.900 M USD, un 20 % más que un año antes [32], y el 1T26 12.000 M USD, un 28 % más [39]. Contraste: MarketsandMarkets da 35.100 M USD para la energía en 2025 [53]. Las previsiones anteriores de Dell'Oro, con el perímetro antiguo, eran de más de 50.000 M USD en 2028 (TCAC del 13 % desde 2023) [37] y de 63.100 M USD en 2029 (TCAC del 15 % desde 2024) [38]: el mercado se ha revisado al alza dos veces en dos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fabricante, perímetro Dell'Oro de agosto de 2026; 2026e-2029e interpolados por nosotros con la TCAC del 22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los hiperescaladores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inmovilizado de Microsoft, Alphabet, Amazon y Meta pasó de 93.000 M USD en 2020 a 150.200 M en 2022, 140.100 M en 2023 (−7 %), 217.300 M en 2024 y 357.500 M en 2025. Microsoft, por ejercicio a junio, gastó 115.900 M USD en su ejercicio 2026. Amazon incluye su logística [42, 43, 44, 45].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eléctrico de los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415 TWh en 2024 (≈1,5 % de la electricidad mundial, un 45 % en EE. UU.), unos 945 TWh en 2030 y unos 1.200 TWh en 2035; ha crecido en torno a un 12 % anual desde 2017 [41].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Densificación de racks y refrigeración líquida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térmica creció un 29 % en el 2T25, con la refrigeración líquida directa al +156 % [35], y casi un 50 % en el 1T26 [39]. El diseño de referencia GB300 NVL72 llega a 142 kW por rack, y la arquitectura de 800 V CC apunta a racks de 1 MW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del sector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carteras de los fabricantes crecen a la vez en energía, refrigeración y distribución [32]. La de Vertiv pasó de 7.200 M USD a 15.000 M USD en 2025, y sus pedidos orgánicos del 4T25 crecieron un 252 %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potencia en la red y moratorias locales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Dell'Oro rebajó su previsión para EMEA por la falta de potencia eléctrica [33]. El 10-K cita las moratorias y la oposición local a la construcción de centros de datos como riesgo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Transformadores de estado sólido y 800 V CC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prevé que los transformadores de estado sólido pesen de forma apreciable sobre la demanda de SAI desde 2029 [33]. Vertiv ofrecerá soluciones de 800 V CC desde 2026 [30]; ABB apoyará la misma arquitectura de 800 V CC de NVIDIA con su tecnología de estado sólido [48].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 y Vertiv están prácticamente empatadas en cuota mundial, a una décima de punto [34]. Compiten también Eaton, Legrand, Huawei y especialistas como Delta, Stulz o Socomec [1]. Con la demanda por encima de la oferta [32], los márgenes suben en todos: Eaton Electrical Americas 29,9 %, ABB Electrification 23,5 %, Schneider Energy Management 21,8 % y Vertiv 20,4 % ajustado [27, 46, 47, 48].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1T25, colocation y nube explicaron el 74 % del crecimiento del mercado y los diez primeros proveedores de nube crecieron un 30 % [34]. El 10-K reconoce que los grandes clientes imponen condiciones, penalizaciones y más riesgo de proyecto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(acero, cobre, aluminio) y la electrónica se compran a varios proveedores, y Vertiv cubre el cobre y el aluminio con derivados [1]. Hay escaseces puntuales y aranceles que encarecen los componentes importados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entra sobre todo comprando o firmando contratos grandes. Eaton acordó comprar Boyd Thermal por 9.500 M USD [47] y Modine firmó un acuerdo de 4.000 M USD de enfriadoras con un hiperescalador [51]. El 10-K avisa de fabricantes chinos e indios en mercados emergentes [1]. La cualificación es larga y la base instalada de servicios frena a los nuevos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centro de datos no puede funcionar sin energía ni refrigeración. El riesgo está dentro del propio producto: transformadores de estado sólido frente al SAI desde 2029 [33] y arquitecturas de 800 V CC [30].</w:t>
            </w:r>
          </w:p>
        </w:tc>
      </w:tr>
    </w:tbl>
    <w:p>
      <w:pPr>
        <w:spacing w:after="160" w:before="0"/>
      </w:pPr>
    </w:p>
    <w:p>
      <w:pPr>
        <w:pStyle w:val="Heading2"/>
      </w:pPr>
      <w:r>
        <w:t xml:space="preserve">Ciclo</w:t>
      </w:r>
    </w:p>
    <w:p>
      <w:pPr>
        <w:spacing w:after="100"/>
      </w:pPr>
      <w:r>
        <w:t xml:space="preserve">El mercado creció un 16 % en 2023 [40], entre el 17 % y el 20 % por trimestre en 2025 [32, 34, 35, 36] y un 28 % en el 1T26 [39]. Dell'Oro sitúa el máximo crecimiento de la capacidad añadida en 2026, con una moderación posterior pero todavía de dos dígitos hasta 2030 [33]. Antecedentes: en 2009 las ventas de Emerson Network Power cayeron un 15 % y su resultado un 29 % [54]. En 2020 Vertiv vendió un 1,4 % menos [3]. En 2022 la demanda creció (+13,9 %) pero el margen bruto cayó al 28,4 % por la inflación [2]. En 2023 la inversión de los cuatro hiperescaladores bajó un 7 % y Vertiv aun así creció un 20,6 % [2, 27, 42, 43, 44, 45]. El riesgo es un exceso de capacidad que frene esa inversión.</w:t>
      </w:r>
    </w:p>
    <w:p>
      <w:pPr>
        <w:pStyle w:val="Heading2"/>
      </w:pPr>
      <w:r>
        <w:t xml:space="preserve">Regulación</w:t>
      </w:r>
    </w:p>
    <w:p>
      <w:pPr>
        <w:spacing w:after="100"/>
      </w:pPr>
      <w:r>
        <w:rPr>
          <w:b/>
        </w:rPr>
        <w:t xml:space="preserve">Aranceles.</w:t>
      </w:r>
      <w:r>
        <w:t xml:space="preserve"> El 10-K describe una subida significativa de los aranceles de EE. UU. sobre China y otros países, con riesgo de represalias. Vertiv responde ampliando la fabricación local y diversificando el suministro [1]. En el 4T25 los aranceles restaron margen [7]; en el 2T26 la relación entre precios y costes ya fue favorable incluyendo aranceles y contramedidas [5]. </w:t>
      </w:r>
      <w:r>
        <w:rPr>
          <w:b/>
        </w:rPr>
        <w:t xml:space="preserve">UE.</w:t>
      </w:r>
      <w:r>
        <w:t xml:space="preserve"> La Directiva de Eficiencia Energética (UE) 2023/1791 y el Reglamento Delegado (UE) 2024/1364 obligan a informar del consumo de energía y agua de los centros de datos. La Comisión propuso un sistema común de calificación el 21 de septiembre de 2026 y prepara normas de rendimiento mínimo, con propuesta prevista para el 2T27 [55]. </w:t>
      </w:r>
      <w:r>
        <w:rPr>
          <w:b/>
        </w:rPr>
        <w:t xml:space="preserve">Red y permisos.</w:t>
      </w:r>
      <w:r>
        <w:t xml:space="preserve"> Moratorias locales, oposición vecinal y retrasos en los permisos pueden frenar la construcción de centros de datos [1].</w:t>
      </w:r>
    </w:p>
    <w:p>
      <w:pPr>
        <w:pStyle w:val="Heading2"/>
      </w:pPr>
      <w:r>
        <w:t xml:space="preserve">Tendencias y disrupción</w:t>
      </w:r>
    </w:p>
    <w:p>
      <w:pPr>
        <w:spacing w:after="100"/>
      </w:pPr>
      <w:r>
        <w:t xml:space="preserve">La refrigeración líquida pasa de opción a requisito con la densificación de los racks: la refrigeración líquida directa creció un 156 % en el 2T25 y un 85 % en el 3T25 [35, 36]. Vertiv gana con ello: lidera la térmica [27], diseña con NVIDIA arquitecturas de referencia (GB300 NVL72, 142 kW por rack) y ofrecerá 800 V CC desde 2026 [30]. Los servicios de fluidos son un negocio nuevo, con PurgeRite en 2025 y KES en 2026 [1, 15]. La amenaza es que las grandes eléctricas entren en térmica (Eaton-Boyd [47]) y que los transformadores de estado sólido sustituyan parte del SAI desde 2029 [33]. La falta de potencia en la red impulsa la generación en el propio emplazamiento, donde Vertiv colabora con Caterpillar y Oklo [27].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Comparte el primer puesto mundial en infraestructura física de centros de datos con Schneider Electric: Dell'Oro las sitúa a una décima de punto [34]. Es n.º 1 en gestión térmica (Dell'Oro) y en SAI trifásicos de más de 250 kVA y distribución eléctrica (Omdia), según su informe anual [27]. La cuota del 20 % es una estimación propia: ventas de centros de datos de unos 8.700 M USD (85 % de 10.229,9 M USD [1, 27]) sobre un mercado de unos 44.400 M USD [33]. Es aproximada, porque Vertiv vende cuadros que quedan fuera del perímetro de Dell'Oro.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 (Energy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 división: 33.130 M EUR en 2025, convertidos a 1,1750 USD/EUR (cierre del BCE a 31-12-2025) [46, 52]. El margen es EBITA ajustado. Es el rival más directo: SAI, cuadros, racks, prefabricados y refrigeración líquida; el centro de datos puro creció a tres dígitos en pedidos en el 4T25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 (Electrical Americas)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del segmento: 3.972 M USD en 2025 [47]. Fuerte en SAI, busway y cuadros. Compró Fibrebond por 1.430 M USD en 2025 y acordó comprar Boyd Thermal por 9.500 M USD para entrar en la térmica [47].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 (Electrification)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es EBITA operativo (4.081 M USD) de 2025 [48]. Compite en distribución eléctrica de media y baja tensión; los centros de datos crecieron a un doble dígito muy fuerte y apoyará la arquitectura de 800 V CC de NVIDIA [48].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El margen es EBITA de segmento (4.007 M USD) [49]. Compite en enfriadoras y térmica para centros de datos; el 10-K de Vertiv lo cita como competidor de nicho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contable de 2025; el segmento Systems Protection (racks, refrigeración líquida, armarios) facturó 2.592,9 M USD con un 20,7 % de resultado [50].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Modine (Climate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cerrado en marzo de 2026, con un resultado operativo de 321,1 M USD. Las ventas a centros de datos del 4T crecieron un 158 %, y tiene un acuerdo de enfriadoras de 4.000 M USD con un hiperescalador [51].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un negocio de red. Solo el codiseño con NVIDIA (diseños de referencia GB300 NVL72 y 800 V CC) atrae a clientes que siguen esa hoja de ruta [10,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atendida por unos 5.000 ingenieros de campo y más de 300 centros de servicio. Los servicios y repuestos facturaron 2.022,9 M USD (20 % de las ventas), un 14,5 % más que en 2024. Hay relaciones de décadas y procesos de cualificación largos [1]. Los hiperescaladores, aun así, compran a varios proveedores.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Liebert, NetSure, Geist y Avocent; unas 3.000 patentes registradas y unas 1.900 solicitadas [1]. Acceso temprano a la hoja de ruta de NVIDIA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ve en los márgenes: el 20,4 % ajustado de Vertiv en 2025 [2] queda por debajo de Eaton Electrical Americas (29,9 %), ABB Electrification (23,5 %) y Schneider Energy Management (21,8 %) [27, 28, 26]. La distancia se ha estrechado: Vertiv estaba en el 15,3 % en 2023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N.º 1 en térmica y en SAI trifásicos grandes [2], empatada con Schneider en el total [14]. Tiene 30 fábricas y presencia en más de 40 países [2, 1], y una cartera de 15.000 M USD que le permite planificar la capacidad [1].</w:t>
            </w:r>
          </w:p>
        </w:tc>
      </w:tr>
    </w:tbl>
    <w:p>
      <w:pPr>
        <w:spacing w:after="160" w:before="0"/>
      </w:pPr>
    </w:p>
    <w:p>
      <w:pPr>
        <w:pStyle w:val="Heading2"/>
      </w:pPr>
      <w:r>
        <w:t xml:space="preserve">Amenazas</w:t>
      </w:r>
    </w:p>
    <w:p>
      <w:pPr>
        <w:spacing w:after="100"/>
      </w:pPr>
      <w:r>
        <w:t xml:space="preserve">Las grandes eléctricas están entrando en la refrigeración, que es el terreno donde Vertiv lidera. Eaton pagará 9.500 M USD por Boyd Thermal [47]. Modine ha firmado 4.000 M USD de enfriadoras con un hiperescalador y crece un 158 % en centros de datos [51]. El cambio de arquitectura (800 V CC, transformadores de estado sólido desde 2029) puede repartir de nuevo la cuota en energía, y ABB y Eaton se posicionan ahí [33, 47, 48]. Los hiperescaladores concentran el poder de compra y pueden exigir precios y condiciones [1]. Probabilidad: media. El empate con Schneider [34] indica que no hay un líder que imponga precios.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2020-2025: ingresos </w:t>
      </w:r>
      <w:r>
        <w:rPr>
          <w:b/>
          <w:bCs/>
        </w:rPr>
        <w:t xml:space="preserve">18,5 %</w:t>
      </w:r>
      <w:r>
        <w:t xml:space="preserve">, EBITDA </w:t>
      </w:r>
      <w:r>
        <w:rPr>
          <w:b/>
          <w:bCs/>
        </w:rPr>
        <w:t xml:space="preserve">38,7 %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4.371 M USD en 2020 a 10.230 M USD en 2025 (TCAC del 18,5 %), con aceleración desde 2023 por la demanda de centros de datos para IA [1, 2]. El crecimiento orgánico fue del 17,5 % en 2024 y del 26,3 % en 2025 [7, 11]; lo comprado pesa poco salvo en 2021-2022 (E&amp;I) y en 2026 (PurgeRite, Great Lakes y tres compras pequeñas: 5 de los 24 puntos de crecimiento del 2T26) [5]. El margen EBIT reportado sube del 4,9 % en 2020 y el 3,9 % en 2022 al 17,9 % en 2025 y el 19,5 % en el 2T26 [1, 5]. 2022 fue el año malo: inflación de materiales y fletes con pedidos a precio cerrado dejaron el margen bruto en el 28,4 %; desde entonces precio, productividad y volumen lo llevan al 36,3 % en 2025 [1, 2]. 2025 y 2026 absorben aranceles con contramedidas (cambio de origen, precio) y aun así el margen operativo ajustado sube 410 pb interanuales en el 2T26, hasta el 22,6 % [5]. El resultado neto de 2020-2024 no es comparable por el valor razonable de los warrants (-143,7 M USD en 2020, -61,9 M en 2021, +90,9 M en 2022, -157,9 M en 2023 y -449,2 M en 2024), por la pérdida de 174 M USD por cancelación de deuda en 2020 y por la ganancia de 59,2 M del acuerdo de crédito fiscal (TRA) en 2021 [1, 2].</w:t>
      </w:r>
    </w:p>
    <w:p>
      <w:pPr>
        <w:pStyle w:val="Heading2"/>
      </w:pPr>
      <w:r>
        <w:t xml:space="preserve">Ajustes y partidas no recurrentes</w:t>
      </w:r>
    </w:p>
    <w:p>
      <w:pPr>
        <w:spacing w:after="100"/>
      </w:pPr>
      <w:r>
        <w:t xml:space="preserve">Vertiv publica beneficio operativo ajustado y BPA diluido ajustado que excluyen la amortización de intangibles (181,3 M USD en 2023, 184,2 M en 2024, 200,4 M en 2025 y 151,3 M en el 1S26: un 2,0-2,6 % de las ventas), los costes de reestructuración de programas globales (49,5 M en 2025), la variación del valor razonable de contraprestaciones contingentes (4,9 M en 2025 y 62,0 M en el 1S26, todo de PurgeRite), los costes de fusiones y adquisiciones, el valor razonable de los warrants hasta 2024 y partidas fiscales no recurrentes (-115 M en 2023, +39,5 M en el 1S25) [5, 7, 11]. La amortización se suma al BPA ajustado </w:t>
      </w:r>
      <w:r>
        <w:rPr>
          <w:b/>
        </w:rPr>
        <w:t xml:space="preserve">sin efecto fiscal</w:t>
      </w:r>
      <w:r>
        <w:t xml:space="preserve">. Resultado: BPA ajustado de 1,77 USD en 2023, 2,85 en 2024 y 4,20 en 2025 frente a 1,19, 1,28 y 3,41 reportados; beneficio operativo ajustado de 1.053,5, 1.551,6 y 2.089,7 M USD frente a 872,2, 1.367,4 y 1.829,7 M [7, 11]. La guía de 2026 es de 6,65-6,75 USD ajustado frente a 5,82-5,92 USD GAAP; la diferencia es sobre todo amortización (306,8 M USD, 0,78 USD por acción) [5]. El EBITDA de esta serie es EBIT reportado más depreciación y amortización del estado de flujos (incluida la de software) y lleva dentro el gasto de alquiler operativo (83,7 M USD en 2025), porque Vertiv aplica US GAAP (ASC 842) [1]. gastos_financieros es el gasto por intereses neto que publica Vertiv (no da el bruto); los intereses pagados fueron 176,7, 155,5 y 126,7 M USD en 2023-2025 [1]. El DPA es el pagado en el año: 0,01 USD anual hasta 2022 y trimestrales de 0,025 USD desde dic-23, 0,0375 desde dic-24 y 0,0625 desde dic-25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(22-abr-26).</w:t>
      </w:r>
      <w:r>
        <w:t xml:space="preserve"> BPA ajustado de 1,17 USD, 0,19 por encima de la guía y frente a 1,00 esperado por el mercado; ventas 50 M por encima de la guía [22, 24]. Mensajes: «otro año de fuerte crecimiento de pedidos» por la cartera de oportunidades, Américas robusta, EMEA despertando y China con mejores señales; precio por encima de la inflación en 2026; contramedidas frente a los aranceles de las secciones 122 y 232; capex «significativamente mayor» en 2026 con ampliaciones en Carolina del Sur, Pensilvania, Ohio y Mexicali, y ~5.000 técnicos de campo (+25 % desde 2024) [22]. Ya sin cifras de pedidos ni cartera: Vertiv anunció en feb-26 que deja de darlas cada trimestre por la volatilidad de pedidos grandes y plurianuales [25].</w:t>
      </w:r>
    </w:p>
    <w:p>
      <w:pPr>
        <w:spacing w:after="100"/>
      </w:pPr>
      <w:r>
        <w:rPr>
          <w:b/>
        </w:rPr>
        <w:t xml:space="preserve">2T26 (29-jul-26).</w:t>
      </w:r>
      <w:r>
        <w:t xml:space="preserve"> BPA ajustado de 1,52 USD, 0,12 por encima de la guía, pero ventas 76 M por debajo del punto medio por congestión de la cadena de suministro y proyectos por fases; sube la guía anual a 14.000 M USD de ventas y 6,65-6,75 USD de BPA ajustado, y el capex al ~4 % de las ventas [5, 21]. Las preguntas se repitieron sobre el desfase de ventas (Evercore preguntó cuánto y de quién era la culpa: «no seremos demasiado específicos», sobre todo causas internas), el peso de los anticipos en la caja (RBC, Wolfe, BofA; la dirección no dio el porcentaje de cobros por hitos), la rampa del segundo semestre (Deutsche Bank, Morgan Stanley), la arquitectura de 800 V y los rumores de retrasos de un cliente (Loop Capital: «no comentaré rumores») y las compras (Goldman) [23]. Sin cifras de pedidos, la dirección habló de una cartera de oportunidades «que se acelera» [23].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E&amp;I Engineering y Powerbar Gulf, consolidadas desde el 1-nov-21 (1.770 M USD netos de caja; unos 460 M USD de ventas en 2021e): dos meses en la cuenta de 2021 y entera en el balance.; 2025: PurgeRite, consolidada desde el 4-dic-25 (1.138 M USD netos de caja), y Great Lakes desde el 20-ago-25 (203,5 M USD): el balance de 2025 las incluye enteras y la cuenta solo semanas o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se queda en 2.900-3.200 M USD desde 2021 mientras el EBITDA pasa de 487 M a 2.138 M USD en 2025: el apalancamiento cae por crecimiento y caja, no por amortización. Vertiv declaraba 1,4x de deuda neta sobre EBITDA ajustado en el 3T24, ~1,0x en el 4T24, ~0,2x en el 1T26 y caja neta en el 2T26 [5, 6, 11, 12]. El circulante es la palanca: los anticipos de clientes (ingresos diferidos) pasan de 200 M USD en 2020 a 1.815 M en 2025 y 3.634 M en jun-26, y financian el salto de existencias (de 1.457 M a 2.523 M USD en seis meses) y de clientes [1, 4, 5]. Con la refinanciación de mar-26 desaparecen las garantías reales y las restricciones típicas de deuda de capital riesgo, y el plazo medio se alarga a unos 18 años (estimación propia: nominales ponderados por plazo a jun-26) [4, 13]. El cupón medio es del 5,1 % (estimación propia: cupones ponderados por nominal) [4]. La compra de UIG (unos 1.450 M USD en caja al cierre, previsto en el 4T26) se comerá buena parte de la caja neta [14].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3.807</w:t>
      </w:r>
      <w:r>
        <w:t xml:space="preserve">, conversión </w:t>
      </w:r>
      <w:r>
        <w:rPr>
          <w:b/>
          <w:bCs/>
        </w:rPr>
        <w:t xml:space="preserve">176 %</w:t>
      </w:r>
      <w:r>
        <w:t xml:space="preserve"> del beneficio neto; adquisiciones 2.400, dividendos 129, recompras 600.</w:t>
      </w:r>
    </w:p>
    <w:p>
      <w:pPr>
        <w:spacing w:after="100"/>
      </w:pPr>
      <w:r>
        <w:t xml:space="preserve">La conversión depende del circulante. 2022 fue negativo (-152,8 M USD de flujo operativo) porque existencias y clientes consumieron 449 M en plena crisis de suministro; ese año se pagaron además 100 M USD del TRA en financiación [2]. Desde 2023 los anticipos de clientes le dan la vuelta: el flujo libre ajustado (operativo menos capex y software) fue de 766, 1.135 y 1.887 M USD en 2023-2025, el 166 %, 229 % y 142 % del beneficio neto [1]. El 1S26 suma 1.578 M USD, con 1.823 M de aumento de ingresos diferidos [5]. El capex (incluye software capitalizado) pasa del 1,2 % de las ventas en 2020 al 2,2 % en 2025 y el 4,9 % en el 1S26 (288,5 M USD); la guía de 2026 es de un 4,0 % de las ventas, el máximo del rango, para ampliar capacidad [1, 5]. Desde 2021 Vertiv ha más que duplicado su capacidad de cuadros eléctricos, busbar y potencia integrada, abrió en 2024 una planta térmica con laboratorio en Pune (India) y una nave de 215.000 pies cuadrados en Pelzer (Carolina del Sur) [1]. Vertiv no separa mantenimiento y crecimiento; la depreciación (97,1 M USD en 2025) da una referencia del de mantenimiento (estimación propia). Bajo US GAAP los arrendamientos operativos se pagan dentro del flujo operativo (83,4 M USD en 2025, 66,4 M en 2024, 62,7 M en 2023, 57,9 M en 2022, 55,6 M en 2021 y 53,3 M en 2020), por eso pagos_arrendamientos es 0 y el EBITDA ya descuenta ese gasto [1, 16]. En 2020, emisión neta = 1.832,5 M USD de la recapitalización con la SPAC + 156,5 M de warrants - 341,6 M pagados al accionista Platinum Equity; las desinversiones incluyen ventas de inmovilizado y de negocios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 (ICFR efectivo a 31-dic-25)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EY audita a Vertiv desde 2016 [1]. Debilidades materiales: en los cuatro trimestres de 2020 Vertiv identificó debilidades materiales en controles generales de TI (accesos y gestión de cambios) y por acumulación de deficiencias; en abr-21 reexpresó las cuentas de 2020 (10-K/A) por la clasificación de los warrants de la SPAC como pasivo y amplió el plan de remediación [3]. El 10-K de 2021 ya declaró el control interno efectivo y así sigue hasta 2025 [1, 2]. Remuneración en acciones: 45,9 M USD en 2025 (3,4 % del beneficio neto y 0,45 % de las ventas), 34,6 M en 2024; a dic-25 había 9,38 M de opciones vivas (precio medio de ejercicio 32,36 USD) y 2,08 M de acciones restringidas sin consolidar, un 3 % del capital [1]. No hay capitalización relevante de I+D: el software capitalizado fue de 6,4 M USD en 2025 [1]. Tipo impositivo efectivo atípico: 13,8 % en 2023 por la liberación de 115 M USD de provisión de activos fiscales, 35,2 % en 2024 porque los 449 M de warrants no deducen, 23,5 % en 2025 [1, 11]. Partidas que el BPA ajustado excluye pero que son caja: reestructuraciones recurrentes (73,9 M en 2020, 28,6 M en 2023, 54,5 M en 2025) y earn-out de PurgeRite (62 M en el 1S26) [1, 5]. Reconocimiento de ingresos: 22 % a lo largo del tiempo en el 1S26 [4]. Litigios: demanda colectiva por declaraciones sobre inflación y precios de 2021-2022, aún sin resolver; la SEC cerró su investigación en dic-25 sin acciones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Debilidades materiales y reexpresión de 2020</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 acumulación de deficiencias y warrants; remediadas a dic-21 y control efectivo desde entonces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Métrica ajustada sin efecto fiscal de la amortización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suma la amortización de intangibles antes de impuestos (0,52 USD en 2025, 0,78 USD en la guía de 2026)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circulante financiado con anticipos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diferidos se duplican en el 1S26 (+1.823 M USD) y explican la mayor parte del flujo libre de 1.578 M; si los pedidos se frenan, el efecto se da la vuelta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Dejar de publicar pedidos y cartera trimestrales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Anunciado con los resultados del 4T25 tras un book-to-bill de 2,9x; solo habrá dato anual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Earn-outs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206,1 M USD registrados (hasta 250 M); UIG: hasta 1.150 M USD [4,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 de valores 2022 pendiente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desestimada; la SEC cerró su investigación sin acciones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48,4 % · </w:t>
      </w:r>
      <w:r>
        <w:rPr>
          <w:b/>
          <w:bCs/>
        </w:rPr>
        <w:t xml:space="preserve">WACC</w:t>
      </w:r>
      <w:r>
        <w:t xml:space="preserve">: 11,4 %.</w:t>
      </w:r>
    </w:p>
    <w:p>
      <w:pPr>
        <w:spacing w:after="100"/>
      </w:pPr>
      <w:r>
        <w:t xml:space="preserve">Vertiv crea valor desde 2023. El ROIC pasó del 3,1 % de 2022 al 16,9 % en 2023, al 20,3 % en 2024 y al 28,9 % en 2025, frente a un WACC del 11,4 %; en 2020-2022 (7,0 %, 5,9 % y 3,1 %) lo destruía. Lo mueve el margen, no la rotación: el NOPAT pasó de 134 a 1.400 M USD con un capital invertido que solo creció de 4.327 a 4.844 M, mientras la rotación apenas subió de 0,81 a 0,96. El ROIC incremental es del 48,4 %, pero hay que leerlo con cuidado: el capital invertido está rebajado por los anticipos de clientes (el circulante cayó del 20,1 % de las ventas en 2023 al 9,7 % en 2025) [1, 4]. Sin ellos el ROIC seguiría por encima del 20 %. Frente a los comparables, el 28,9 % de Vertiv supera al de ABB (25,1 %) y Trane (26,6 %) y duplica el de Schneider (14,0 %) y Eaton (10,6 %), cuyos capitales llevan mucho fondo de comercio [91, 92, 93, 95]. El ROE del 41,8 % está inflado por un patrimonio todavía pequeño tras las pérdidas de los warrants.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2.810,6 M USD + inversiones a corto 300,0 M + línea revolving no dispuesta 2.483,6 M (2.500 M menos 16,4 M de avales); Vertiv habla de 5.600 M USD de liquidez y de caja neta [4, 5]. Deuda bruta nominal 2.967,2 M USD (2.939,8 M contables) frente a 3.110,6 M de caja e inversiones a corto: caja neta de unos 143 M USD con la deuda nominal (171 M con la contable) sin arrendamientos, y deuda neta de unos 255 M con los 398,4 M de pasivos por arrendamiento operativo (82,0 M corrientes + 316,4 M a largo) [4, 5]. En el calendario, la deuda es la de jun-26 (tras la refinanciación); el de dic-25 era 20,9 M anuales de 2026 a 2030 más 850 M en 2028 y el resto del préstamo en 2032 [1,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Baa3 y S&amp;P BBB- (primer grado de inversión, febrero de 2026) [6]; perspectiva no localizada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préstamo a plazo de 2.076 M USD (SOFR + 1,75 %, vencimiento 2032) y la línea ABL de 800 M se cancelaron el 3-mar-26 con 2.100 M USD de bonos senior no garantizados (600 M al 4,850 % a 2036, 500 M al 5,650 % a 2046, 500 M al 5,800 % a 2056 y 500 M al 5,950 % a 2066) más caja; hubo una pérdida por cancelación de 6,2 M USD y una ganancia de 22,9 M al liquidar las coberturas de tipos [4, 5, 13]. Siguen los 850 M USD de bonos senior garantizados al 4,125 % con vencimiento en nov-28 [4]. La nueva línea revolving de 2.500 M USD (5 años, ampliable en 1.000 M) tiene un único covenant financiero, deuda neta / EBITDA ≤ 4,0x (4,5x tras una compra relevante), que se cumple con holgura [4]. Pagos aplazados de compras: 206,1 M USD de earn-out de PurgeRite en balance a jun-26 (máximo 250 M) y hasta 35 M de otra compra del 2T26 [4]; UIG añadirá hasta 1.150 M USD más [14]. Ingresos diferidos (anticipos) de 3.633,7 M USD corrientes y 122,6 M a largo a jun-26 [4]. El TRA con el antiguo dueño se liquidó con 100 M USD en 2022 [2]. Litigios: demanda colectiva de valores de 2022 (periodo feb-21 a feb-22), con las reclamaciones de la Securities Act desestimadas en ene-24 y el resto pendiente; la SEC cerró su investigación sin recomendar acciones el 30-dic-25 [1]. Aduanas de México: 10,1 M USD pagados en 2024 [1].</w:t>
      </w:r>
    </w:p>
    <w:p>
      <w:pPr>
        <w:pStyle w:val="Heading1"/>
      </w:pPr>
      <w:r>
        <w:t xml:space="preserve">12. Asignación de capital</w:t>
      </w:r>
    </w:p>
    <w:p>
      <w:pPr>
        <w:pStyle w:val="Confianza"/>
        <w:spacing w:after="100"/>
      </w:pPr>
      <w:r>
        <w:t xml:space="preserve">Confianza: Alta</w:t>
      </w:r>
    </w:p>
    <w:p>
      <w:pPr>
        <w:spacing w:after="100"/>
      </w:pPr>
      <w:r>
        <w:t xml:space="preserve">Dividendo trimestral pequeño y creciente: 0,025 USD por acción desde nov-23, 0,0375 desde nov-24 y 0,0625 desde nov-25 (66,6 M USD pagados en 2025, un 5 % del beneficio neto) [1]. Programa de recompra de hasta 3.000 M USD aprobado el 29-nov-23 y vigente hasta el 31-dic-27 [4, 20]; solo se ha usado una vez: 9,08 M de acciones por 599,9 M USD en el 1T24, amortizadas después; quedan 2.400 M disponibles [1]. En el 2T26 la dirección dijo que mira las recompras de forma oportunista y que primero invierte en sí misma (capex e I+D) y luego en compras [23]. La guía de capex de 2026 es del ~4 % de las ventas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E&amp;I Engineering y Powerbar Gulf (cuadros eléctricos, busway y módulos de potencia; Irlanda, Reino Unido, EAU,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1.168,7 M USD en caja (bonos garantizados de 850 M al 4,125 %) y 23,1 M de acciones (601,1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~11x el EBITDA de 2022 con 18 M de sinergias [17]. El earn-out de hasta 200 M no se pagó: E&amp;I no alcanzó el EBITDA objetivo de 2022 [2]. Sin deterioro de fondo de comercio en los 10-K leídos.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CoolTera (refrigeración líquida, 4T23) y otras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 caja total pagada por compras en 2023; el precio de CoolTera no se publicó por separado [1, 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Great Lakes Data Racks &amp; Cabinets (racks y armarios; EE. UU. y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~11,5x el EBITDA esperado de 2026 con sinergias [19]; valoración cerrada sin ajustes relevantes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(servicios de lavado, purga y filtrado de circuitos de refrigeración líquida; Houston)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(1.003,5 M) + earn-out de hasta 250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~10,0x el EBITDA esperado de 2026 con sinergias de costes [18]. El earn-out registrado sube a 206,1 M a jun-26, con 62 M de pérdida en el 1S26: va mejor de lo previsto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BMarko Structures (estructuras), Strategic Thermal Labs (refrigeración directa al chip) y ThermoKey (intercambio y disipación de calor,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278,1 M USD en caja + 28,5 M contingentes + 29,9 M otros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Cerradas en abr-jun 26; contingente adicional de hasta 35 M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UtilityInnovation Group (microrredes y control de potencia detrás del contador), pendiente de cierre en el 4T26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al cierre + earn-out de hasta 1.150 M USD en dos tramos ligados a EBITDA a 12 y 24 meses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~13x el EBITDA esperado de UIG en 2027 (menor si se paga todo el earn-out, según Vertiv)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 Environmental Services (servicios de fluidos y pruebas de carga en EMEA), anunciada el 24-sep-26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no publicado [15].</w:t>
            </w:r>
          </w:p>
        </w:tc>
      </w:tr>
    </w:tbl>
    <w:p>
      <w:pPr>
        <w:spacing w:after="160" w:before="0"/>
      </w:pPr>
    </w:p>
    <w:p>
      <w:pPr>
        <w:spacing w:after="100"/>
      </w:pPr>
      <w:r>
        <w:t xml:space="preserve">De 2020 a 2025 Vertiv generó 3.807 M USD de flujo libre y destinó 2.400 M a compras, 600 M a recompras y 129 M a dividendos. La recompra fue la mejor decisión: 9,08 M de acciones a Platinum Equity por 599,9 M en el 1T24, unos 66 USD por acción frente a los 253,14 de hoy [1, 20]. Las compras dan resultados mixtos: E&amp;I (11x) no alcanzó el EBITDA del earn-out, aunque sin deterioros [2]; PurgeRite va mejor de lo previsto (su earn-out sube a 206,1 M) [4]. El ROIC incremental del 48,4 % avala el conjunto. Lo que cambia es el ritmo: desde diciembre de 2025 ha cerrado o firmado seis compras (PurgeRite, BMarko, Strategic Thermal Labs, ThermoKey, UIG y KES) por unos 2.920 M en caja más hasta 1.150 M contingentes de UIG, a 10-13x el EBITDA [14, 18]. La dilución es baja: 386,2 M de acciones diluidas en 2023 frente a 393,2 M hoy. Veredicto: buen asignador hasta ahora, con un riesgo creciente de compras en serie en la parte alta del ciclo.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Giordano Albertazzi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Trabaja en Emerson Network Power y Vertiv desde 1998. Fue presidente de EMEA (2016-2022), presidente de Américas y COO en 2022, y es CEO desde el 1-ene-2023 [28, 72]. Con él al frente, las ventas pasaron de 5.692 M USD en 2022 a 10.230 M en 2025, el BO ajustado de 439 M a 2.090 M y el FCF ajustado de -260 M a 1.887 M [7, 70]. Su 0,42 % es casi todo opciones: 1,46 M opciones ejercitables y 166.101 acciones a 15-abr-2026. No vendió en 12 meses y donó 118.523 acciones en septiembre de 2026 [28, 67].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Chamberlin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10-nov-2025 desde Wabtec, donde fue CFO del negocio de transporte (2022-2025) y del de operaciones e ingeniería (2019-2022); antes estuvo en GE de 2005 a 2019 [28, 61]. Sustituye a David Fallon, que se retiró «por motivos familiares». Aún no tiene historial medible en Vertiv; tenía 5.657 acciones (menos del 0,01 %)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M. Cote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presidente ejecutivo desde la fusión con su SPAC (GSAH) en febrero de 2020; antes fue presidente y CEO de Honeywell de 2002 a 2017 [28]. No es un independiente: preside el consejo y las sesiones de los independientes, y trata a diario con la dirección [28]. También es presidente ejecutivo de GPGI y de Resolute Holdings. Vendió 40.000 acciones (10,2 M USD) en febrero de 2026 [67].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Anand Sanghi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Américas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Trabaja en Emerson Network Power y Vertiv desde 2001. Fue presidente de Asia (2017-2021) y de Australia, Nueva Zelanda, Sudeste Asiático e India (2021-2023) [28]. El comité de remuneración llama a Américas el principal motor de crecimiento: el bonus de Sanghi en 2025 fue el 257 % del objetivo, por encima del máximo del plan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Scott Armul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producto y tecnología (CPTO)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Está en la compañía desde 2009. Dirigió DC Power, las cuentas estratégicas globales y, en 2025, la cartera global y las unidades de negocio. Es CPTO desde el 1-ene-2026 y lleva la I+D (442 M USD, el 4,3 % de las ventas en 2025) [28].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4.750-4.800 M USD; BO ajustado 565-585 M; BPA ajustado 1,01-1,06 USD (24-feb-2021) [68]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4.998 M; BO ajustado 471 M; FCF 136 M [69]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5.500-5.800 M; BO ajustado 500-550 M; FCF 125-175 M (23-feb-2022) [69]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5.692 M; BO ajustado 439 M; FCF ajustado -260 M; la inflación de materiales y fletes hundió el margen y la caja [70]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6.450-6.600 M; BO ajustado 750-800 M; FCF ajustado 300-400 M (22-feb-2023)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6.863 M; BO ajustado 1.054 M; FCF ajustado 778 M [26]. La guía de BO ajustado se elevó hasta 1.035-1.045 M en la Investor Conference del 29-nov-2023 [20]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7.515-7.655 M; BO ajustado 1.275-1.325 M; FCF ajustado 800-850 M (21-feb-2024) [26]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8.012 M; BO ajustado 1.552 M; FCF ajustado 1.135 M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9.125-9.275 M; BO ajustado 1.910-1.960 M; FCF ajustado 1.275-1.325 M (12-feb-2025)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10.230 M; BO ajustado 2.090 M; FCF ajustado 1.887 M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2024-2029 (día del inversor, nov-2024)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las ventas del 12-14 % anual en 2024-2029 y margen operativo ajustado del 25 % en 2029 [71]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crecimiento orgánico del 26 % y margen ajustado del 20,4 % en 2025 [7, 28]; la guía de 2026, elevada en julio, apunta a 14.000 M de ventas y un crecimiento orgánico del 31 %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incumplió en 2021 y 2022: la inflación de costes dejó el BO ajustado en 471 M y 439 M frente a guías de 565-585 M y 500-550 M, y el FCF de 2022 en -260 M [68, 69, 70]. De ahí nace la demanda colectiva aún pendiente. Desde 2023, con Albertazzi de CEO, la guía inicial se ha batido tres años seguidos; en 2025, las ventas superaron en un 11 % el punto medio y el FCF en un 45 % [7, 11]: la guía es conservadora. El equipo es estable y de la casa (Sanghi, Armul, Gill, Karlborg). El único relevo, el del CFO en noviembre de 2025, fue ordenado: Fallon sigue de consultor hasta fin de 2026 [60, 61]. El proxy no describe un plan de sucesión del CEO; la de 2023 se anunció con tres meses de antelación [72].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M. Cote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(Executive Chairman)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el consejo y dirige las sesiones de los independientes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Giordano Albertazzi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J. DeAngelo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van Dokkum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Roger Fradin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Jakki L. Haussler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Jacob Kotzubei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(copresidente de Platinum Equity)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Louie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(managing director de Platinum Equity)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Krishna Mikkilineni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comisión asignada en el proxy (candidato nuevo)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 L. Monser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Steven S. Reinemund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(presidente, experto financiero);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 (ICFR efectivo a 31-dic-25)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128,17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29,95 M acciones a 31-mar-2026, según el 13G/A del 24-abr-2026; tenía el 5,6 % (21,31 M) en el 13G/A de abril de 2025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28,64 M acciones a 31-mar-2026 (13G del 30-abr-2026) tras la reorganización de Vanguard: The Vanguard Group declaró el 10,0 % (38,20 M) a 31-jul-2025 y el 0 % a 13-mar-2026 [62, 64,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(20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4,21 M acciones a 15-abr-2026, de ellas 3,48 M en opciones ejercitables; solo 0,73 M son acciones en propiedad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Platinum Equity (VPE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accionista de control (capital riesgo)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20 M acciones el 8-ago-2023 a 34,91 USD y bajó al 4,7 % (18,07 M) [66, 73]. No figura en el proxy de 2026, donde Kotzubei y Louie solo tienen opciones [28]; la fecha de la salida total no consta en EDGAR (por debajo del 5 % no hay obligación de declarar)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Liang (CTO y EVP)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Roger Fradin (consejero) — 20 operaciones agrupadas en el mes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Steven S. Reinemund (consejero) — 18 operaciones agrupadas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M. Cote (presidente ejecutivo) — 8 operaciones agrupadas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Joseph van Dokkum (consejero) — ejercicio de opciones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Anders Karlborg (EVP Fabricación) — ejercicio de opciones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Edward L. Monser (consejero) — plan 10b5-1, ejercicio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77.294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 L. Monser (consejero) — plan 10b5-1, ejercicio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18,31 M USD en 2025, frente a 12,28 M en 2024: 1,25 M de salario, 4,0 M de bonus y 13,04 M en opciones; la ratio frente al empleado mediano es de 658 a 1 [28]. El bonus mide BO y FCF ajustados (objetivos de 2.050 M y 1.400 M; logrados 2.090 M y 1.888 M) y se pagó al 205 % del objetivo, por encima del máximo del 200 %, por decisión del comité [28]. El largo plazo son opciones sin métrica (ni TSR relativo ni ROIC) y bonos de acciones ligados al BO ajustado de 2023-2025 y, desde 2026, al BPA (6,25, 8,15 y 10,55 USD en 2026-2028), sin ajustar por compras ni recompras: premian crecer, no el rendimiento del capital [28]. Hay clawback sin culpa, cambio de control con doble condición y ningún gross-up [28]. El say-on-pay sacó un 95,2 %, un 87,2 % y un 88,3 % a favor en 2024-2026 [56, 57, 58].</w:t>
      </w:r>
    </w:p>
    <w:p>
      <w:pPr>
        <w:pStyle w:val="Heading2"/>
      </w:pPr>
      <w:r>
        <w:t xml:space="preserve">Operaciones vinculadas, estructura de control y defensas</w:t>
      </w:r>
    </w:p>
    <w:p>
      <w:pPr>
        <w:spacing w:after="100"/>
      </w:pPr>
      <w:r>
        <w:t xml:space="preserve">Vertiv no tiene accionista de control desde agosto de 2023, cuando Platinum Equity bajó del 5 % [66]. Hay una sola clase de acciones con un voto cada una, el consejo se elige cada año y no hay píldora venenosa [28]. Dos rasgos pesan en contra del minoritario. Los consejeros se eligen por mayoría simple de votos (plurality) y no consta una política de dimisión: Jacob Kotzubei sigue en el consejo pese a que en 2025 tuvo más votos en contra (53,8 %) que a favor, y Joseph van Dokkum recibió un 45,8 % de abstenciones en 2026 [56, 57]. Además, no hay consejero independiente coordinador: el presidente ejecutivo, Dave Cote, dirige las sesiones de los independientes [28]. Los dos consejeros de Platinum figuran como independientes. Robin Washington dimitió en marzo de 2025 [59]. No hay operaciones vinculadas relevantes [28].</w:t>
      </w:r>
    </w:p>
    <w:p>
      <w:pPr>
        <w:pStyle w:val="Heading2"/>
      </w:pPr>
      <w:r>
        <w:t xml:space="preserve">Señales de alerta</w:t>
      </w:r>
    </w:p>
    <w:p>
      <w:pPr>
        <w:pStyle w:val="ListParagraph"/>
        <w:numPr>
          <w:ilvl w:val="0"/>
          <w:numId w:val="2"/>
        </w:numPr>
        <w:spacing w:after="60"/>
      </w:pPr>
      <w:r>
        <w:t xml:space="preserve">Demanda colectiva de valores (In re Vertiv Holdings Co Securities Litigation, SDNY, 22-cv-3572) por las declaraciones sobre inflación y precios de 2021-22: los cargos de la Securities Act se desestimaron el 31-ene-2024, pero la moción contra los de la Exchange Act (10b y 20a) sigue pendiente a 30-jun-2026. Dos derivadas en Delaware (Sullivan y Hanna) están consolidadas y suspendidas [4].</w:t>
      </w:r>
    </w:p>
    <w:p>
      <w:pPr>
        <w:pStyle w:val="ListParagraph"/>
        <w:numPr>
          <w:ilvl w:val="0"/>
          <w:numId w:val="2"/>
        </w:numPr>
        <w:spacing w:after="60"/>
      </w:pPr>
      <w:r>
        <w:t xml:space="preserve">La SEC abrió una investigación en noviembre de 2023 (citación más petición de la Fiscalía del SDNY). El 30-dic-2025 la SEC comunicó que la cerraba sin proponer acción contra la compañía [1].</w:t>
      </w:r>
    </w:p>
    <w:p>
      <w:pPr>
        <w:pStyle w:val="ListParagraph"/>
        <w:numPr>
          <w:ilvl w:val="0"/>
          <w:numId w:val="2"/>
        </w:numPr>
        <w:spacing w:after="60"/>
      </w:pPr>
      <w:r>
        <w:t xml:space="preserve">Cambio de director financiero: David Fallon anunció su retirada el 21-may-2025 «por motivos familiares» y Craig Chamberlin (procedente de Wabtec) entró el 10-nov-2025; Fallon sigue de consultor hasta fin de 2026 [60, 61]. En abril de 2024 ya había cambiado el director de contabilidad (Eric Johnson sustituye a Scott Cripps).</w:t>
      </w:r>
    </w:p>
    <w:p>
      <w:pPr>
        <w:pStyle w:val="ListParagraph"/>
        <w:numPr>
          <w:ilvl w:val="0"/>
          <w:numId w:val="2"/>
        </w:numPr>
        <w:spacing w:after="60"/>
      </w:pPr>
      <w:r>
        <w:t xml:space="preserve">Voto de castigo a consejeros: 53,8 % de votos en contra de Kotzubei en 2025, sin efecto por el sistema de mayoría simple; 45,8 % de abstenciones a van Dokkum en 2026 [56, 57].</w:t>
      </w:r>
    </w:p>
    <w:p>
      <w:pPr>
        <w:pStyle w:val="ListParagraph"/>
        <w:numPr>
          <w:ilvl w:val="0"/>
          <w:numId w:val="2"/>
        </w:numPr>
        <w:spacing w:after="60"/>
      </w:pPr>
      <w:r>
        <w:t xml:space="preserve">Ventas de consejeros por 128 M USD en 12 meses, concentradas en febrero-marzo de 2026 tras los resultados de 2025 (Fradin 51,4 M; Reinemund 25,4 M; Monser 22,9 M; Cote 10,2 M) y sin ninguna compra en el mercado [67].</w:t>
      </w:r>
    </w:p>
    <w:p>
      <w:pPr>
        <w:pStyle w:val="ListParagraph"/>
        <w:numPr>
          <w:ilvl w:val="0"/>
          <w:numId w:val="2"/>
        </w:numPr>
        <w:spacing w:after="60"/>
      </w:pPr>
      <w:r>
        <w:t xml:space="preserve">El bonus del CEO y del presidente de Américas superó el máximo del plan (200 %) por decisión discrecional del comité [28].</w:t>
      </w:r>
    </w:p>
    <w:p>
      <w:pPr>
        <w:pStyle w:val="ListParagraph"/>
        <w:numPr>
          <w:ilvl w:val="0"/>
          <w:numId w:val="2"/>
        </w:numPr>
        <w:spacing w:after="60"/>
      </w:pPr>
      <w:r>
        <w:t xml:space="preserve">El auditor, EY, lo es desde 2016 del negocio y desde 2020 de la cotizada: no hay rotación de auditor. La compañía declara haber tenido debilidades materiales de control interno en el pasado; el control fue eficaz a 31-dic-2025 [1,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29 de julio de 2026 Vertiv subió por segunda vez la guía de 2026: ventas de 13.800-14.200 M USD (crecimiento orgánico del 30-32 %), beneficio operativo ajustado de 3.285-3.365 M (margen del 23,3-24,3 %), BPA ajustado de 6,65-6,75 USD (GAAP 5,82-5,92) y flujo libre ajustado de 2.400-2.600 M [5]. En febrero partía de 13.250-13.750 M y 5,97-6,07 USD [7], y en abril la llevó a 13.500-14.000 M y 6,30-6,40 USD [6]. Para el 3T26 guía 3.650-3.850 M de ventas y 1,77-1,83 USD de BPA ajustado [5]. El BPA ajustado excluye sobre todo la amortización de intangibles (306,8 M en 2026, 0,78 USD por acción) y la contraprestación contingente de PurgeRite (62,0 M) [5]. No hay un plan a medio plazo publicado más reciente en los documentos leídos.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30 analistas [76, 77]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236,00 – 427,00</w:t>
            </w:r>
          </w:p>
        </w:tc>
      </w:tr>
    </w:tbl>
    <w:p>
      <w:pPr>
        <w:spacing w:after="160" w:before="0"/>
      </w:pPr>
    </w:p>
    <w:p>
      <w:pPr>
        <w:pStyle w:val="Heading2"/>
      </w:pPr>
      <w:r>
        <w:t xml:space="preserve">Revisiones de estimaciones</w:t>
      </w:r>
    </w:p>
    <w:p>
      <w:pPr>
        <w:spacing w:after="100"/>
      </w:pPr>
      <w:r>
        <w:t xml:space="preserve">Las ventas del consenso coinciden en MarketScreener y Yahoo (14.008-14.010 M en 2026 y 18.267-18.270 M en 2027) [76, 79]. El BPA no: Yahoo da 6,74 USD en 2026 y 9,18 en 2027, ajustado («normalized») [79], y MarketScreener 6,04 y 8,44, una base mixta: su 2025 real (3,41) es el GAAP, pero su 2026 queda entre la guía GAAP (5,87) y la ajustada (6,70) [5, 76]. A tres meses, el BPA ajustado de 2026 subió de 6,49 a 6,74 USD (+3,9 %) y el de 2027 de 8,81 a 9,18 (+4,2 %), con dos revisiones al alza y una a la baja (2027) en 30 días [79]. Lo explica la subida de la guía del 29 de julio [5]. Contraste: MarketBeat cuenta 29 analistas (24 de compra, 4 de mantener y 1 de venta), con un precio objetivo de 348,24 USD (188-500) [80]. Stock Analysis y MarketScreener usan los mismos datos de S&amp;P Global, así que no son independientes [77, 78]. La revisión a 12 meses no está disponible gratis (ver huecos). El EBITDA de MarketScreener se construye desde el beneficio operativo ajustado (su EBIT 2026 de 3.334 M cuadra con la guía de 3.325 M) más la depreciación: excluye la amortización de intangibles —que de todos modos no entra en el EBITDA—, la contraprestación contingente, la reestructuración y los costes de fusiones; en 2026 esas tres partidas suman 61,3 M, el 0,4 % de las ventas guiadas [5, 76]. No excluye la remuneración en acciones.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bl>
    <w:p>
      <w:pPr>
        <w:spacing w:after="160" w:before="0"/>
      </w:pPr>
    </w:p>
    <w:p>
      <w:pPr>
        <w:spacing w:after="100"/>
      </w:pPr>
      <w:r>
        <w:t xml:space="preserve">Vertiv ha multiplicado al S&amp;P 500 en todos los plazos: +56,4 % en el año frente a +15,1 % y 85,6 % anual a tres años frente a 23,4 % [74]. El precio es el cierre del 6 de octubre de 2026 (la sesión del 7 seguía abierta a la fecha de corte) [74]. La acción cotiza en la NYSE como VRT desde febrero de 2020; antes era la SPAC GS Acquisition Holdings (GSAH), por eso no hay rentabilidad a 10 años y 2020 incluye dos meses de SPAC [74]. El máximo de cierre fue de 376,23 USD el 14 de mayo de 2026; el 29 de julio, día de los resultados del 2T26, cayó un 17,3 % (de 269,56 a 223,04 USD) pese a subir la guía, con unas ventas que la empresa atribuyó a desfases por congestión de suministro [5, 74]. Hoy está un 33 % por debajo del máximo de 52 semanas. Beta de 2,08 (60 meses frente al SPY) y volatilidad del 65,4 % [74]; la beta de Stock Analysis es 2,05 [75]. Posición corta: 14,15 M de acciones, el 3,68 % del capital, 2,72 días de volumen [75].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38,9x el EBITDA de los últimos 12 meses, Vertiv cotiza un 85 % por encima de la media de sus cierres de 2020-2025 (21,2x) y por encima del máximo de esa serie (30,3x en 2025). El PER LTM (74,0x) está algo por encima de la media de 61,6x, distorsionada por los beneficios deprimidos por los warrants. Parte de la prima es estructural: la empresa de 2020-2022 tenía un margen EBIT del 4-5 % y un ROIC del 3-7 %, y la de hoy un 17,9 % y un 28,9 %, así que los múltiplos de entonces eran los de una reestructuración. Sobre el EBITDA de los próximos 12 meses el múltiplo baja a 22,4x, porque el EBITDA crece más de un 30 %. La prima depende de que ese crecimiento no se interrumpa [74].</w:t>
      </w:r>
    </w:p>
    <w:p>
      <w:pPr>
        <w:pStyle w:val="Heading1"/>
      </w:pPr>
      <w:r>
        <w:t xml:space="preserve">18. Comparables cotizados</w:t>
      </w:r>
    </w:p>
    <w:p>
      <w:pPr>
        <w:pStyle w:val="Confianza"/>
        <w:spacing w:after="100"/>
      </w:pPr>
      <w:r>
        <w:t xml:space="preserve">Confianza: Media</w:t>
      </w:r>
    </w:p>
    <w:p>
      <w:pPr>
        <w:spacing w:after="100"/>
      </w:pPr>
      <w:r>
        <w:t xml:space="preserve">Ocho fabricantes de equipos eléctricos y térmicos que venden a centros de datos y crecen con ellos: Schneider, Eaton, ABB y nVent en energía crítica (SAI, cuadros, distribución, armarios), Trane, Johnson Controls y Modine en refrigeración, y Hubbell en material eléctrico y de red. Fuera: Carrier y Daikin, cuyo negocio es sobre todo climatización residencial y comercial, con poca exposición a centros de datos (Daikin, además, en yenes y con ejercicio a marzo). Vertiv crece más que todos ellos, así que ningún comparable es puro. Datos de MarketScreener a 7-oct-2026 [83, 84, 85, 86, 87, 88, 89, 90] y ROIC de Stock Analysis [91, 92, 93, 94, 95, 96, 97, 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Hubbell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19,4x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 / 23,3x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 / 27,1x / 29,1x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 / 4,8x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16,1 + 0,13 × crecimiento; R² = 0,11. El crecimiento explica poco los múltiplos de estos comparables (R² &lt; 0,3): la regresión no se usa en la valoración.</w:t>
      </w:r>
    </w:p>
    <w:p>
      <w:pPr>
        <w:spacing w:after="100"/>
      </w:pPr>
      <w:r>
        <w:t xml:space="preserve">Vertiv es la que más crece (37,9 % de ventas NTM frente a una mediana del 16,2 %) y la más rentable (ROIC del 28,9 % frente al 13,8 %), y cotiza con una prima moderada: 22,4x el EBITDA NTM frente a 19,4x y 32,1x el PER NTM frente a 27,1x. Por crecimiento, la prima parece pequeña; el problema es que el propio grupo cotiza en máximos por la misma tesis (Eaton a 21,8x, nVent a 20,7x). La regresión múltiplo-crecimiento no sirve (R² = 0,11) y no se usa. Usamos las medianas de EV/EBITDA y PER NTM, que dan 218,22 y 213,19 USD: un 14,8 % por debajo del precio de media. nVent (crecimiento del 33,6 %, 20,7x) es el comparable más cercano. Ojo con dos distorsiones: los LTM de Eaton y Hubbell están inflados por compras que aún no aportan EBITDA, y el PER NTM de ABB está rebajado por una plusvalía extraordinaria en 2026e [84, 85, 88]. Método: valores de MarketScreener a 6/7-oct-2026, LTM = 50 % 2025 + 50 % 2026e y NTM = 25 % 2026e + 75 % 2027e (ajustado en Modine y Johnson Controls por sus ejercicios) [83, 84, 85, 86, 87, 88, 89, 90].</w:t>
      </w:r>
    </w:p>
    <w:p>
      <w:pPr>
        <w:pStyle w:val="Heading1"/>
      </w:pPr>
      <w:r>
        <w:t xml:space="preserve">19. Transacciones precedentes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(fusión con SPAC)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GS Acquisition Holdings (SPAC) e inversores PIPE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pro forma de ≈ 5.300 M USD a 10 USD por acción; 8,9x el EBITDA ajustado pro forma de 2020e (≈ 595 M). EV/ventas sobre las ≈ 4.300 M de ventas de 2018 (cálculo propio). No fue una compra del 100 %: Platinum Equity conservó ≈ 38 % [99].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E&amp;I Engineering / Powerbar Gulf</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1.170 M en caja y ≈ 630 M en acciones, más hasta 200 M de earn-out. «About 11x» el EBITDA de 2022 (150 M) sobre 1.900 M (con 100 M de earn-out) e incluyendo 18 M de sinergias. EV/ventas sobre ≈ 460 M de 2021e (cálculo propio)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Trachte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«Effective» ≈ 12x el EBITDA ajustado de 2024e (sin definir; probablemente neto de beneficios fiscales). EV/ventas sobre ≈ 250 M de 2024e (cálculo propio) [100].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Motivair (75 %)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850 M USD en caja por el 75 %, con el valor de un tax step-up incluido; el 25 % restante se compra en 2028 sin precio publicado. 1.133 M es el 100 % implícito (cálculo propio). Solo da un múltiplo cualitativo: «mid-single digit» veces las ventas proyectadas de 2025 [101].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Electrical Products Group (Avail Infrastructure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«Effective» ≈ 12,5x el EBITDA de los 12 meses anteriores. EV/ventas sobre ≈ 375 M de los 12 meses a feb-2025 (cálculo propio). Mezcla centros de datos y redes [102].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2025e publicado de 110 M y ventas de ≈ 378 M (12 meses a feb-2025); los dos múltiplos son cálculo propio, Eaton no los publica. Eaton asumió además 240 M de bonus de retención [103].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Great Lakes Data Racks &amp; Cabinets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11,5x el EBITDA esperado de 2026, con sinergias de coste y de venta cruzada [19].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1.000 M en caja más hasta 250 M de earn-out ligado a 2026; ≈ 10,0x el EBITDA de 2026e con sinergias de coste (menos si se paga el earn-out) [18]. El 10-Q da una contraprestación bruta de 1.152,7 M, con 139,2 M de contingente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22,5x el EBITDA ajustado de 2026e, sin mención de sinergias. Ventas previstas de 1.700 M en 2026, 1.500 M de ellas en refrigeración líquida (EV/ventas: cálculo propio) [104].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UtilityInnovation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1.450 M en caja al cierre, más hasta 1.150 M de earn-out ligado al EBITDA de 12 y 24 meses; ≈ 13x el EBITDA esperado de 2027 de UIG, menos si se paga el earn-out. Cierre previsto en el 4T26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 (11,0x – 12,7x)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71,28 – 82,36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activos de refrigeración y energía para centros de datos se pagan entre 10x y 13x el EBITDA del año siguiente, casi siempre con sinergias o earn-outs que rebajan el múltiplo sobre el papel [14, 17, 18, 19, 100, 102]. La excepción es Boyd Thermal, refrigeración líquida pura, a 22,5x el EBITDA de 2026e [104]. Vertiv compra a 10-13x mientras cotiza a ≈ 28x el EBITDA de 2026e del consenso (cálculo propio con el puente). Con ≈ 98.000 M USD de valor empresa no hay comprador industrial plausible: estos múltiplos sirven para juzgar sus compras, no como valor de control de Vertiv. La única operación sobre toda la compañía es la SPAC de 2019 (8,9x el EBITDA de 2020e), de otra época [99].</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 queda fijo en la guía de 14.000 M USD (+36,9 %; 31 % orgánico), con dos trimestres publicados y la guía subida dos veces [5, 6, 7]. Para 2027 y 2028 proyectamos un 28 % y un 20 %, algo por debajo del consenso (30,4 % y 21,7 %) [76], porque no incluimos UtilityInnovation Group, todavía sin cerrar [14]. Después, una desaceleración gradual: 12 % en 2029, 9 % en 2030 y del 7 % al 4 % hasta 2035. Con ello, las ventas de 2030 (26.261 M) equivalen a un 22 % del mercado de infraestructura física que Dell'Oro prevé para ese año (120.000 M USD) [33, 53], cerca de la cuota que hoy le atribuimos. La serie histórica creció al 18,5 % anual en 2020-2025, impulsada por una cartera que se duplicó en 2025 [1, 7].</w:t>
      </w:r>
    </w:p>
    <w:p>
      <w:pPr>
        <w:keepNext/>
        <w:spacing w:after="100"/>
      </w:pPr>
      <w:r>
        <w:rPr>
          <w:b/>
          <w:bCs/>
        </w:rPr>
        <w:t xml:space="preserve">Márgenes.</w:t>
      </w:r>
    </w:p>
    <w:p>
      <w:pPr>
        <w:spacing w:after="100"/>
      </w:pPr>
      <w:r>
        <w:t xml:space="preserve">Margen EBITDA en base GAAP: 20,9 % en 2025. Para 2026, 24,2 %: la guía de beneficio operativo ajustado (23,3-24,3 % de las ventas) más la depreciación y menos la contraprestación contingente y la reestructuración [5]. 2027 y 2028 al 25,8 % y al 26,6 %, el consenso ajustado menos los 0,4 puntos de diferencia de base [76]. A largo plazo, 26 %: entre el margen de Electrical Americas de Eaton (29,9 %) y el de Energy Management de Schneider (21,8 %) [46, 47], y en línea con el objetivo de margen operativo ajustado del 25 % para 2029 del día del inversor de 2024 [71], que Vertiv ya roza en 2026. No suponemos más mejora porque Eaton (Boyd Thermal), Schneider (Motivair) y Modine entran en refrigeración, su terreno más rentable [51, 101, 104].</w:t>
      </w:r>
    </w:p>
    <w:p>
      <w:pPr>
        <w:keepNext/>
        <w:spacing w:after="100"/>
      </w:pPr>
      <w:r>
        <w:rPr>
          <w:b/>
          <w:bCs/>
        </w:rPr>
        <w:t xml:space="preserve">Inversión y circulante.</w:t>
      </w:r>
    </w:p>
    <w:p>
      <w:pPr>
        <w:spacing w:after="100"/>
      </w:pPr>
      <w:r>
        <w:t xml:space="preserve">Capex del 4,0 % de las ventas en 2026 (guía; 4,9 % en el 1S26) y 2027, bajando al 3,4 % en 2032-2035, frente al 2,2 % de 2025: la ampliación de capacidad en Carolina del Sur, Pensilvania, Ohio y Mexicali no es repetible a ese ritmo [5, 22]. Amortizaciones del 3,2 % en 2026 (306,8 M de intangibles más depreciación) [5], con suelo del 2,8 % y subida al 3,3 % a medida que el capex nuevo se deprecia; en 2035 el capex (3,4 %) supera la amortización. Circulante comercial (con anticipos) del 5,5 % de las ventas en 2026: los ingresos diferidos se duplicaron hasta 3.633,7 M en junio [4]. Lo normalizamos al 11 % en 2030, entre el 9,7 % de 2025 y el 15,3 % de 2024: los anticipos de los grandes proyectos de IA no crecerán siempre más que las ventas. Tipo impositivo del 23 % (23,5 % efectivo en 2025).</w:t>
      </w:r>
    </w:p>
    <w:p>
      <w:pPr>
        <w:keepNext/>
        <w:spacing w:after="100"/>
      </w:pPr>
      <w:r>
        <w:rPr>
          <w:b/>
          <w:bCs/>
        </w:rPr>
        <w:t xml:space="preserve">Coste del capital.</w:t>
      </w:r>
    </w:p>
    <w:p>
      <w:pPr>
        <w:spacing w:after="100"/>
      </w:pPr>
      <w:r>
        <w:t xml:space="preserve">Todo en USD. Tasa libre: Tesoro a 10 años, 5,31 % el 5-oct-2026 [81]. Prima de mercado: la implícita de Damodaran a 1-oct-2026, 4,20 %, calculada con un bono del 5,29 % [105]. Beta de 1,50, entre la del sector de equipos eléctricos de EE. UU. (1,25 apalancada; 1,19 sin deuda y corregida por caja) [106] y la propia de cinco años (2,08 en bruto, 1,72 ajustada a la Blume) [74, 75]. La propia refleja un ciclo de inversión concentrado en pocos clientes y una caída del 70,2 % en 2021-2022; la sectorial infravalora esa ciclicidad. Coste de la deuda antes de impuestos del 5,4 %, entre los cupones de los bonos de 2036-2066 (4,85-5,95 %) [13]. Peso de la deuda del 3 % (2.967 M frente a 99.535 M de capitalización). Coste de los fondos propios del 11,61 % y WACC del 11,39 %, sin prima adicional.</w:t>
      </w:r>
    </w:p>
    <w:p>
      <w:pPr>
        <w:keepNext/>
        <w:spacing w:after="100"/>
      </w:pPr>
      <w:r>
        <w:rPr>
          <w:b/>
          <w:bCs/>
        </w:rPr>
        <w:t xml:space="preserve">Valor terminal.</w:t>
      </w:r>
    </w:p>
    <w:p>
      <w:pPr>
        <w:spacing w:after="100"/>
      </w:pPr>
      <w:r>
        <w:t xml:space="preserve">Crecimiento perpetuo del 3,0 % en USD, por debajo de la tasa libre nominal (5,31 %) y coherente con una inflación de largo plazo del 2-2,5 % y un crecimiento real moderado de la demanda de centros de datos. Múltiplo de salida de 12x el EBITDA, la mediana de las transacciones del sector (12,0x) y por debajo de la de los comparables hoy (19,4x NTM, con un crecimiento del 16 %): en 2035 Vertiv crecerá al 4 %. Usamos la media de los dos métodos porque divergen: Gordon implica 8,0x y el múltiplo implica un crecimiento perpetuo del 5,65 %. El valor terminal pesa el 58 %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 (hoy: 20,0 %)</w:t>
            </w:r>
          </w:p>
        </w:tc>
      </w:tr>
    </w:tbl>
    <w:p>
      <w:pPr>
        <w:spacing w:after="160" w:before="0"/>
      </w:pPr>
    </w:p>
    <w:p>
      <w:pPr>
        <w:spacing w:after="100"/>
      </w:pPr>
      <w:r>
        <w:t xml:space="preserve">La proyección apenas necesita inversión neta de la amortización (reinversión acumulada de 4.068 M, el 9 % del NOPAT, con un capex bruto medio del 3,6 % de las ventas). En un negocio de activos ligeros, el crecimiento medio del 13,2 % tiene que salir de subir precios y de ganar volumen sin capital nuevo, y la prueba es el poder de precios y la cuota (21,9 % del mercado en 2030e, frente al 20,0 %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orgánico del 30-32 % (31 % en el punto medio), con el precio por encima de la inflación y «price-cost» positivo incluidos los aranceles [5, 21, 22]; el reparto entre volumen y precio es estimación propia (Vertiv no lo publica). Otros: compras de PurgeRite, Great Lakes y tres menores (5 de los 24 puntos del 2T26) y divisa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apoyado en la cartera de 15.000 M USD de dic-25, firme en su mayoría y a entregar en 12-18 meses [1, 7]; precio como en 2026. Sin UtilityInnovation Group, aún sin cerrar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con el mercado (Dell'Oro: +22 % anual hasta 2030) [33]; precio en torno a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ya por debajo del crecimiento previsto del mercado [33]; el precio no supone más poder que la inflación.</w:t>
            </w:r>
          </w:p>
        </w:tc>
      </w:tr>
    </w:tbl>
    <w:p>
      <w:pPr>
        <w:spacing w:after="160" w:before="0"/>
      </w:pPr>
    </w:p>
    <w:p>
      <w:pPr>
        <w:spacing w:after="100"/>
      </w:pPr>
      <w:r>
        <w:t xml:space="preserve">El base crece un 13,2 % anual, por debajo del 22 % que Dell'Oro prevé para el mercado hasta 2030 [33]: la cuota implícita en 2030e (21,9 %, ventas del grupo sobre el mercado) queda por debajo del 23 % de 2025 con el mismo cálculo [1, 33]. La prueba de cuota se hace en 2030e, último año con previsión del mercado. La reinversión es pequeña (9 % del NOPAT) porque los anticipos financian el circulante, pero no es un negocio sin capital: el capex supera la amortización y, si los anticipos se normalizan antes, la reinversión subirá. El poder de precios es del ciclo actual (precio por encima de la inflación con aranceles [21, 22]); en 2022 el margen bruto cayó al 28,4 % [2]. Lo que limita el crecimiento es el ciclo de inversión de los clientes, no la calidad.</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 (base: 10,6 %)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43,7 % (base: 26,0 %)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 (WACC: 11,4 %)</w:t>
            </w:r>
          </w:p>
        </w:tc>
      </w:tr>
    </w:tbl>
    <w:p>
      <w:pPr>
        <w:spacing w:after="160" w:before="0"/>
      </w:pPr>
    </w:p>
    <w:p>
      <w:pPr>
        <w:spacing w:after="100"/>
      </w:pPr>
      <w:r>
        <w:t xml:space="preserve">El DCF da 142,31 USD por acción, un 43,8 % por debajo del precio, con un 58 % del valor en el terminal. No es una cuestión de cifras a corto plazo: nuestras ventas de 2026-2028 coinciden con el consenso (0 %, −1,9 % y −3,2 %) y el EBITDA queda entre un 1,3 % y un 4,2 % por debajo. La diferencia está en lo que viene después y en la tasa. </w:t>
      </w:r>
      <w:r>
        <w:rPr>
          <w:b/>
        </w:rPr>
        <w:t xml:space="preserve">El DCF inverso</w:t>
      </w:r>
      <w:r>
        <w:t xml:space="preserve"> dice que, para valer 253,14 USD con nuestro WACC del 11,39 %, Vertiv tendría que crecer un 19,9 % anual de 2027 a 2035 (frente al 10,6 % de nuestro caso base), lo que llevaría sus ventas de 2035 a unos 71.700 M USD (estimación propia: 14.005 × 1,199⁹), más de la mitad de todo el mercado que Dell'Oro prevé para 2030 [33]. O tener un margen EBITDA del 43,7 %, muy por encima del mejor de su sector (Eaton, 29,9 %) [47]. O que el inversor se conforme con una rentabilidad del 6,8 % anual, solo 1,5 puntos por encima del Tesoro para una acción con beta de 2,08. Ni con un WACC del 10,4 % y un crecimiento perpetuo del 4 % (163,85 USD) se acerca al precio. El precio descuenta un ciclo de inversión en IA sin pausa durante una década.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hiperescaladores digieren en 2028 tres años de inversión récord, como ya hicieron en 2023 (−7 %) [42, 43, 44, 45]: las ventas de Vertiv caen un 16,5 % en 2028 y apenas crecen en 2029, con el margen 5 puntos por debajo ese año, como en 2009 (ventas de Emerson Network Power −15 %, resultado −29 %) [54] o 2022 (margen bruto del 33,7 % al 28,4 %) [2]. Después, Eaton, Schneider y Modine en refrigeración restan 1,5 puntos de crecimiento y de margen para siempre.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se cumple en 2026-2028 (ventas de 21.511 M en 2028, margen EBITDA del 26,6 %) y el crecimiento se modera hasta el 4 % en 2035 con un margen estable del 26 %, manteniendo una cuota de en torno al 20 % de un mercado que crece al 22 % hasta 2030 [53].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sostiene el gasto más allá de 2030 y Vertiv gana cuota con la refrigeración líquida, los servicios de fluidos (PurgeRite, KES) y la arquitectura de 800 V CC de NVIDIA [15, 18, 30]: crecimiento 5 puntos mayor cada año (33 % en 2027, 25 % en 2028), margen 2 puntos mayor (28 %) y un mercado que sigue pagando 18x el EBITDA de salida.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53,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157,71 USD (-37,7 %).</w:t>
      </w:r>
    </w:p>
    <w:p>
      <w:pPr>
        <w:spacing w:after="100"/>
      </w:pPr>
      <w:r>
        <w:t xml:space="preserve">La asimetría es muy desfavorable: el alcista gana un 6,0 % (268,33 USD) y el bajista pierde un 69,2 % (77,87 USD), una relación de 0,09x. El valor ponderado de los escenarios es de 157,71 USD. Que ni el alcista, con un 15,6 % de crecimiento medio anual hasta 2035 y un margen del 28 %, llegue holgadamente al precio dice que la cotización ya es un escenario alcista con una tasa de descuento menor. El bajista no es cosmético: una pausa de un año en el gasto de los hiperescaladores ya ocurrió en 2023, y la caída de ventas del 16,5 % es la de Emerson Network Power en 2009 [54]. Su impacto es menor de lo que parece porque el `perfil` lo limita a 2028-2029: si fuese permanente, el valor sería mucho más bajo.</w:t>
      </w:r>
    </w:p>
    <w:p>
      <w:pPr>
        <w:pStyle w:val="Heading1"/>
      </w:pPr>
      <w:r>
        <w:t xml:space="preserve">22. Suma de partes</w:t>
      </w:r>
    </w:p>
    <w:p>
      <w:pPr>
        <w:pStyle w:val="Confianza"/>
        <w:spacing w:after="100"/>
      </w:pPr>
      <w:r>
        <w:t xml:space="preserve">Confianza: Alta</w:t>
      </w:r>
    </w:p>
    <w:p>
      <w:pPr>
        <w:spacing w:after="100"/>
      </w:pPr>
      <w:r>
        <w:t xml:space="preserve">No aplica. Vertiv publica sus segmentos por región (Américas, Asia Pacífico y EMEA) y no por línea de producto: no hay ventas ni margen separados de energía, refrigeración y servicios con los que aplicar múltiplos distintos [1]. Las tres regiones venden lo mismo a los mismos clientes, con márgenes de segmento distintos (26,8 % en Américas, 11,0 % en Asia Pacífico y 20,7 % en EMEA en 2025) que reflejan la mezcla de centros de datos y no negocios con perfiles diferentes.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53,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168,18 USD (-33,6 % sobre 253,14).</w:t>
      </w:r>
    </w:p>
    <w:p>
      <w:pPr>
        <w:spacing w:after="100"/>
      </w:pPr>
      <w:r>
        <w:rPr>
          <w:b/>
        </w:rPr>
        <w:t xml:space="preserve">Puente</w:t>
      </w:r>
      <w:r>
        <w:t xml:space="preserve"> (10-Q del 2T26) [4]: deuda nominal de 2.967,2 M (850 de bonos garantizados al 4,125 % de 2028 y 2.100 de bonos de 2036-2066), caja e inversiones a corto de 3.110,6 M, pensiones netas de impuestos de 60,4 M (estimación propia sobre los 76,5 M de 2025) [1] y 234,6 M de contraprestación contingente, sobre todo el earn-out de PurgeRite. Los arrendamientos operativos (398,4 M) se quedan fuera porque el EBITDA de US GAAP ya descuenta su gasto; meterlos restaría ≈ 1 USD por acción. Fuera también la compra de UIG (1.450 M más hasta 1.150 M de earn-out) [14], que no está en el DCF.</w:t>
      </w:r>
    </w:p>
    <w:p>
      <w:pPr>
        <w:spacing w:after="100"/>
      </w:pPr>
      <w:r>
        <w:rPr>
          <w:b/>
        </w:rPr>
        <w:t xml:space="preserve">Pesos.</w:t>
      </w:r>
      <w:r>
        <w:t xml:space="preserve"> DCF 45 %, comparables 30 % y escenarios 25 %. Las transacciones (77,80 USD) no pesan: son compras pequeñas de empresas privadas a 10-13x con sinergias, y nadie va a comprar una compañía de 99.535 M. Los comparables pesan menos que el DCF porque todo el sector cotiza en máximos por la misma tesis de centros de datos: miden el precio relativo, no el absoluto. La dispersión es enorme (de 77,80 a 268,33 USD) y todos los métodos, salvo el escenario alcista, quedan por debajo del precio; solo el precio objetivo medio de los analistas (337,43 USD) [77] lo supera.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(32.3x) a mitad de camino hacia la mediana de 5 años (35.4x)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+61,9 %</w:t>
            </w:r>
          </w:p>
        </w:tc>
      </w:tr>
    </w:tbl>
    <w:p>
      <w:pPr>
        <w:spacing w:after="160" w:before="0"/>
      </w:pPr>
    </w:p>
    <w:p>
      <w:pPr>
        <w:spacing w:after="100"/>
      </w:pPr>
      <w:r>
        <w:rPr>
          <w:b/>
          <w:bCs/>
        </w:rPr>
        <w:t xml:space="preserve">Objetivo a 12 meses (ponderado):</w:t>
      </w:r>
      <w:r>
        <w:t xml:space="preserve"> 282,87 USD · rentabilidad +11,8 % (base +31,3 %) · señal Mantener.</w:t>
      </w:r>
    </w:p>
    <w:p>
      <w:pPr>
        <w:spacing w:after="100"/>
      </w:pPr>
      <w:r>
        <w:t xml:space="preserve">Para comparar, con la regla v2 (historia al cierre, mismo precio): 27,5x / 32,3x / 42,0x, 24,3 % Mantener. Decide la regla vigente (v3 con tope ×1,1; METODO-VIGENTE.md).</w:t>
      </w:r>
    </w:p>
    <w:p>
      <w:pPr>
        <w:keepNext/>
        <w:spacing w:after="100"/>
      </w:pPr>
      <w:r>
        <w:rPr>
          <w:b/>
          <w:bCs/>
        </w:rPr>
        <w:t xml:space="preserve">Frente al consenso (solo contraste).</w:t>
      </w:r>
    </w:p>
    <w:p>
      <w:pPr>
        <w:spacing w:after="100"/>
      </w:pPr>
      <w:r>
        <w:t xml:space="preserve">Nuestro BPA base de 2028e (9,83) se separa un -10,7 % del consenso (11,01) y nuestro precio base (317,51) un -5,9 % del objetivo medio de los analistas (337,43).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168,18 (-33,6 %) frente al objetivo a 12 meses ponderado 314,55 (+24,4 % con dividendo; base +25,5 %).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(sin confirmar; 22-oct en 2025)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3.650-3.850 M de ventas y 1,77-1,83 USD de BPA ajustado; tras el desfase de 76 M del 2T26, otro fallo en ventas castigaría la cotización como el 29-jul (−17,3 %)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y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y guía de inversión de Microsoft, Alphabet, Amazon y Meta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capex (357.500 M en 2025) es el indicador adelantado de la demanda de Vertiv; una guía de 2027 plana adelantaría el escenario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las compras de UtilityInnovation Group (HSR) y King Environmental Services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1.450 M en caja; más ventas en 2027 a ≈ 13x el EBITDA de UIG, con earn-out de hasta 1.150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cartera anual en el 10-K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 cartera desde dic-25 (15.000 M): una cartera por debajo de 15.000 M confirmaría el pico de pedidos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Despliegues de la arquitectura de 800 V CC de NVIDIA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contenido por MW para Vertiv o reparto de cuota hacia ABB y Eaton en energía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 la remuneración (11,6 % en contra en 2026) tras un bonus por encima del máximo del plan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Pausa en la inversión de los hiperescaladores tras el pico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(escenario bajista: 77,87 frente a 142,31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15.000 M a dic-25, en su mayoría firme y con penalización por cancelación; base instalada de servicios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capex de 2027 de los cuatro grandes plana o a la baja; anticipos por debajo de 2.500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el de los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−14,8 % (comparables: 215,71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EBITDA crece más de un 30 % y rebaja el múltiplo solo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 EV/EBITDA NTM frente a Eaton y nVent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Eaton, Schneider y Modine en refrigeración líquida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 por 2 puntos menos de margen (sensibilidad del DCF: 129,77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Liderazgo en térmica, diseños de referencia con NVIDIA, servicios de fluidos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por debajo del 22 % con ventas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y capacidad: desfases de entregas en proyectos cada vez mayores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por 1 punto menos de margen (136,04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del 4 % de las ventas y 5.000 técnicos de campo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trimestre con ventas por debajo del rango de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Reversión de los anticipos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−4,6 USD por acción de caja si vuelven al nivel de dic-25 (1.815 M); el FCF de un año caería a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con caja neta y 5.600 M de liquidez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diferidos en el 10-Q por debajo de 3.000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no publicada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Recogido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según el 10-K</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Rumores de retrasos de un cliente (Loop Capital, 2T26) que se confirmen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(secciones 122 y 232) y fabricación en México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por 1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Precio-coste favorable en el 2T26 con contramedidas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Mención de presión de aranceles en el margen bruto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en serie en lo alto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a −3 % (earn-out de UIG: hasta 2,9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10-13x, por debajo de los de cotización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de fondo de comercio o earn-outs pagados enteros</w:t>
            </w:r>
          </w:p>
        </w:tc>
      </w:tr>
    </w:tbl>
    <w:p>
      <w:pPr>
        <w:spacing w:after="160" w:before="0"/>
      </w:pPr>
    </w:p>
    <w:p>
      <w:pPr>
        <w:pStyle w:val="Heading2"/>
      </w:pPr>
      <w:r>
        <w:t xml:space="preserve">Pre-mortem</w:t>
      </w:r>
    </w:p>
    <w:p>
      <w:pPr>
        <w:spacing w:after="100"/>
      </w:pPr>
      <w:r>
        <w:t xml:space="preserve">Octubre de 2029: la acción ha perdido un 40 %. La historia más probable empieza en 2027. Los cuatro grandes hiperescaladores, tras pasar de 217.300 M USD de inversión en 2024 a 357.500 M en 2025 y seguir subiendo en 2026, descubren que la monetización de la IA va más despacio que la capacidad instalada y anuncian para 2028 un capex plano. Los pedidos de Vertiv, que ya no se publicaban cada trimestre, llevaban meses cayendo; la primera señal pública fue la cartera del 10-K de febrero de 2028, por debajo de la de 2026. Los anticipos de clientes, que habían sostenido el flujo libre, se dan la vuelta y la caja de un año cae a la mitad. A la vez, Eaton y Schneider, con Boyd Thermal y Motivair ya integradas, ofrecen paquetes de energía y refrigeración con descuento, y el margen ajustado vuelve del 26 % al 21 %. El mercado, que pagaba 22x el EBITDA de los próximos 12 meses, pasa a pagar 14x un EBITDA un 15 % menor. Los indicadores que lo habrían anticipado: la decisión de dejar de publicar pedidos (feb-26), el desfase de ventas del 2T26 y la caída del 17,3 % ese día pese a subir la guía, las ventas de consejeros por 128 M USD sin ninguna compra y la aceleración de compras pagadas en efectivo en 2026.</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Eficiencia energética de los productos.</w:t>
      </w:r>
      <w:r>
        <w:t xml:space="preserve"> Los centros de datos consumieron unos 415 TWh en 2024, en torno al 1,5 % de la electricidad mundial, y la AIE prevé que lleguen a unos 945 TWh en 2030 [41]. La eficiencia de los equipos de refrigeración y energía es un argumento de venta: el diseño GB300 de Vertiv promete hasta un 70 % más de eficiencia energética anual [30]. La UE ya exige informar del consumo de energía y agua y prepara normas de rendimiento mínimo [55]. </w:t>
      </w:r>
      <w:r>
        <w:rPr>
          <w:b/>
        </w:rPr>
        <w:t xml:space="preserve">Materiales y operaciones.</w:t>
      </w:r>
      <w:r>
        <w:t xml:space="preserve"> Usa acero, cobre y aluminio y maneja sustancias peligrosas en sus fábricas. Aplica la RoHS, la RAEE y REACH, y declara que cumplir la normativa ambiental no ha tenido un efecto material en su inversión ni en sus resultados [1]. </w:t>
      </w:r>
      <w:r>
        <w:rPr>
          <w:b/>
        </w:rPr>
        <w:t xml:space="preserve">Seguridad laboral.</w:t>
      </w:r>
      <w:r>
        <w:t xml:space="preserve"> Con unos 34.000 empleados y unos 5.000 técnicos de campo [1, 27], la seguridad en las instalaciones de los clientes es un riesgo operativo.</w:t>
      </w:r>
    </w:p>
    <w:p>
      <w:pPr>
        <w:pStyle w:val="Heading2"/>
      </w:pPr>
      <w:r>
        <w:t xml:space="preserve">Controversias</w:t>
      </w:r>
    </w:p>
    <w:p>
      <w:pPr>
        <w:spacing w:after="100"/>
      </w:pPr>
      <w:r>
        <w:t xml:space="preserve">El 3 de mayo de 2022 se presentó una demanda colectiva de valores en Nueva York (In re Vertiv Holdings Co Securities Litigation) por declaraciones sobre inflación, cadena de suministro y precios. En enero de 2024 se desestimaron las reclamaciones de la Securities Act; la moción contra las de la Exchange Act sigue pendiente [1]. Dos demandas derivadas en Delaware (2023 y 2024) se acumularon en febrero de 2025 y están en suspenso [1]. La SEC investigó y el 30 de diciembre de 2025 comunicó que no recomendaría ninguna acción [1]. En México, la filial TDP pagó unos 10,1 M USD al SAT en el 1T24 por una inspección aduanera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book-to-bill acumulado de 2026 y cuánto de la cartera de 15.000 M de dic-25 se entrega después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feb-26 no se publican pedidos; el DCF inverso exige crecer un 19,9 % anual hasta 2035.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3.633,7 M de ingresos diferidos corresponde a los cinco primeros clientes y con qué calendario se consumen?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Explican la mayor parte del FCF del 1S26 y su reversión cambia la caja de un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en las ventas los cinco y los diez primeros clientes, y cuántos son neoclouds con balance débil?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no lo publica y es la variable del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Desfase del 2T26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76 M que faltaron frente a la guía fue culpa propia (capacidad, pruebas, logística) y se recuperó en el 3T?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 capacidad, el crecimiento de 2027 está limitado por la oferta, no por la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UIG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de 2027 esperan de UIG y qué condiciones disparan los 1.150 M de earn-out?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compra de su historia y una línea de negocio nueva (microrredes detrás del contador).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objetivo del 25 % para 2029 casi alcanzado en 2026, ¿cuál es el nuevo techo de margen operativo ajustado y qué lo limita?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vale ≈ 6 USD por acción en 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ventas anuales adicionales permite el capex de 2026 (≈ 560 M) y en qué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medir si el capex del 4 % es de crecimiento o de mantenimiento futuro.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bonus del CEO se pagó al 205 % (por encima del máximo) y por qué el variable a largo plazo no mide ROIC ni TSR relativo?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incentivo ligado a beneficio operativo premia crecer comprando en lo alto del ciclo.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25 controles correctos y 5 explicados. Fuentes: 107 (62 primarias); citas distintas en el texto: 106.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35,2 %: explica la causa (créditos fiscales, regularizaciones, mezcla de países) y no lo proyectes en el DCF. Explicación: El 35,2 % de 2024 se debe a la pérdida de 449,2 M USD por el valor razonable de los warrants, que no es deducible. No se proyecta: el DCF usa un 23 %, el tipo efectivo de 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 beneficio neto / acciones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0,20 calculado frente a -0,04 publicado (con convertibles, el BPA diluido publicado ajusta el numerador: explícalo si la diferencia viene de ahí). Explicación: El BPA diluido publicado (-0,04 USD) resta del numerador la ganancia de 90,9 M por los warrants, que serían dilutivos; el básico es 0,20 USD.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21,9 % en 2030e frente al 20,0 %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5,5 % frente a 9,7 % real: genera una variación de circulante de -224 M en el primer año. Converge de forma gradual. Explicación: El 5,5 % de 2026 es deliberado: los ingresos diferidos se duplicaron hasta 3.633,7 M en el 1S26 y el circulante real a junio ya está por debajo del de 2025. Se normaliza de forma gradual hasta el 11 % en 2030, lo que consume caja en 2027-2030.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2.598 M de flujo libre medio en sus tres primeros años, frente a 1.263 M de media real en los tres últimos: justifica el salto (circulante, inversión, márgenes) o ajusta los supuestos. Explicación: El salto lo explica el crecimiento: el FCF de los últimos 12 meses a junio de 2026 ya es de 2.924 M y la guía de FCF ajustado de 2026 es de 2.400-2.600 M, frente a 766-1.887 M en 2023-2025. El FCFF de 2026 (2.377 M) queda junto al extremo bajo de la guía.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0,11: el crecimiento no explica los múltiplos de estos comparables; no uses el valor de la regresión. Explicación: Con R² = 0,11, el crecimiento no explica los múltiplos de los comparables: el informe no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-33,5 % (-33,5 % con la prima del mercado) y el precio pide 9,3 puntos más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107 fuentes (62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de clientes (primer cliente, diez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(negocio, riesgos, notas de ingresos y crédito): no hay cliente &gt;10 % ni peso de los diez primeros; 2) 10-Q 2T26 y presentaciones de resultados 1T26 y 2T26: solo comentarios cualitativos; 3) transcripción del 2T26 (Earnings Whispers): la dirección habla de diversificación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book-to-bill y cartera trimestrales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1T26 y 2T26: no los publican; 2) presentaciones de resultados 1T26 y 2T26: solo «otro año de fuerte crecimiento de pedidos»; 3) prensa (Data Center Frontier, feb-26): Vertiv dejó de publicarlos y solo los dará al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por segmento 2020-2022 con el criterio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2022: resultado por segmento con otro reparto de costes centrales (corporativo -492 M en 2022 frente a -138 M en 2023); 2) 10-K 2025: solo reexpresa 2023-2025; 3) XBRL companyfacts: mismas cifras que los 10-K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de 3T24 a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comparan con su guía, no con el consenso; 2) Insider Monkey y Earnings Whispers: solo trimestres de 2026 accesibles; 3) búsqueda general de consenso histórico: resúmenes de buscador sin fuente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Perspectiva del rating (Moody's y S&amp;P)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del 1T26 y 10-Q: solo la nota Baa3/BBB-; 2) 8-K de 3-mar-26: no la cita; 3) no se buscaron las webs de las agencias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de los aranceles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2025-2026: solo cualitativo; 2) 10-Q 2T26: reclamación de devolución de aranceles IEEPA sin importe; 3) presentaciones 1T26 y 2T26: «price-cost» positivo con aranceles,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«BSE» citada en el encargo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(nota 2 de adquisiciones): solo PurgeRite, Great Lakes y otras menores; 2) 10-Q 2T26: BMarko, Strategic Thermal Labs y ThermoKey; 3) presentaciones 1T26 y 2T26: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tamano y serie (cifra anual de Dell'Oro para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Dell'Oro del 4T25 y de la previsión a 2030: dan el trimestre (10.900 M USD) y la TCAC, pero no el total anual; 2) Notas del 1T25, 2T25, 3T25 y 1T26: solo dan el 2T25 (8.900 M USD) y el 1T26 (12.000 M USD); en 2026 Dell'Oro amplió su perímetro en torno a 1.000 M USD por trimestre y revisó al alza el crecimiento de 2025; 3) Derivado: 120.000/1,22^5 ≈ 44.400 M USD en 2025, e interpolación de 2026e-2029e con la TCAC del 22 %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Dell'Oro no publica los totales anuales de 2020-2022 en abierto; 2) Previsiones antiguas de Dell'Oro: más de 50.000 M USD en 2028 con una TCAC del 13 % desde 2023 (≈27.100 M en 2023) y 63.100 M USD en 2029 con un 15 % desde 2024 (≈31.400 M en 2024); 3) Crecimientos publicados: +16 % en 2023, ≈+16 % implícito en 2024 y +17-20 % por trimestre en 2025, que dan un ≈17 % en 2022-2025 (tres años, no cinco)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Dell'Oro: solo dicen que Schneider y Vertiv están empatadas a una décima de punto, sin cifra; 2) Omdia (rastreadores de SAI y térmica): de pago; 3) Estimar a partir de las ventas de los competidores: sus perímetros (Energy Management, Electrical Americas) no aíslan el centro de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de mercado del día del inversor de Vertiv (noviembre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presentación en investors.vertiv.com: no la indexa; 2) Nota del acto (silicon.co.uk) y resultados del 4T24 en EDGAR: sin cifras de mercado; 3) Resúmenes de prensa con un 10-13 % de TCAC y 100 GW: no son el documento original y no se usan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Vertiv</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Dell'Oro: empate con Schneider sin porcentaje; 2) Informe anual de Vertiv: n.º 1 en térmica y en SAI de más de 250 kVA, sin porcentaje; 3) Estimación propia: unos 8.700 M USD de ventas de centros de datos (85 % de 10.229,9 M USD) sobre unos 44.400 M USD de mercado ≈ 20 %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(citado en el 10-K de Vertiv como competidor global)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2025 en BusinessWire: HTTP 403; 2) Copia en Nasdaq: tiempo de espera agotado; 3) Solo un resumen de buscador (26 % de las ventas en centros de datos y 20,7 % de margen ajustado), que no vale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(Applied / centros de datos) y Huawei Digital Power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Daikin publica por ejercicio a marzo y en yenes, sin segmento de centros de datos separado en el resumen; 2) Huawei no cotiza y no desglosa Digital Power por centro de datos; 3) Ninguno tiene un perímetro comparable con fuente primaria abierta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Buscador de calificaciones de MSCI: la página no muestra la empresa sin JavaScript; 2) Página de Sustainalytics de Vertiv: no muestra la puntuación, y knowesg.com da HTTP 403; 3) Informe anual, 10-K y proxy de 2026: no citan ninguna calificación ni puntuación CDP (solo un 87 % de apoyo al say-on-pay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objetivos a medio plazo del día del inversor de 2023 (29-nov-2023)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del 29-nov-2023: solo la guía elevada de 2023, sin objetivos a medio plazo [20]; 2) web de inversores (investors.vertiv.com, página de eventos): da 404, y la presentación no está en EDGAR; 3) prensa: solo resúmenes de buscador (8-11 % de crecimiento orgánico y más del 20 % de margen ajustado en 2028), sin un documento original abierto que lo confirme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fecha de la salida total de Platinum Equity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13D/A del 9-ago-2023: queda con el 4,7 % y deja de declarar [66]; 2) proxies de 2024 y 2026: no figura entre los accionistas del 5 % [28, 73]; 3) lista de presentaciones de EDGAR (submissions.json): no hay 13D ni Form 4 posteriores de VPE Holdings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comisiones de Krishna Mikkilineni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era candidato y no tenía comisión asignada [28]; 2) 8-K de la junta del 18-jun-2026: solo publica los votos [56]; 3) 8-K de oct-2025 a oct-2026: ninguno con ítem 5.02 sobre comisiones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Vertiv y EDGAR (8-K hasta el 6-oct-2026): sin anuncio de la fecha del 3T26 (en el 2T26 la avisó el 15-jul para el 29-jul); 2) calendario de MarketScreener: «no events available»; 3) proveedores secundarios discrepantes: Stock Analysis 21-oct-2026, bullstory.io 28-oct-2026, un buscador 20-oct-2026; ninguno citado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12 meses del BPA y 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consensus-revisions: los datos solo están en gráficos SVG, sin cifras legibles; 2) Zacks, detailed-earning-estimates: bloqueo antibot; 3) Yahoo Finance analysis: solo da la tendencia a 7, 30, 60 y 90 días (usada para los 3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se da la revisión a 3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exposición a centros de datos (% de ventas) de cada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de cada empresa: no lo da; 2) Stock Analysis statistics: no lo da; 3) notas de resultados de cada empresa: no leídas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Vertiv–CoolTera, Daikin–Chilldyne, Jabil–Mikros, Legrand, Trane, Modine, Johnson Controls–Silent-Aire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oficiales de los compradores: CoolTera y Chilldyne sin precio localizado; Silent-Aire sin EBITDA ni múltiplo (≈ 630 M por adelantado más earn-out, ≈ 650 M de ventas); 2) EDGAR (8-K/10-Q del comprador): Silent-Aire cerró por ≈ 751 M neto de caja, sin múltiplo; 3) Jabil–Mikros: solo una cifra de buscador (63 M), no verificada en la fuente original; Legrand, Trane y Modine sin buscar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Holdings Co,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https://www.sec.gov/Archives/edgar/data/1674101/000167410126000008/vrt-20251231.htm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Holdings Co,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https://www.sec.gov/Archives/edgar/data/1674101/000162828023005248/vrt-20221231.htm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Form 10-K/A ejercicio 2020 (reexpresión por warrants)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https://www.sec.gov/Archives/edgar/data/1674101/000162828021008318/vrt-20201231.htm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Form 10-Q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https://www.sec.gov/Archives/edgar/data/1674101/000162828026050609/vrt-20260630.htm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https://www.sec.gov/Archives/edgar/data/1674101/000162828026050323/q22026exhibit991vrt07292026.htm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https://www.sec.gov/Archives/edgar/data/1674101/000162828026026379/q12026exhibit991vrt04222026.htm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https://www.sec.gov/Archives/edgar/data/1674101/000167410126000006/exhibit991vrt02112026.htm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3T25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https://www.sec.gov/Archives/edgar/data/1674101/000167410125000020/q32025exhibit991vrt10222025.htm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https://www.sec.gov/Archives/edgar/data/1674101/000167410125000006/q22025exhibit991vrt7302025.htm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https://www.sec.gov/Archives/edgar/data/1674101/000162828025018915/q12025exhibit991vrt042325.htm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https://www.sec.gov/Archives/edgar/data/1674101/000162828025005006/exhibit991vrt02122025.htm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3T24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https://www.sec.gov/Archives/edgar/data/1674101/000162828024043343/q32024exhibit991vrt102324.htm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3-mar-2026: bonos senior no garantizados de 2.100 M USD, nueva línea revolving de 2.500 M USD y amortización del préstamo a plazo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https://www.sec.gov/Archives/edgar/data/1674101/000119312526088484/d105148d8k.htm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2-sep-2026 y nota de prensa: acuerdo para comprar UtilityInnovation Group (UIG)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https://www.sec.gov/Archives/edgar/data/1674101/000119312526379306/d472406dex991.htm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King Environmental Services (KES)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https://www.sec.gov/Archives/edgar/data/1674101/000162828026063311/exhibit991vrt-q320269242026.htm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companyfacts, Vertiv Holdings Co (CIK 1674101)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https://data.sec.gov/api/xbrl/companyfacts/CIK0001674101.json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E&amp;I Engineering y Powerbar Gulf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https://www.sec.gov/Archives/edgar/data/1674101/000119312521267213/d213876dex991.htm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PurgeRite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https://www.sec.gov/Archives/edgar/data/1674101/000119312525261623/d10924dex991.htm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Great Lakes Data Racks &amp; Cabinets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https://www.sec.gov/Archives/edgar/data/1674101/000162828025035130/exhibit991vrt-pressrelease.htm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programa de recompra de 3.000 M USD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https://www.sec.gov/Archives/edgar/data/1674101/000095014223002855/eh230424978_ex9901.htm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Q2 2026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https://s205.q4cdn.com/554782763/files/doc_financials/2026/q2/Vertiv-Second-Quarter-2026-Results-Presentation.pdf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Q1 2026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https://s205.q4cdn.com/554782763/files/doc_financials/2026/q1/Vertiv-First-Quarter-2026-Results-Presentation.pdf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(VRT)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https://beta.earningswhispers.com/transcript/VRT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(NYSE:VRT) Q1 2026 Earnings Call Transcript (extracto y BPA esperado)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https://www.insidermonkey.com/blog/vertiv-holdings-co-nysevrt-q1-2026-earnings-call-transcript-1744792/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Vertiv's AI infrastructure surge: record orders, liquid cooling expansion and grid-scale power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Frontier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https://www.datacenterfrontier.com/machine-learning/article/55357689/vertivs-ai-infrastructure-surge-record-orders-liquid-cooling-expansion-and-grid-scale-power-reshape-data-center-growth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4T23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https://www.sec.gov/Archives/edgar/data/1674101/000162828024005765/exhibit991vrt02212024.htm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Annual Report 2025 (carta a los accionistas, Form 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https://www.sec.gov/Archives/edgar/data/1674101/000119312526174909/d27762dars.pdf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https://www.sec.gov/Archives/edgar/data/1674101/000119312526174898/d18663ddef14a.htm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Completes Sale of Network Power to Platinum Equity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Platinum Equity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https://www.platinumequity.com/news/emerson-completes-sale-of-network-power-to-platinum-equity/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develops energy-efficient cooling and power reference architecture for the NVIDIA GB300 NVL72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https://www.vertiv.com/en-emea/about/news-and-events/news-releases/vertiv-develops-energy-efficient-cooling-and-power-reference-architecture-for-the-nvidia-gb300-nvl72/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Lumentum, Coherent, Vertiv added to S&amp;P 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https://finance.yahoo.com/news/lumentum-coherent-vertiv-added-p-225126453.html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Reaches $10.9 Billion in 4Q 2025, Up 20 Percent Y/Y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https://www.delloro.com/news/data-center-physical-infrastructure-market-reaches-10-9-billion-in-4q-2025-up-20-percent-y-y/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Forecast to Reach $120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https://www.delloro.com/news/data-center-physical-infrastructure-market-forecast-to-reach-120-billion-by-2030/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Grew 17 Percent Y/Y in 1Q 2025, Driven by AI Buildout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https://www.delloro.com/news/data-center-physical-infrastructure-grew-17-percent-y-y-in-1q-2025-driven-by-ai-buildout/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Maintains Strong Growth Trajectory, up 18 Percent Y/Y in 2Q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https://www.delloro.com/news/data-center-physical-infrastructure-maintains-strong-growth-trajectory-up-18-percent-y-y-in-2q-2025/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Expands 18 Percent Y/Y in 3Q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https://www.delloro.com/news/data-center-physical-infrastructure-market-expands-18-percent-y-y-in-3q-2025/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Deployments to Push Data Center Physical Infrastructure Market Over $50 B by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https://www.delloro.com/news/ai-deployments-to-push-data-center-physical-infrastructure-market-over-50-b-by-2028/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 Data Center Physical Infrastructure Market to grow to $63.1 Billion by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ISE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https://www.isemag.com/network-transformation-edge-compute-iot-urllc-automation-m2m/data-centers/article/55311024/delloro-group-data-center-physical-infrastructure-market-to-grow-to-631-billion-by-2029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Data Center Physical Infrastructure Market Jumps 28% to $12 Billion in 1Q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Digest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https://convergedigest.com/delloro-data-center-physical-infrastructure-market-jumps-28-to-12-billion-in-1q-2026/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 Year for Data Center Physical Infrastructure Market with 16 Percent Growth for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https://www.delloro.com/news/record-year-for-data-center-physical-infrastructure-market-with-16-percent-growth-for-2023/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and AI, resumen ejecutivo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Internacional de la Energía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https://www.iea.org/reports/energy-and-ai/executive-summary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datos XBRL de los 10-K (PaymentsToAcquirePropertyPlantAndEquipment), último 10-K del ejercicio 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https://data.sec.gov/api/xbrl/companyfacts/CIK0000789019.json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datos XBRL de los 10-K (PaymentsToAcquirePropertyPlantAndEquipment)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https://data.sec.gov/api/xbrl/companyfacts/CIK0001652044.json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datos XBRL de los 10-K (PaymentsToAcquireProductiveAssets)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https://data.sec.gov/api/xbrl/companyfacts/CIK0001018724.json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datos XBRL de los 10-K (PaymentsToAcquirePropertyPlantAndEquipment)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https://data.sec.gov/api/xbrl/companyfacts/CIK0001326801.json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Full Year 2025 Results (información financiera)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https://echanges.dila.gouv.fr/OPENDATA/AMF/ECO/2026/02/FCECO081066_20260226.pdf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resultados del cuarto trimestre de 2025 (Exhibit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https://www.sec.gov/Archives/edgar/data/1551182/000155118226000002/etn12312025exhibit99.htm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Q4 2025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https://library.e.abb.com/public/17c5f84dedb946478c22ba1e00f5673e/ABB-Q4-2025-press-release-English.pdf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resultados del cuarto trimestre del ejercicio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https://www.sec.gov/Archives/edgar/data/833444/000083344425000084/q4exh991xq4fy25earningsrel.htm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resultados del cuarto trimestre de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https://www.sec.gov/Archives/edgar/data/1720635/000162828026005930/q42025nvtpressrelease.htm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Reports Fourth Quarter Fiscal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https://s205.q4cdn.com/270741342/files/doc_financials/2026/q4/Modine-Reports-Fourth-Quarter-Fiscal-2026-Results.pdf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EXR.D.USD.EUR.SP00.A),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data center physical infrastructure revenue to grow at 22% CAGR from 2025-2030; forecast comparisons, analysis, risks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IEEE ComSoc Technology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https://techblog.comsoc.org/2026/08/19/delloro-data-center-physical-infrastructure-revenue-to-grow-at-22-cagr-from-2025-2025-forecast-comparisons-analysis-risks/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Electric, Annual Report 2009 (Exhibit 13 del Form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nov 2009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https://www.sec.gov/Archives/edgar/data/32604/000114420409061535/v166921_ex13.htm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performance of data centres (Directiva de Eficiencia Energética)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https://energy.ec.europa.eu/topics/energy-efficiency/energy-efficiency-targets-directive-and-rules/energy-efficiency-directive/energy-performance-data-centres_en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https://www.sec.gov/Archives/edgar/data/1674101/000162828026044317/vrt-20260617.htm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https://www.sec.gov/Archives/edgar/data/1674101/000095014225001652/eh250644853_8k.htm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https://www.sec.gov/Archives/edgar/data/1674101/000119312524165741/d839260d8k.htm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dimisión de la consejera Robin L. Washington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https://www.sec.gov/Archives/edgar/data/1674101/000119312525022808/d934950d8k.htm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retirada del director financiero David Fallon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https://www.sec.gov/Archives/edgar/data/1674101/000162828025028038/vrt-20250521.htm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Craig Chamberlin como director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https://www.sec.gov/Archives/edgar/data/1674101/000162828025044836/vrt-20251013.htm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Vertiv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https://www.sec.gov/Archives/edgar/data/1674101/000210011926001190/xslSCHEDULE_13G_X02/primary_doc.xml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Vertiv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https://www.sec.gov/Archives/edgar/data/1674101/000201238326001474/xslSCHEDULE_13G_X02/primary_doc.xml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Vertiv (0 %)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https://www.sec.gov/Archives/edgar/data/1674101/000010290926002519/xslSCHEDULE_13G_X02/primary_doc.xml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Vertiv (10 %)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https://www.sec.gov/Archives/edgar/data/1674101/000093247125001116/xslSCHEDULE_13G_X01/primary_doc.xml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de VPE Holdings (Platinum Equity) sobre Vertiv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https://www.sec.gov/Archives/edgar/data/1674101/000110465923089353/tm2323331d1_sc13da.htm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Vertiv presentados entre el 7-oct-2025 y el 7-oct-2026 (91 formularios, XML)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https://www.sec.gov/cgi-bin/browse-edgar?action=getcompany&amp;CIK=1674101&amp;type=4&amp;dateb=&amp;owner=only&amp;count=100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2020 y guía 2021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https://www.sec.gov/Archives/edgar/data/1674101/000162828021002945/exhibit991vrt02242021.htm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2021 y guía 2022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https://www.sec.gov/Archives/edgar/data/1674101/000162828022003424/exhibit991vrt2232022.htm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2022 y guía 2023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https://www.sec.gov/Archives/edgar/data/1674101/000162828023004432/exhibit991vrt02222023.htm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This Ohio-Based Company Poised for Market Gains in AI/Data Center Infrastructure?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https://www.fool.com/investing/2025/11/08/is-this-ohio-based-company-poised-for-market-gains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Albertazzi asume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https://www.sec.gov/Archives/edgar/data/1674101/000162828023000006/vrt-20230101.htm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2024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https://www.sec.gov/Archives/edgar/data/1674101/000119312524115463/d606633ddef14a.htm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VRT, SPY y XLI (herramientas/bolsa.mjs y cierres diarios de 1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(VRT) statistics: capitalización, flotante, posición corta, beta,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https://www.marketscreener.com/quote/stock/VERTIV-HOLDINGS-CO-45109447/finances/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https://www.marketscreener.com/quote/stock/VERTIV-HOLDINGS-CO-45109447/consensus/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(VRT)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(VRT) analysis: estimaciones y tendencia del BPA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(VRT) stock forecast, price targets and analysts'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https://www.marketbeat.com/stocks/NYSE/VRT/forecast/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https://www.marketscreener.com/quote/stock/SCHNEIDER-ELECTRIC-SE-4699/finances/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https://www.marketscreener.com/quote/stock/EATON-CORPORATION-PLC-12029421/finances/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https://www.marketscreener.com/quote/stock/ABB-LTD-9365000/finances/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https://www.marketscreener.com/quote/stock/NVENT-ELECTRIC-PLC-42779053/finances/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https://www.marketscreener.com/quote/stock/TRANE-TECHNOLOGIES-PLC-13109/finances/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https://www.marketscreener.com/quote/stock/HUBBELL-INCORPORATED-25531608/finances/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https://www.marketscreener.com/quote/stock/MODINE-MANUFACTURING-COMP-13585/finances/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https://in.marketscreener.com/quote/stock/JOHNSON-CONTROLS-INTERNAT-31222816/finances/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https://stockanalysis.com/quote/epa/SU/statistics/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https://stockanalysis.com/stocks/etn/statistics/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https://stockanalysis.com/quote/swx/ABBN/statistics/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https://stockanalysis.com/stocks/hubb/statistics/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https://stockanalysis.com/stocks/jci/statistics/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y GS Acquisition Holdings anuncian su combinación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 Acquisition Holdings / Vertiv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https://www.sec.gov/Archives/edgar/data/1674101/000119312519309745/d768308dex991.htm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to Acquire Trachte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https://investors.nvent.com/press-releases/press-release-details/2024/nVent-to-Acquire-Trachte/default.aspx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acquires Motivair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https://www.se.com/ww/en/assets/564/document/492190/Schneider-Electric-acquires-Motivair-Corporation.pdf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to Acquire the Electrical Products Group Business of Avail Infrastructure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https://investors.nvent.com/press-releases/press-release-details/2025/nVent-to-Acquire-the-Electrical-Products-Group-Business-of-Avail-Infrastructure-Solutions/default.aspx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Fibrebond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https://www.eaton.com/us/en-us/company/news-insights/news-releases/2025/eaton-signs-agreement-to-acquire-fibrebond-corporation--expandin.html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Boyd Thermal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https://www.eaton.com/us/en-us/company/news-insights/news-releases/2025/eaton-signs-agreement-to-acquire-boyd-thermal--expanding-solutio.html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 página principal: Implied ERP on October 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88,2 %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única (NYSE: VRT), cuentas y cotización en USD: no hay conversiones salvo las de comparables y competidores europeos (Schneider a 1,1269 USD/EUR del BCE a 6-oct-2026 en comparables y a 1,1750 a 31-dic-2025 en competencia). El precio es el cierre del 6-oct-2026: la sesión del 7 seguía abierta a la fecha de corte. Hasta febrero de 2020 la acción era la SPAC GS Acquisition Holdings (≈ 10-11 USD), por eso los múltiplos históricos empiezan en 2020 y no hay rentabilidad a 10 años. El EBITDA de las cuentas es GAAP (EBIT reportado más depreciación y amortización, incluida la de intangibles de la SPAC y de las compras) y ya descuenta el alquiler operativo (US GAAP, ASC 842): por eso los pasivos por arrendamiento operativo (398,4 M a jun-26) no van en el puente de valoración, aunque sí figuran en el balance histórico. El EBITDA del consenso es ajustado (sin reestructuración, contraprestación contingente ni costes de compras; ≈ 0,4 % de las ventas) y el motor lo corrige. El BPA de MarketScreener tiene base mixta (2025 GAAP, 2026e entre GAAP y ajustado). Las compras de UtilityInnovation Group y King Environmental Services, posteriores al balance, quedan fuera del puente y del DCF (ni su precio ni su EBITDA). Desde 2026 Vertiv no publica pedidos ni cartera trimestrales. Las transcripciones de las conferencias son de terceros. Múltiplos LTM y NTM de los comparables ponderados por meses a partir de estimaciones anuales de MarketScreener. Sin servicios de pago: faltan las calificaciones ESG y las revisiones del consenso a 12 meses.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Vertiv Holdings Co (VRT)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253,14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DCF con la prima implícita del mercado (4,2 %)</c:v>
                </c:pt>
                <c:pt idx="7">
                  <c:v>Precio actual (253,14)</c:v>
                </c:pt>
              </c:strCache>
            </c:strRef>
          </c:cat>
          <c:val>
            <c:numRef>
              <c:f>Hoja1!$B$2:$B$9</c:f>
              <c:numCache>
                <c:formatCode>#,##0</c:formatCode>
                <c:ptCount val="8"/>
                <c:pt idx="0">
                  <c:v>147.82</c:v>
                </c:pt>
                <c:pt idx="1">
                  <c:v>236</c:v>
                </c:pt>
                <c:pt idx="2">
                  <c:v>177.55</c:v>
                </c:pt>
                <c:pt idx="3">
                  <c:v>189.94</c:v>
                </c:pt>
                <c:pt idx="4">
                  <c:v>134.2</c:v>
                </c:pt>
                <c:pt idx="5">
                  <c:v>77.87</c:v>
                </c:pt>
                <c:pt idx="6">
                  <c:v>135.94</c:v>
                </c:pt>
                <c:pt idx="7">
                  <c:v>251.87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DCF con la prima implícita del mercado (4,2 %)</c:v>
                </c:pt>
                <c:pt idx="7">
                  <c:v>Precio actual (253,14)</c:v>
                </c:pt>
              </c:strCache>
            </c:strRef>
          </c:cat>
          <c:val>
            <c:numRef>
              <c:f>Hoja1!$C$2:$C$9</c:f>
              <c:numCache>
                <c:formatCode>#,##0</c:formatCode>
                <c:ptCount val="8"/>
                <c:pt idx="0">
                  <c:v>232.11</c:v>
                </c:pt>
                <c:pt idx="1">
                  <c:v>191</c:v>
                </c:pt>
                <c:pt idx="2">
                  <c:v>50.839999999999975</c:v>
                </c:pt>
                <c:pt idx="3">
                  <c:v>39.81</c:v>
                </c:pt>
                <c:pt idx="4">
                  <c:v>17.77000000000001</c:v>
                </c:pt>
                <c:pt idx="5">
                  <c:v>190.45999999999998</c:v>
                </c:pt>
                <c:pt idx="6">
                  <c:v>13.349999999999994</c:v>
                </c:pt>
                <c:pt idx="7">
                  <c:v>2.539999999999992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Américas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2040.6</c:v>
                </c:pt>
                <c:pt idx="1">
                  <c:v>2187.4</c:v>
                </c:pt>
                <c:pt idx="2">
                  <c:v>2728.6</c:v>
                </c:pt>
                <c:pt idx="3">
                  <c:v>3844.5</c:v>
                </c:pt>
                <c:pt idx="4">
                  <c:v>4500.6</c:v>
                </c:pt>
                <c:pt idx="5">
                  <c:v>6386.3</c:v>
                </c:pt>
              </c:numCache>
            </c:numRef>
          </c:val>
        </c:ser>
        <c:ser>
          <c:idx val="1"/>
          <c:order val="1"/>
          <c:tx>
            <c:strRef>
              <c:f>Hoja1!$C$1</c:f>
              <c:strCache>
                <c:ptCount val="1"/>
                <c:pt idx="0">
                  <c:v>Asia Pacífico</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1368.4</c:v>
                </c:pt>
                <c:pt idx="1">
                  <c:v>1609</c:v>
                </c:pt>
                <c:pt idx="2">
                  <c:v>1601.3</c:v>
                </c:pt>
                <c:pt idx="3">
                  <c:v>1527.8</c:v>
                </c:pt>
                <c:pt idx="4">
                  <c:v>1717.8</c:v>
                </c:pt>
                <c:pt idx="5">
                  <c:v>2019.2</c:v>
                </c:pt>
              </c:numCache>
            </c:numRef>
          </c:val>
        </c:ser>
        <c:ser>
          <c:idx val="2"/>
          <c:order val="2"/>
          <c:tx>
            <c:strRef>
              <c:f>Hoja1!$D$1</c:f>
              <c:strCache>
                <c:ptCount val="1"/>
                <c:pt idx="0">
                  <c:v>Europa, Oriente Medio y África</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961.6</c:v>
                </c:pt>
                <c:pt idx="1">
                  <c:v>1201.7</c:v>
                </c:pt>
                <c:pt idx="2">
                  <c:v>1361.6</c:v>
                </c:pt>
                <c:pt idx="3">
                  <c:v>1490.9</c:v>
                </c:pt>
                <c:pt idx="4">
                  <c:v>1793.4</c:v>
                </c:pt>
                <c:pt idx="5">
                  <c:v>1824.4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Américas</c:v>
                </c:pt>
                <c:pt idx="1">
                  <c:v>Asia Pacífico</c:v>
                </c:pt>
                <c:pt idx="2">
                  <c:v>Europa, Oriente Medio y África</c:v>
                </c:pt>
              </c:strCache>
            </c:strRef>
          </c:cat>
          <c:val>
            <c:numRef>
              <c:f>Hoja1!$B$2:$B$4</c:f>
              <c:numCache>
                <c:formatCode>General</c:formatCode>
                <c:ptCount val="3"/>
                <c:pt idx="0">
                  <c:v>62.4</c:v>
                </c:pt>
                <c:pt idx="1">
                  <c:v>19.7</c:v>
                </c:pt>
                <c:pt idx="2">
                  <c:v>17.8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Asia Pacífico</c:v>
                </c:pt>
                <c:pt idx="2">
                  <c:v>Europa</c:v>
                </c:pt>
                <c:pt idx="3">
                  <c:v>Latinoamérica y Canadá</c:v>
                </c:pt>
                <c:pt idx="4">
                  <c:v>Oriente Medio y África</c:v>
                </c:pt>
              </c:strCache>
            </c:strRef>
          </c:cat>
          <c:val>
            <c:numRef>
              <c:f>Hoja1!$B$2:$B$6</c:f>
              <c:numCache>
                <c:formatCode>0"%"</c:formatCode>
                <c:ptCount val="5"/>
                <c:pt idx="0">
                  <c:v>58.8</c:v>
                </c:pt>
                <c:pt idx="1">
                  <c:v>19.7</c:v>
                </c:pt>
                <c:pt idx="2">
                  <c:v>14.4</c:v>
                </c:pt>
                <c:pt idx="3">
                  <c:v>4.3</c:v>
                </c:pt>
                <c:pt idx="4">
                  <c:v>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fabricante, perímetro Dell'Oro de agosto de 2026; 2026e-2029e interpolados por nosotros con la TCAC del 22 %))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44400</c:v>
                </c:pt>
                <c:pt idx="1">
                  <c:v>54200</c:v>
                </c:pt>
                <c:pt idx="2">
                  <c:v>66100</c:v>
                </c:pt>
                <c:pt idx="3">
                  <c:v>80600</c:v>
                </c:pt>
                <c:pt idx="4">
                  <c:v>98400</c:v>
                </c:pt>
                <c:pt idx="5">
                  <c:v>120000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Vertiv</c:v>
                </c:pt>
                <c:pt idx="1">
                  <c:v>Schneider Electric (Energy Management)</c:v>
                </c:pt>
                <c:pt idx="2">
                  <c:v>Eaton (Electrical Americas)</c:v>
                </c:pt>
                <c:pt idx="3">
                  <c:v>ABB (Electrification)</c:v>
                </c:pt>
                <c:pt idx="4">
                  <c:v>Johnson Controls</c:v>
                </c:pt>
                <c:pt idx="5">
                  <c:v>nVent Electric</c:v>
                </c:pt>
                <c:pt idx="6">
                  <c:v>Modine (Climate Solutions)</c:v>
                </c:pt>
              </c:strCache>
            </c:strRef>
          </c:cat>
          <c:val>
            <c:numRef>
              <c:f>Hoja1!$B$2:$B$8</c:f>
              <c:numCache>
                <c:formatCode>0.0"%"</c:formatCode>
                <c:ptCount val="7"/>
                <c:pt idx="0">
                  <c:v>17.9</c:v>
                </c:pt>
                <c:pt idx="1">
                  <c:v>21.8</c:v>
                </c:pt>
                <c:pt idx="2">
                  <c:v>29.9</c:v>
                </c:pt>
                <c:pt idx="3">
                  <c:v>23.5</c:v>
                </c:pt>
                <c:pt idx="4">
                  <c:v>17</c:v>
                </c:pt>
                <c:pt idx="5">
                  <c:v>15.8</c:v>
                </c:pt>
                <c:pt idx="6">
                  <c:v>15.6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4370.6</c:v>
                </c:pt>
                <c:pt idx="1">
                  <c:v>4998.1</c:v>
                </c:pt>
                <c:pt idx="2">
                  <c:v>5691.5</c:v>
                </c:pt>
                <c:pt idx="3">
                  <c:v>6863.2</c:v>
                </c:pt>
                <c:pt idx="4">
                  <c:v>8011.8</c:v>
                </c:pt>
                <c:pt idx="5">
                  <c:v>10229.9</c:v>
                </c:pt>
                <c:pt idx="6">
                  <c:v>14005</c:v>
                </c:pt>
                <c:pt idx="7">
                  <c:v>17926</c:v>
                </c:pt>
                <c:pt idx="8">
                  <c:v>21511</c:v>
                </c:pt>
                <c:pt idx="9">
                  <c:v>24093</c:v>
                </c:pt>
                <c:pt idx="10">
                  <c:v>26261</c:v>
                </c:pt>
                <c:pt idx="11">
                  <c:v>28099</c:v>
                </c:pt>
                <c:pt idx="12">
                  <c:v>29785</c:v>
                </c:pt>
                <c:pt idx="13">
                  <c:v>31274</c:v>
                </c:pt>
                <c:pt idx="14">
                  <c:v>32682</c:v>
                </c:pt>
                <c:pt idx="15">
                  <c:v>33989</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416.6</c:v>
                </c:pt>
                <c:pt idx="1">
                  <c:v>486.9</c:v>
                </c:pt>
                <c:pt idx="2">
                  <c:v>525.8</c:v>
                </c:pt>
                <c:pt idx="3">
                  <c:v>1143.2</c:v>
                </c:pt>
                <c:pt idx="4">
                  <c:v>1644.4</c:v>
                </c:pt>
                <c:pt idx="5">
                  <c:v>2138.3</c:v>
                </c:pt>
                <c:pt idx="6">
                  <c:v>3389</c:v>
                </c:pt>
                <c:pt idx="7">
                  <c:v>4625</c:v>
                </c:pt>
                <c:pt idx="8">
                  <c:v>5722</c:v>
                </c:pt>
                <c:pt idx="9">
                  <c:v>6385</c:v>
                </c:pt>
                <c:pt idx="10">
                  <c:v>6828</c:v>
                </c:pt>
                <c:pt idx="11">
                  <c:v>7306</c:v>
                </c:pt>
                <c:pt idx="12">
                  <c:v>7744</c:v>
                </c:pt>
                <c:pt idx="13">
                  <c:v>8131</c:v>
                </c:pt>
                <c:pt idx="14">
                  <c:v>8497</c:v>
                </c:pt>
                <c:pt idx="15">
                  <c:v>8837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33.7</c:v>
                </c:pt>
                <c:pt idx="1">
                  <c:v>30.5</c:v>
                </c:pt>
                <c:pt idx="2">
                  <c:v>28.4</c:v>
                </c:pt>
                <c:pt idx="3">
                  <c:v>35</c:v>
                </c:pt>
                <c:pt idx="4">
                  <c:v>36.6</c:v>
                </c:pt>
                <c:pt idx="5">
                  <c:v>36.3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9.5</c:v>
                </c:pt>
                <c:pt idx="1">
                  <c:v>9.7</c:v>
                </c:pt>
                <c:pt idx="2">
                  <c:v>9.2</c:v>
                </c:pt>
                <c:pt idx="3">
                  <c:v>16.7</c:v>
                </c:pt>
                <c:pt idx="4">
                  <c:v>20.5</c:v>
                </c:pt>
                <c:pt idx="5">
                  <c:v>20.9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4.9</c:v>
                </c:pt>
                <c:pt idx="1">
                  <c:v>5.2</c:v>
                </c:pt>
                <c:pt idx="2">
                  <c:v>3.9</c:v>
                </c:pt>
                <c:pt idx="3">
                  <c:v>12.7</c:v>
                </c:pt>
                <c:pt idx="4">
                  <c:v>17.1</c:v>
                </c:pt>
                <c:pt idx="5">
                  <c:v>17.9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-7.5</c:v>
                </c:pt>
                <c:pt idx="1">
                  <c:v>2.4</c:v>
                </c:pt>
                <c:pt idx="2">
                  <c:v>1.3</c:v>
                </c:pt>
                <c:pt idx="3">
                  <c:v>6.7</c:v>
                </c:pt>
                <c:pt idx="4">
                  <c:v>6.2</c:v>
                </c:pt>
                <c:pt idx="5">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19</c:v>
                </c:pt>
                <c:pt idx="1">
                  <c:v>25.8</c:v>
                </c:pt>
                <c:pt idx="2">
                  <c:v>24.2</c:v>
                </c:pt>
                <c:pt idx="3">
                  <c:v>35.1</c:v>
                </c:pt>
                <c:pt idx="4">
                  <c:v>29</c:v>
                </c:pt>
                <c:pt idx="5">
                  <c:v>22.7</c:v>
                </c:pt>
                <c:pt idx="6">
                  <c:v>30.1</c:v>
                </c:pt>
                <c:pt idx="7">
                  <c:v>24.1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19.2</c:v>
                </c:pt>
                <c:pt idx="1">
                  <c:v>27.1</c:v>
                </c:pt>
                <c:pt idx="2">
                  <c:v>25.3</c:v>
                </c:pt>
                <c:pt idx="3">
                  <c:v>34</c:v>
                </c:pt>
                <c:pt idx="4">
                  <c:v>28.4</c:v>
                </c:pt>
                <c:pt idx="5">
                  <c:v>19.3</c:v>
                </c:pt>
                <c:pt idx="6">
                  <c:v>22.6</c:v>
                </c:pt>
                <c:pt idx="7">
                  <c:v>17.8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113</c:v>
                </c:pt>
                <c:pt idx="1">
                  <c:v>112</c:v>
                </c:pt>
                <c:pt idx="2">
                  <c:v>121</c:v>
                </c:pt>
                <c:pt idx="3">
                  <c:v>113</c:v>
                </c:pt>
                <c:pt idx="4">
                  <c:v>108</c:v>
                </c:pt>
                <c:pt idx="5">
                  <c:v>111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56</c:v>
                </c:pt>
                <c:pt idx="1">
                  <c:v>65</c:v>
                </c:pt>
                <c:pt idx="2">
                  <c:v>74</c:v>
                </c:pt>
                <c:pt idx="3">
                  <c:v>72</c:v>
                </c:pt>
                <c:pt idx="4">
                  <c:v>89</c:v>
                </c:pt>
                <c:pt idx="5">
                  <c:v>82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92</c:v>
                </c:pt>
                <c:pt idx="1">
                  <c:v>90</c:v>
                </c:pt>
                <c:pt idx="2">
                  <c:v>88</c:v>
                </c:pt>
                <c:pt idx="3">
                  <c:v>81</c:v>
                </c:pt>
                <c:pt idx="4">
                  <c:v>95</c:v>
                </c:pt>
                <c:pt idx="5">
                  <c:v>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156.2</c:v>
                </c:pt>
                <c:pt idx="1">
                  <c:v>126.30000000000001</c:v>
                </c:pt>
                <c:pt idx="2">
                  <c:v>-263.8</c:v>
                </c:pt>
                <c:pt idx="3">
                  <c:v>765.9</c:v>
                </c:pt>
                <c:pt idx="4">
                  <c:v>1135.2</c:v>
                </c:pt>
                <c:pt idx="5">
                  <c:v>1887.4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-327.3</c:v>
                </c:pt>
                <c:pt idx="1">
                  <c:v>119.6</c:v>
                </c:pt>
                <c:pt idx="2">
                  <c:v>76.6</c:v>
                </c:pt>
                <c:pt idx="3">
                  <c:v>460.2</c:v>
                </c:pt>
                <c:pt idx="4">
                  <c:v>495.8</c:v>
                </c:pt>
                <c:pt idx="5">
                  <c:v>1332.8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c:v>
                </c:pt>
                <c:pt idx="1">
                  <c:v>5.9</c:v>
                </c:pt>
                <c:pt idx="2">
                  <c:v>3.1</c:v>
                </c:pt>
                <c:pt idx="3">
                  <c:v>16.9</c:v>
                </c:pt>
                <c:pt idx="4">
                  <c:v>20.3</c:v>
                </c:pt>
                <c:pt idx="5">
                  <c:v>28.9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11.4</c:v>
                </c:pt>
                <c:pt idx="1">
                  <c:v>11.4</c:v>
                </c:pt>
                <c:pt idx="2">
                  <c:v>11.4</c:v>
                </c:pt>
                <c:pt idx="3">
                  <c:v>11.4</c:v>
                </c:pt>
                <c:pt idx="4">
                  <c:v>11.4</c:v>
                </c:pt>
                <c:pt idx="5">
                  <c:v>11.4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-63.9</c:v>
                </c:pt>
                <c:pt idx="1">
                  <c:v>12.4</c:v>
                </c:pt>
                <c:pt idx="2">
                  <c:v>5.4</c:v>
                </c:pt>
                <c:pt idx="3">
                  <c:v>26.6</c:v>
                </c:pt>
                <c:pt idx="4">
                  <c:v>22.3</c:v>
                </c:pt>
                <c:pt idx="5">
                  <c:v>41.8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4.24</c:v>
                </c:pt>
                <c:pt idx="1">
                  <c:v>5.52</c:v>
                </c:pt>
                <c:pt idx="2">
                  <c:v>5.91</c:v>
                </c:pt>
                <c:pt idx="3">
                  <c:v>2.05</c:v>
                </c:pt>
                <c:pt idx="4">
                  <c:v>1.16</c:v>
                </c:pt>
                <c:pt idx="5">
                  <c:v>0.65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2027-2036 (pagarés menores)</c:v>
                </c:pt>
                <c:pt idx="2">
                  <c:v>2028</c:v>
                </c:pt>
                <c:pt idx="3">
                  <c:v>2036</c:v>
                </c:pt>
                <c:pt idx="4">
                  <c:v>2046</c:v>
                </c:pt>
                <c:pt idx="5">
                  <c:v>2056+</c:v>
                </c:pt>
              </c:strCache>
            </c:strRef>
          </c:cat>
          <c:val>
            <c:numRef>
              <c:f>Hoja1!$B$2:$B$7</c:f>
              <c:numCache>
                <c:formatCode>#,##0</c:formatCode>
                <c:ptCount val="6"/>
                <c:pt idx="0">
                  <c:v>0</c:v>
                </c:pt>
                <c:pt idx="1">
                  <c:v>17.2</c:v>
                </c:pt>
                <c:pt idx="2">
                  <c:v>850</c:v>
                </c:pt>
                <c:pt idx="3">
                  <c:v>600</c:v>
                </c:pt>
                <c:pt idx="4">
                  <c:v>500</c:v>
                </c:pt>
                <c:pt idx="5">
                  <c:v>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1163.7</c:v>
                </c:pt>
                <c:pt idx="2">
                  <c:v>5</c:v>
                </c:pt>
                <c:pt idx="3">
                  <c:v>28.8</c:v>
                </c:pt>
                <c:pt idx="4">
                  <c:v>17.6</c:v>
                </c:pt>
                <c:pt idx="5">
                  <c:v>1184.8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3.3</c:v>
                </c:pt>
                <c:pt idx="1">
                  <c:v>3.8</c:v>
                </c:pt>
                <c:pt idx="2">
                  <c:v>3.8</c:v>
                </c:pt>
                <c:pt idx="3">
                  <c:v>9.5</c:v>
                </c:pt>
                <c:pt idx="4">
                  <c:v>42.2</c:v>
                </c:pt>
                <c:pt idx="5">
                  <c:v>66.6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599.9</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 Inc.</c:v>
                </c:pt>
                <c:pt idx="1">
                  <c:v>Vanguard Capital Management</c:v>
                </c:pt>
                <c:pt idx="2">
                  <c:v>Consejeros y directivos (20 personas)</c:v>
                </c:pt>
                <c:pt idx="3">
                  <c:v>Platinum Equity (VPE Holdings)</c:v>
                </c:pt>
              </c:strCache>
            </c:strRef>
          </c:cat>
          <c:val>
            <c:numRef>
              <c:f>Hoja1!$B$2:$B$5</c:f>
              <c:numCache>
                <c:formatCode>0.0"%"</c:formatCode>
                <c:ptCount val="4"/>
                <c:pt idx="0">
                  <c:v>7.8</c:v>
                </c:pt>
                <c:pt idx="1">
                  <c:v>7.48</c:v>
                </c:pt>
                <c:pt idx="2">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69.4</c:v>
                </c:pt>
                <c:pt idx="1">
                  <c:v>33.8</c:v>
                </c:pt>
                <c:pt idx="2">
                  <c:v>-45.3</c:v>
                </c:pt>
                <c:pt idx="3">
                  <c:v>251.8</c:v>
                </c:pt>
                <c:pt idx="4">
                  <c:v>136.8</c:v>
                </c:pt>
                <c:pt idx="5">
                  <c:v>42.8</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18.3</c:v>
                </c:pt>
                <c:pt idx="1">
                  <c:v>28.7</c:v>
                </c:pt>
                <c:pt idx="2">
                  <c:v>-18.2</c:v>
                </c:pt>
                <c:pt idx="3">
                  <c:v>26.2</c:v>
                </c:pt>
                <c:pt idx="4">
                  <c:v>24.9</c:v>
                </c:pt>
                <c:pt idx="5">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18</c:v>
                </c:pt>
                <c:pt idx="1">
                  <c:v>24</c:v>
                </c:pt>
                <c:pt idx="2">
                  <c:v>15.7</c:v>
                </c:pt>
                <c:pt idx="3">
                  <c:v>18.3</c:v>
                </c:pt>
                <c:pt idx="4">
                  <c:v>27.9</c:v>
                </c:pt>
                <c:pt idx="5">
                  <c:v>30.3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21.2</c:v>
                </c:pt>
                <c:pt idx="1">
                  <c:v>21.2</c:v>
                </c:pt>
                <c:pt idx="2">
                  <c:v>21.2</c:v>
                </c:pt>
                <c:pt idx="3">
                  <c:v>21.2</c:v>
                </c:pt>
                <c:pt idx="4">
                  <c:v>21.2</c:v>
                </c:pt>
                <c:pt idx="5">
                  <c:v>21.2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Vertiv</c:v>
                </c:pt>
                <c:pt idx="1">
                  <c:v>Schneider Electric</c:v>
                </c:pt>
                <c:pt idx="2">
                  <c:v>Eaton</c:v>
                </c:pt>
                <c:pt idx="3">
                  <c:v>ABB</c:v>
                </c:pt>
                <c:pt idx="4">
                  <c:v>nVent Electric</c:v>
                </c:pt>
                <c:pt idx="5">
                  <c:v>Trane Technologies</c:v>
                </c:pt>
                <c:pt idx="6">
                  <c:v>Hubbell</c:v>
                </c:pt>
                <c:pt idx="7">
                  <c:v>Modine</c:v>
                </c:pt>
                <c:pt idx="8">
                  <c:v>Johnson Controls</c:v>
                </c:pt>
              </c:strCache>
            </c:strRef>
          </c:cat>
          <c:val>
            <c:numRef>
              <c:f>Hoja1!$B$2:$B$10</c:f>
              <c:numCache>
                <c:formatCode>0.0"x"</c:formatCode>
                <c:ptCount val="9"/>
                <c:pt idx="0">
                  <c:v>22.4</c:v>
                </c:pt>
                <c:pt idx="1">
                  <c:v>14.6</c:v>
                </c:pt>
                <c:pt idx="2">
                  <c:v>21.8</c:v>
                </c:pt>
                <c:pt idx="3">
                  <c:v>19.7</c:v>
                </c:pt>
                <c:pt idx="4">
                  <c:v>20.7</c:v>
                </c:pt>
                <c:pt idx="5">
                  <c:v>20.1</c:v>
                </c:pt>
                <c:pt idx="6">
                  <c:v>16</c:v>
                </c:pt>
                <c:pt idx="7">
                  <c:v>15</c:v>
                </c:pt>
                <c:pt idx="8">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Vertiv</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37.9</c:v>
                </c:pt>
              </c:numCache>
            </c:numRef>
          </c:xVal>
          <c:yVal>
            <c:numRef>
              <c:f>Hoja1!$C$2</c:f>
              <c:numCache>
                <c:formatCode>0.0"x"</c:formatCode>
                <c:ptCount val="1"/>
                <c:pt idx="0">
                  <c:v>22.4</c:v>
                </c:pt>
              </c:numCache>
            </c:numRef>
          </c:yVal>
          <c:smooth val="0"/>
        </c:ser>
        <c:ser>
          <c:idx val="1"/>
          <c:order val="1"/>
          <c:tx>
            <c:strRef>
              <c:f>Hoja1!$A$3</c:f>
              <c:strCache>
                <c:ptCount val="1"/>
                <c:pt idx="0">
                  <c:v>Schneider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14</c:v>
                </c:pt>
              </c:numCache>
            </c:numRef>
          </c:xVal>
          <c:yVal>
            <c:numRef>
              <c:f>Hoja1!$C$3</c:f>
              <c:numCache>
                <c:formatCode>0.0"x"</c:formatCode>
                <c:ptCount val="1"/>
                <c:pt idx="0">
                  <c:v>14.6</c:v>
                </c:pt>
              </c:numCache>
            </c:numRef>
          </c:yVal>
          <c:smooth val="0"/>
        </c:ser>
        <c:ser>
          <c:idx val="2"/>
          <c:order val="2"/>
          <c:tx>
            <c:strRef>
              <c:f>Hoja1!$A$4</c:f>
              <c:strCache>
                <c:ptCount val="1"/>
                <c:pt idx="0">
                  <c:v>Eaton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18.7</c:v>
                </c:pt>
              </c:numCache>
            </c:numRef>
          </c:xVal>
          <c:yVal>
            <c:numRef>
              <c:f>Hoja1!$C$4</c:f>
              <c:numCache>
                <c:formatCode>0.0"x"</c:formatCode>
                <c:ptCount val="1"/>
                <c:pt idx="0">
                  <c:v>21.8</c:v>
                </c:pt>
              </c:numCache>
            </c:numRef>
          </c:yVal>
          <c:smooth val="0"/>
        </c:ser>
        <c:ser>
          <c:idx val="3"/>
          <c:order val="3"/>
          <c:tx>
            <c:strRef>
              <c:f>Hoja1!$A$5</c:f>
              <c:strCache>
                <c:ptCount val="1"/>
                <c:pt idx="0">
                  <c:v>ABB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c:v>
                </c:pt>
              </c:numCache>
            </c:numRef>
          </c:xVal>
          <c:yVal>
            <c:numRef>
              <c:f>Hoja1!$C$5</c:f>
              <c:numCache>
                <c:formatCode>0.0"x"</c:formatCode>
                <c:ptCount val="1"/>
                <c:pt idx="0">
                  <c:v>19.7</c:v>
                </c:pt>
              </c:numCache>
            </c:numRef>
          </c:yVal>
          <c:smooth val="0"/>
        </c:ser>
        <c:ser>
          <c:idx val="4"/>
          <c:order val="4"/>
          <c:tx>
            <c:strRef>
              <c:f>Hoja1!$A$6</c:f>
              <c:strCache>
                <c:ptCount val="1"/>
                <c:pt idx="0">
                  <c:v>nVent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33.6</c:v>
                </c:pt>
              </c:numCache>
            </c:numRef>
          </c:xVal>
          <c:yVal>
            <c:numRef>
              <c:f>Hoja1!$C$6</c:f>
              <c:numCache>
                <c:formatCode>0.0"x"</c:formatCode>
                <c:ptCount val="1"/>
                <c:pt idx="0">
                  <c:v>20.7</c:v>
                </c:pt>
              </c:numCache>
            </c:numRef>
          </c:yVal>
          <c:smooth val="0"/>
        </c:ser>
        <c:ser>
          <c:idx val="5"/>
          <c:order val="5"/>
          <c:tx>
            <c:strRef>
              <c:f>Hoja1!$A$7</c:f>
              <c:strCache>
                <c:ptCount val="1"/>
                <c:pt idx="0">
                  <c:v>Trane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12.9</c:v>
                </c:pt>
              </c:numCache>
            </c:numRef>
          </c:xVal>
          <c:yVal>
            <c:numRef>
              <c:f>Hoja1!$C$7</c:f>
              <c:numCache>
                <c:formatCode>0.0"x"</c:formatCode>
                <c:ptCount val="1"/>
                <c:pt idx="0">
                  <c:v>20.1</c:v>
                </c:pt>
              </c:numCache>
            </c:numRef>
          </c:yVal>
          <c:smooth val="0"/>
        </c:ser>
        <c:ser>
          <c:idx val="6"/>
          <c:order val="6"/>
          <c:tx>
            <c:strRef>
              <c:f>Hoja1!$A$8</c:f>
              <c:strCache>
                <c:ptCount val="1"/>
                <c:pt idx="0">
                  <c:v>Hubbell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16.4</c:v>
                </c:pt>
              </c:numCache>
            </c:numRef>
          </c:xVal>
          <c:yVal>
            <c:numRef>
              <c:f>Hoja1!$C$8</c:f>
              <c:numCache>
                <c:formatCode>0.0"x"</c:formatCode>
                <c:ptCount val="1"/>
                <c:pt idx="0">
                  <c:v>16</c:v>
                </c:pt>
              </c:numCache>
            </c:numRef>
          </c:yVal>
          <c:smooth val="0"/>
        </c:ser>
        <c:ser>
          <c:idx val="7"/>
          <c:order val="7"/>
          <c:tx>
            <c:strRef>
              <c:f>Hoja1!$A$9</c:f>
              <c:strCache>
                <c:ptCount val="1"/>
                <c:pt idx="0">
                  <c:v>Modine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16.7</c:v>
                </c:pt>
              </c:numCache>
            </c:numRef>
          </c:xVal>
          <c:yVal>
            <c:numRef>
              <c:f>Hoja1!$C$9</c:f>
              <c:numCache>
                <c:formatCode>0.0"x"</c:formatCode>
                <c:ptCount val="1"/>
                <c:pt idx="0">
                  <c:v>15</c:v>
                </c:pt>
              </c:numCache>
            </c:numRef>
          </c:yVal>
          <c:smooth val="0"/>
        </c:ser>
        <c:ser>
          <c:idx val="8"/>
          <c:order val="8"/>
          <c:tx>
            <c:strRef>
              <c:f>Hoja1!$A$10</c:f>
              <c:strCache>
                <c:ptCount val="1"/>
                <c:pt idx="0">
                  <c:v>Johnson Controls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10.2</c:v>
                </c:pt>
              </c:numCache>
            </c:numRef>
          </c:xVal>
          <c:yVal>
            <c:numRef>
              <c:f>Hoja1!$C$10</c:f>
              <c:numCache>
                <c:formatCode>0.0"x"</c:formatCode>
                <c:ptCount val="1"/>
                <c:pt idx="0">
                  <c:v>19</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Vertiv (fusión con SPAC)</c:v>
                </c:pt>
                <c:pt idx="1">
                  <c:v>E&amp;I Engineering / Powerbar Gulf</c:v>
                </c:pt>
                <c:pt idx="2">
                  <c:v>Trachte</c:v>
                </c:pt>
                <c:pt idx="3">
                  <c:v>Motivair (75 %)</c:v>
                </c:pt>
                <c:pt idx="4">
                  <c:v>Electrical Products Group (Avail Infrastructure Solutions)</c:v>
                </c:pt>
                <c:pt idx="5">
                  <c:v>Fibrebond</c:v>
                </c:pt>
                <c:pt idx="6">
                  <c:v>Great Lakes Data Racks &amp; Cabinets</c:v>
                </c:pt>
                <c:pt idx="7">
                  <c:v>PurgeRite</c:v>
                </c:pt>
                <c:pt idx="8">
                  <c:v>Boyd Thermal</c:v>
                </c:pt>
                <c:pt idx="9">
                  <c:v>UtilityInnovation Group</c:v>
                </c:pt>
              </c:strCache>
            </c:strRef>
          </c:cat>
          <c:val>
            <c:numRef>
              <c:f>Hoja1!$B$2:$B$11</c:f>
              <c:numCache>
                <c:formatCode>0.0"x"</c:formatCode>
                <c:ptCount val="10"/>
                <c:pt idx="0">
                  <c:v>8.9</c:v>
                </c:pt>
                <c:pt idx="1">
                  <c:v>11</c:v>
                </c:pt>
                <c:pt idx="2">
                  <c:v>12</c:v>
                </c:pt>
                <c:pt idx="4">
                  <c:v>12.5</c:v>
                </c:pt>
                <c:pt idx="5">
                  <c:v>12.7</c:v>
                </c:pt>
                <c:pt idx="6">
                  <c:v>11.5</c:v>
                </c:pt>
                <c:pt idx="7">
                  <c:v>10</c:v>
                </c:pt>
                <c:pt idx="8">
                  <c:v>22.5</c:v>
                </c:pt>
                <c:pt idx="9">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2377</c:v>
                </c:pt>
                <c:pt idx="1">
                  <c:v>2300</c:v>
                </c:pt>
                <c:pt idx="2">
                  <c:v>3118</c:v>
                </c:pt>
                <c:pt idx="3">
                  <c:v>3718</c:v>
                </c:pt>
                <c:pt idx="4">
                  <c:v>4154</c:v>
                </c:pt>
                <c:pt idx="5">
                  <c:v>4634</c:v>
                </c:pt>
                <c:pt idx="6">
                  <c:v>4970</c:v>
                </c:pt>
                <c:pt idx="7">
                  <c:v>5257</c:v>
                </c:pt>
                <c:pt idx="8">
                  <c:v>5517</c:v>
                </c:pt>
                <c:pt idx="9">
                  <c:v>5763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23439</c:v>
                </c:pt>
                <c:pt idx="1">
                  <c:v>32671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253,14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77.87</c:v>
                </c:pt>
                <c:pt idx="1">
                  <c:v>142.31</c:v>
                </c:pt>
                <c:pt idx="2">
                  <c:v>268.33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253,14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DCF con la prima implícita del mercado (4,2 %)</c:v>
                </c:pt>
                <c:pt idx="7">
                  <c:v>Precio actual (253,14)</c:v>
                </c:pt>
              </c:strCache>
            </c:strRef>
          </c:cat>
          <c:val>
            <c:numRef>
              <c:f>Hoja1!$B$2:$B$9</c:f>
              <c:numCache>
                <c:formatCode>#,##0</c:formatCode>
                <c:ptCount val="8"/>
                <c:pt idx="0">
                  <c:v>147.82</c:v>
                </c:pt>
                <c:pt idx="1">
                  <c:v>236</c:v>
                </c:pt>
                <c:pt idx="2">
                  <c:v>177.55</c:v>
                </c:pt>
                <c:pt idx="3">
                  <c:v>189.94</c:v>
                </c:pt>
                <c:pt idx="4">
                  <c:v>134.2</c:v>
                </c:pt>
                <c:pt idx="5">
                  <c:v>77.87</c:v>
                </c:pt>
                <c:pt idx="6">
                  <c:v>135.94</c:v>
                </c:pt>
                <c:pt idx="7">
                  <c:v>251.87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DCF con la prima implícita del mercado (4,2 %)</c:v>
                </c:pt>
                <c:pt idx="7">
                  <c:v>Precio actual (253,14)</c:v>
                </c:pt>
              </c:strCache>
            </c:strRef>
          </c:cat>
          <c:val>
            <c:numRef>
              <c:f>Hoja1!$C$2:$C$9</c:f>
              <c:numCache>
                <c:formatCode>#,##0</c:formatCode>
                <c:ptCount val="8"/>
                <c:pt idx="0">
                  <c:v>232.11</c:v>
                </c:pt>
                <c:pt idx="1">
                  <c:v>191</c:v>
                </c:pt>
                <c:pt idx="2">
                  <c:v>50.839999999999975</c:v>
                </c:pt>
                <c:pt idx="3">
                  <c:v>39.81</c:v>
                </c:pt>
                <c:pt idx="4">
                  <c:v>17.77000000000001</c:v>
                </c:pt>
                <c:pt idx="5">
                  <c:v>190.45999999999998</c:v>
                </c:pt>
                <c:pt idx="6">
                  <c:v>13.349999999999994</c:v>
                </c:pt>
                <c:pt idx="7">
                  <c:v>2.539999999999992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