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Visa Inc.</w:t>
      </w:r>
    </w:p>
    <w:p>
      <w:pPr>
        <w:spacing w:after="60"/>
        <w:rPr>
          <w:color w:val="52514E"/>
          <w:sz w:val="22"/>
          <w:szCs w:val="22"/>
        </w:rPr>
      </w:pPr>
      <w:r>
        <w:rPr>
          <w:color w:val="52514E"/>
          <w:sz w:val="22"/>
          <w:szCs w:val="22"/>
        </w:rPr>
        <w:t xml:space="preserve">V · NYSE (acciones de clase A) · ISIN US92826C8394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396,06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402,35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+2,2 % (base +8,3 %)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290,56 USD · mercado 344,29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744.593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 / US92826C8394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Transaction &amp; Payment Processing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1958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396,06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396,06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744.593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754.551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402,35 USD</w:t>
      </w:r>
      <w:r>
        <w:t xml:space="preserve"> frente a 396,06 · Rentabilidad a 12 meses </w:t>
      </w:r>
      <w:r>
        <w:rPr>
          <w:b/>
          <w:bCs/>
        </w:rPr>
        <w:t xml:space="preserve">+2,2 % (base +8,3 %)</w:t>
      </w:r>
      <w:r>
        <w:t xml:space="preserve"> · Valor intrínseco 290,56 USD · con la prima implícita del mercado: 344,29 (-13,1 %) · Alcista / bajista -13,2 % / -45,9 %</w:t>
      </w:r>
    </w:p>
    <w:p>
      <w:pPr>
        <w:spacing w:after="100"/>
      </w:pPr>
      <w:r>
        <w:rPr>
          <w:b/>
        </w:rPr>
        <w:t xml:space="preserve">La recomendación y por qué.</w:t>
      </w:r>
      <w:r>
        <w:t xml:space="preserve"> Mantener, con convicción media. Con nuestro BPA de FY2028e y la regla común de múltiplos, el objetivo a 12 meses es de 422,27 USD frente a 396,06 USD de cierre del 13 de octubre: +7,2 % con el dividendo, y +11,2 % en el caso base (437,88 USD). No llega a los umbrales de compra (15 % y 12 %), y el valor intrínseco (290,56 USD) queda un 26,6 % por debajo del precio. El objetivo medio de los 40 analistas (419,36 USD) está dentro de nuestro rango [44]. La asimetría a 12 meses es de 1,47 veces: el alcista gana un 17,4 % y el bajista pierde un 10,8 %. La razón principal: Visa es un negocio excelente que cotiza en máximos históricos a 26,7 veces nuestro beneficio de FY2027e, así que en un año rinde lo que crece su BPA, no más. La convicción es media porque las cifras salen de extractos de búsqueda y la conclusión depende de la tasa de descuento; subiría si la guía de FY2027 (27 de octubre) apunta a un BPA por encima de 15,5 USD, y bajaría si el crecimiento de los ingresos baja del 9 %.</w:t>
      </w:r>
    </w:p>
    <w:p>
      <w:pPr>
        <w:spacing w:after="100"/>
      </w:pPr>
      <w:r>
        <w:rPr>
          <w:b/>
        </w:rPr>
        <w:t xml:space="preserve">El negocio.</w:t>
      </w:r>
      <w:r>
        <w:t xml:space="preserve"> Visa procesa más de 4 billones de USD por trimestre y el 40,8 % de las transacciones con tarjeta de red del mundo [3, 24]. Con un margen EBITDA del 70 % y casi sin capital, el ROIC fue del 52,3 % en FY2025 frente a un WACC del 9,98 %. La calidad sostiene el crecimiento que proyectamos (veredicto «Sí»): necesita reinvertir solo el 1 % del NOPAT y lleva años cobrando 3-5 puntos por encima del volumen de pagos (ingresos +14 % con volumen +10 % en el 3T FY2026) [3].</w:t>
      </w:r>
    </w:p>
    <w:p>
      <w:pPr>
        <w:spacing w:after="100"/>
      </w:pPr>
      <w:r>
        <w:rPr>
          <w:b/>
        </w:rPr>
        <w:t xml:space="preserve">Finanzas.</w:t>
      </w:r>
      <w:r>
        <w:t xml:space="preserve"> Ingresos de 40.000 M en FY2025 (+11 %) y unos 45.700 M estimados en FY2026 (+14,3 %) tras subir la guía en julio [2, 3]. La caja libre (21.577 M) convierte el 108 % del beneficio, y Visa devuelve más de lo que genera: la deuda neta ajustada es de 9.958 M, solo 0,4 veces el EBITDA. El BPA ajustado supera al contable en un 12 % por provisiones de litigios que se repiten cada año, aunque las de EE. UU. las paga la cuenta de garantía de la clase B [2].</w:t>
      </w:r>
    </w:p>
    <w:p>
      <w:pPr>
        <w:spacing w:after="100"/>
      </w:pPr>
      <w:r>
        <w:rPr>
          <w:b/>
        </w:rPr>
        <w:t xml:space="preserve">Valoración.</w:t>
      </w:r>
      <w:r>
        <w:t xml:space="preserve"> El DCF da 295,26 USD con un bono a 10 años del 5,22 %; con la prima implícita del mercado sube a 356,07 USD. El DCF inverso dice que el precio descuenta un crecimiento del 12,9 % anual en FY2027-FY2035, frente al 8,6 % de nuestro caso base: es lo que hizo en FY2021-FY2025. Discrepamos del mercado en la tasa de descuento más que en las cifras: nuestro BPA de FY2027e (14,83 USD) coincide con el consenso (14,94 USD) [41].</w:t>
      </w:r>
    </w:p>
    <w:p>
      <w:pPr>
        <w:spacing w:after="100"/>
      </w:pPr>
      <w:r>
        <w:rPr>
          <w:b/>
        </w:rPr>
        <w:t xml:space="preserve">Riesgos y catalizadores.</w:t>
      </w:r>
      <w:r>
        <w:t xml:space="preserve"> El mayor riesgo es regulatorio en EE. UU.: la Credit Card Competition Act o una sentencia del Departamento de Justicia sobre el enrutamiento del débito; es nuestro escenario bajista (−27 % en valor intrínseco) [28]. El segundo, la normalización en FY2027 del transfronterizo y del valor añadido inflados por la Copa del Mundo [3]. El catalizador inmediato son los resultados del 27 de octubre con la guía de FY2027. Los foros están en positivo tras el pánico de marzo por las stablecoins, en línea con los analistas; no señalan un riesgo que el informe no recoja.</w:t>
      </w:r>
    </w:p>
    <w:p>
      <w:pPr>
        <w:spacing w:after="100"/>
      </w:pPr>
      <w:r>
        <w:rPr>
          <w:b/>
        </w:rPr>
        <w:t xml:space="preserve">Qué cambiaría la decisión.</w:t>
      </w:r>
      <w:r>
        <w:t xml:space="preserve"> Compraríamos por debajo de 290,56 USD, donde coinciden el valor intrínseco y una rentabilidad a 12 meses suficiente; venderíamos por encima de 471,90 USD. Antes de eso, cambiaría la recomendación una guía de FY2027 de BPA por encima de 15,5 USD (subiría el objetivo), un bono a 10 años por debajo del 4,5 % (subiría el valor intrínseco) o un avance de la CCCA en el Congreso (pasaríamos a reducir).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402,35 USD</w:t>
      </w:r>
      <w:r>
        <w:t xml:space="preserve"> (rentabilidad +2,2 % (base +8,3 %)) · Valor intrínseco: 290,56 USD (-26,6 % sobre 396,06) · con la prima implícita del mercado: 344,29 (-13,1 %)</w:t>
      </w:r>
    </w:p>
    <w:p>
      <w:pPr>
        <w:spacing w:after="100"/>
      </w:pPr>
      <w:r>
        <w:t xml:space="preserve">Visa es el peaje del gasto con tarjeta fuera de China: 40,8 % de las transacciones con tarjeta de red del mundo, más de 4 billones de USD por trimestre, un margen EBITDA del 70 % y un ROIC del 52,3 % [3, 24]. Crece con el gasto nominal, el paso del efectivo a la tarjeta y los servicios de valor añadido, y lleva cuatro años de crecimiento de dos cifras.</w:t>
      </w:r>
    </w:p>
    <w:p>
      <w:pPr>
        <w:spacing w:after="100"/>
      </w:pPr>
      <w:r>
        <w:t xml:space="preserve">El precio (396,06 USD, máximo histórico) descuenta un crecimiento de los ingresos del 12,9 % anual hasta FY2035 con nuestro margen, o una rentabilidad del 8,3 %; cotiza a 26,5 veces el BPA de los próximos 12 meses del consenso, en la mediana de los últimos cuatro años y al mismo múltiplo que Mastercard [41].</w:t>
      </w:r>
    </w:p>
    <w:p>
      <w:pPr>
        <w:spacing w:after="100"/>
      </w:pPr>
      <w:r>
        <w:t xml:space="preserve">El mercado acierta en la calidad y probablemente en el beneficio de los próximos dos años: nuestro BPA de FY2027e (14,83 USD) es casi el del consenso. Donde no hay margen de seguridad es en el múltiplo: para ganar más del 11 % en un año hay que creer que el PER se expande desde máximos o que la regulación y los pagos alternativos no tocarán el precio por transacción. Es una empresa para tener, no para comprar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 × 14,80 = 307,84 · 26,0x × 16,40 = 426,40 · 26,0x × 17,26 = 448,76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419,36 (nuestro base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10,0 %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290,56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290,56 y 449,77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449,77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290,56 USD: pasaríamos a Comprar (valor intrínseco y rentabilidad a 12 meses suficientes).</w:t>
      </w:r>
    </w:p>
    <w:p>
      <w:pPr>
        <w:pStyle w:val="ListParagraph"/>
        <w:numPr>
          <w:ilvl w:val="0"/>
          <w:numId w:val="2"/>
        </w:numPr>
        <w:spacing w:after="60"/>
      </w:pPr>
      <w:r>
        <w:t xml:space="preserve">Precio por encima de 471,90 USD: pasaríamos a Vender (rentabilidad a 12 meses ≤ −10 %).</w:t>
      </w:r>
    </w:p>
    <w:p>
      <w:pPr>
        <w:pStyle w:val="ListParagraph"/>
        <w:numPr>
          <w:ilvl w:val="0"/>
          <w:numId w:val="2"/>
        </w:numPr>
        <w:spacing w:after="60"/>
      </w:pPr>
      <w:r>
        <w:t xml:space="preserve">Guía de FY2027 con BPA ajustado por encima de 15,5 USD (27-oct-2026): subiríamos el objetivo.</w:t>
      </w:r>
    </w:p>
    <w:p>
      <w:pPr>
        <w:pStyle w:val="ListParagraph"/>
        <w:numPr>
          <w:ilvl w:val="0"/>
          <w:numId w:val="2"/>
        </w:numPr>
        <w:spacing w:after="60"/>
      </w:pPr>
      <w:r>
        <w:t xml:space="preserve">Votación favorable de la Credit Card Competition Act en comisión o sentencia del DOJ contra Visa en débito: pasaríamos a reducir.</w:t>
      </w:r>
    </w:p>
    <w:p>
      <w:pPr>
        <w:pStyle w:val="ListParagraph"/>
        <w:numPr>
          <w:ilvl w:val="0"/>
          <w:numId w:val="2"/>
        </w:numPr>
        <w:spacing w:after="60"/>
      </w:pPr>
      <w:r>
        <w:t xml:space="preserve">Bono a 10 años por debajo del 4,5 %: el valor intrínseco se acercaría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12,9 % anual hasta FY2035 con un margen del 70 %, es decir, que Visa repite su mejor década sin que la regulación (CCCA, DOJ) ni los pagos de cuenta a cuenta le quiten precio por transacción. Y una tasa de descuento del 8,3 %, menos de lo que pide el mercado para su beta.</w:t>
      </w:r>
    </w:p>
    <w:p>
      <w:pPr>
        <w:keepNext/>
        <w:spacing w:after="100"/>
      </w:pPr>
      <w:r>
        <w:rPr>
          <w:b/>
          <w:bCs/>
        </w:rPr>
        <w:t xml:space="preserve">Lo que creemos nosotros.</w:t>
      </w:r>
    </w:p>
    <w:p>
      <w:pPr>
        <w:spacing w:after="100"/>
      </w:pPr>
      <w:r>
        <w:t xml:space="preserve">El beneficio de FY2027-28 será el que espera el consenso (BPA de 14,83 USD en FY2027e y 16,40 USD en FY2028e), pero el crecimiento se irá moderando hacia el 8-9 % por la normalización del transfronterizo y la presión de los incentivos a emisores. A 12 meses Visa rinde lo que crece su beneficio, en torno al 11 %, sin expansión de múltiplo.</w:t>
      </w:r>
    </w:p>
    <w:p>
      <w:pPr>
        <w:keepNext/>
        <w:spacing w:after="100"/>
      </w:pPr>
      <w:r>
        <w:rPr>
          <w:b/>
          <w:bCs/>
        </w:rPr>
        <w:t xml:space="preserve">Por qué podemos tener razón.</w:t>
      </w:r>
    </w:p>
    <w:p>
      <w:pPr>
        <w:spacing w:after="100"/>
      </w:pPr>
      <w:r>
        <w:t xml:space="preserve">Coincidimos con el mercado en las cifras cercanas; la diferencia está en el largo plazo y en la tasa. No tenemos una visión distinta que justifique ir contra el mercado: es una conclusión válida, y por eso la recomendación es Mantener y no Vender pese a que el valor intrínseco está un 26,6 % por debajo.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Efecto de red sin rival fuera de China</w:t>
      </w:r>
      <w:r>
        <w:t xml:space="preserve">: 40,8 % de las transacciones con tarjeta de red del mundo [24].</w:t>
      </w:r>
    </w:p>
    <w:p>
      <w:pPr>
        <w:pStyle w:val="ListParagraph"/>
        <w:numPr>
          <w:ilvl w:val="0"/>
          <w:numId w:val="2"/>
        </w:numPr>
        <w:spacing w:after="60"/>
      </w:pPr>
      <w:r>
        <w:rPr>
          <w:b/>
        </w:rPr>
        <w:t xml:space="preserve">Rentabilidad excepcional</w:t>
      </w:r>
      <w:r>
        <w:t xml:space="preserve">: ROIC del 52,3 % frente a un WACC del 9,98 % y margen EBITDA del 70 %.</w:t>
      </w:r>
    </w:p>
    <w:p>
      <w:pPr>
        <w:pStyle w:val="ListParagraph"/>
        <w:numPr>
          <w:ilvl w:val="0"/>
          <w:numId w:val="2"/>
        </w:numPr>
        <w:spacing w:after="60"/>
      </w:pPr>
      <w:r>
        <w:rPr>
          <w:b/>
        </w:rPr>
        <w:t xml:space="preserve">Poder de precios demostrado</w:t>
      </w:r>
      <w:r>
        <w:t xml:space="preserve">: ingresos +14 % con volumen +10 % en el 3T FY2026 [3].</w:t>
      </w:r>
    </w:p>
    <w:p>
      <w:pPr>
        <w:pStyle w:val="ListParagraph"/>
        <w:numPr>
          <w:ilvl w:val="0"/>
          <w:numId w:val="2"/>
        </w:numPr>
        <w:spacing w:after="60"/>
      </w:pPr>
      <w:r>
        <w:rPr>
          <w:b/>
        </w:rPr>
        <w:t xml:space="preserve">Caja libre de 21.577 M</w:t>
      </w:r>
      <w:r>
        <w:t xml:space="preserve"> en FY2025, el 108 % del beneficio, casi toda devuelta al accionista.</w:t>
      </w:r>
    </w:p>
    <w:p>
      <w:pPr>
        <w:pStyle w:val="ListParagraph"/>
        <w:numPr>
          <w:ilvl w:val="0"/>
          <w:numId w:val="2"/>
        </w:numPr>
        <w:spacing w:after="60"/>
      </w:pPr>
      <w:r>
        <w:rPr>
          <w:b/>
        </w:rPr>
        <w:t xml:space="preserve">Guía al alza</w:t>
      </w:r>
      <w:r>
        <w:t xml:space="preserve">: de «low double digits» a «mid-teens» en FY2026 [3, 13].</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290,56 USD, un 26,6 % por debajo del precio.</w:t>
      </w:r>
    </w:p>
    <w:p>
      <w:pPr>
        <w:pStyle w:val="ListParagraph"/>
        <w:numPr>
          <w:ilvl w:val="0"/>
          <w:numId w:val="2"/>
        </w:numPr>
        <w:spacing w:after="60"/>
      </w:pPr>
      <w:r>
        <w:rPr>
          <w:b/>
        </w:rPr>
        <w:t xml:space="preserve">Precio en máximos</w:t>
      </w:r>
      <w:r>
        <w:t xml:space="preserve">: el DCF inverso pide un 12,9 % de crecimiento anual hasta FY2035.</w:t>
      </w:r>
    </w:p>
    <w:p>
      <w:pPr>
        <w:pStyle w:val="ListParagraph"/>
        <w:numPr>
          <w:ilvl w:val="0"/>
          <w:numId w:val="2"/>
        </w:numPr>
        <w:spacing w:after="60"/>
      </w:pPr>
      <w:r>
        <w:rPr>
          <w:b/>
        </w:rPr>
        <w:t xml:space="preserve">Regulación en EE. UU.</w:t>
      </w:r>
      <w:r>
        <w:t xml:space="preserve">: CCCA y demanda del DOJ; el bajista vale 214,21 USD [28].</w:t>
      </w:r>
    </w:p>
    <w:p>
      <w:pPr>
        <w:pStyle w:val="ListParagraph"/>
        <w:numPr>
          <w:ilvl w:val="0"/>
          <w:numId w:val="2"/>
        </w:numPr>
        <w:spacing w:after="60"/>
      </w:pPr>
      <w:r>
        <w:rPr>
          <w:b/>
        </w:rPr>
        <w:t xml:space="preserve">Base de comparación difícil en FY2027</w:t>
      </w:r>
      <w:r>
        <w:t xml:space="preserve">: valor añadido +34 % y transfronterizo anormal en el 3T FY2026 [3].</w:t>
      </w:r>
    </w:p>
    <w:p>
      <w:pPr>
        <w:pStyle w:val="ListParagraph"/>
        <w:numPr>
          <w:ilvl w:val="0"/>
          <w:numId w:val="2"/>
        </w:numPr>
        <w:spacing w:after="60"/>
      </w:pPr>
      <w:r>
        <w:rPr>
          <w:b/>
        </w:rPr>
        <w:t xml:space="preserve">Litigios recurrentes</w:t>
      </w:r>
      <w:r>
        <w:t xml:space="preserve"> que el BPA ajustado excluye: 899 M en el 4T FY2025 [2].</w:t>
      </w:r>
    </w:p>
    <w:p>
      <w:pPr>
        <w:pStyle w:val="Heading2"/>
      </w:pPr>
      <w:r>
        <w:t xml:space="preserve">Qué tiene que pasar para que la tesis funcione</w:t>
      </w:r>
    </w:p>
    <w:p>
      <w:pPr>
        <w:spacing w:after="100"/>
      </w:pPr>
      <w:r>
        <w:t xml:space="preserve">La tesis depende de que los ingresos netos sigan creciendo por encima del volumen de pagos (poder de precios) y por encima del 9-10 % en FY2027 pese a la normalización del transfronterizo. La señal de que no se cumple: ingresos netos creciendo al mismo ritmo que el volumen, o transacciones procesadas por debajo del 7 %, que indicarían pérdida de precio o de cuota frente a los pagos de cuenta a cuenta y a las redes alternativas.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 netos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(3T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11 % en FY2027e.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ingresos − volumen de pagos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(14 % frente a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0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procesadas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frente a pagos alternativos.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de más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FY2027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 14,94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14,3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 / 26,5x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Visa nace en 1958 como BankAmericard, el programa de tarjetas de Bank of America en California, y en 1970 pasa a ser una asociación de bancos (National BankAmericard), que en 1976 adopta el nombre Visa. Durante casi cincuenta años fue una cooperativa propiedad de los bancos emisores. En 2008 salió a bolsa en la mayor OPV de la historia de EE. UU. hasta entonces; los bancos estadounidenses se quedaron acciones de clase B cuya conversión sirve para pagar los litigios de tasas de intercambio. En 2016 compró Visa Europe, que se había quedado fuera en la reorganización, y unificó la red. Desde 2023 la dirige Ryan McInerney, que ha empujado los servicios de valor añadido, el dinero fuera de la tarjeta y los pagos con stablecoins [1,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Bank of America lanza BankAmericard en Fresno (California).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asociación de bancos adopta la marca Visa.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clase B para los bancos de EE. UU. ligada a los litigios cubiertos.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Visa Europe por unos 23.000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la compra de Plaid tras la demanda del Departamento de Justicia; compra Tink.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Justicia demanda a Visa por monopolización del débito en EE. UU.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canje de acciones de clase B (B-1 y B-2) para ir liberando la estructura de 2008.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trimestral supera los 4 billones de USD; el Banco Popular de China aprueba la solicitud preparatoria para una cámara de compensación nacional [3, 25].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Visa opera la mayor red de pagos con tarjeta del mundo: conecta a los bancos emisores (que dan las tarjetas a los consumidores) con los adquirentes (que dan servicio a los comercios) y cobra por autorizar, compensar y liquidar cada operación. No presta dinero ni asume el riesgo de crédito del titular: ese riesgo es del banco emisor. En el tercer trimestre fiscal de 2026 el volumen de pagos superó por primera vez los 4 billones de USD en un trimestre (+10 % a tipo constante) y las transacciones procesadas crecieron un 10 % [3]. Además de la red, vende servicios de valor añadido (riesgo y fraude, emisión en la nube, datos, marketing y consultoría) y mueve dinero fuera de la tarjeta con Visa Direct y Visa B2B Connect [1, 3].</w:t>
      </w:r>
    </w:p>
    <w:p>
      <w:pPr>
        <w:pStyle w:val="Heading2"/>
      </w:pPr>
      <w:r>
        <w:t xml:space="preserve">Cómo gana dinero</w:t>
      </w:r>
    </w:p>
    <w:p>
      <w:pPr>
        <w:spacing w:after="100"/>
      </w:pPr>
      <w:r>
        <w:t xml:space="preserve">Los ingresos netos salen de cuatro líneas que la empresa publica: servicios (por volumen de pagos), procesamiento de datos (por transacción), operaciones internacionales (comisiones transfronterizas y de cambio de divisa, las de más margen) y otros ingresos (servicios de valor añadido y marketing), menos los incentivos que paga a clientes [1]. Casi todo es recurrente y variable: crece con el gasto nominal con tarjeta, el paso del efectivo a la tarjeta y los viajes internacionales. El coste es casi fijo (personal y tecnología), así que el apalancamiento operativo es alto: el margen operativo ajustado de 2025 fue del 67,7 % (gastos ajustados de 12.906 M sobre 40.000 M de ingresos) [1, 2]. En el tercer trimestre de 2026 los servicios de valor añadido crecieron un 34 % a tipo constante, hasta 3.800 M, con el impulso puntual de la Copa del Mundo [3, 20].</w:t>
      </w:r>
    </w:p>
    <w:p>
      <w:pPr>
        <w:pStyle w:val="Heading2"/>
      </w:pPr>
      <w:r>
        <w:t xml:space="preserve">Clientes, recurrencia y poder de precios</w:t>
      </w:r>
    </w:p>
    <w:p>
      <w:pPr>
        <w:spacing w:after="100"/>
      </w:pPr>
      <w:r>
        <w:t xml:space="preserve">Los clientes directos son bancos emisores y adquirentes; ninguno es material por sí solo, pero los incentivos de clientes (rebajas negociadas en contratos plurianuales) son la mayor partida que resta de los ingresos brutos y suben con cada renovación de grandes emisores [1]. El poder de precios se ve en que los ingresos netos crecen 3-5 puntos más que el volumen de pagos: en 2025, ingresos +11 % con volumen +8 % a tipo constante [2]; en el tercer trimestre de 2026, ingresos +14 % con volumen +10 % [3]. Parte de esa diferencia viene de tarifas y parte de la mezcla (más transfronterizo y más valor añadido).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cifras por cuarto año seguido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 billones de USD en el trimestre por primera vez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procesadas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estable de 9-10 %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avisó de que el comercio electrónico transfronterizo de junio y julio fue anormalmente alto y se normalizará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servicios de valor añadido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M USD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Inflado por los servicios de marketing de la Copa del Mundo de la FIFA [3,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provisiones de litigios ni otros especiales [2, 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las redes de pagos con tarjeta (crédito, débito y prepago) para compras de bienes y servicios, a escala mundial: Visa, Mastercard, UnionPay, American Express, JCB y Discover/Diners. Lo medimos en transacciones de compra, la métrica pública de Nilson, porque el volumen en dinero por marca está detrás de un muro de pago. Fuera de este perímetro quedan las transferencias en tiempo real (Pix, UPI), las billeteras de circuito cerrado y las stablecoins, que compiten por los mismos pagos y son la principal amenaza de sustitución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828.100 millones de transacciones de compra con tarjetas de red en 2025 (+7,1 %) [24]; en Asia-Pacífico, 15,5 billones de USD de volumen de compras con tarjetas de red en 2025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con tarjeta de red +7,1 % en 2025 [24]; transacciones procesadas por Visa +10 % en el 3T FY2026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y comercio electrónico transfronterizo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transfronterizo de Visa +13 % en el 3T FY2026, con junio y julio anormalmente altos según la empresa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nominal del consumidor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pagos crece con el gasto nominal: +10 % a tipo constante en el 3T FY2026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tasas y de enrutamiento (CCCA, pleito de débito del DOJ, MDL)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se reintrodujo en enero de 2026 sin calendario; el DOJ mantiene la demanda de débito [26,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Transferencias inmediatas y stablecoins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marzo de 2026 Visa, Mastercard y Amex cayeron un 19-23 % desde máximos por el miedo a las stablecoins y a un tope del 10 % a los intereses de las tarjetas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Mastercard fuera de China; se compite por contratos con emisores a base de incentivos, no por precio al comercio [24,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emisores negocian incentivos crecientes en cada renovación; los comercios presionan por vía judicial y legislativa (MDL, CCCA)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personal; ningún proveedor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red nueva necesita a la vez emisores, comercios y titulares; las que han entrado lo han hecho con apoyo estatal (UnionPay, Pix, UPI)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instantáneos de cuenta a cuenta y stablecoins; hoy pequeños en compras con tarjeta en EE. UU. y Europa, grandes en Brasil e India [29].</w:t>
            </w:r>
          </w:p>
        </w:tc>
      </w:tr>
    </w:tbl>
    <w:p>
      <w:pPr>
        <w:spacing w:after="160" w:before="0"/>
      </w:pPr>
    </w:p>
    <w:p>
      <w:pPr>
        <w:pStyle w:val="Heading2"/>
      </w:pPr>
      <w:r>
        <w:t xml:space="preserve">Ciclo</w:t>
      </w:r>
    </w:p>
    <w:p>
      <w:pPr>
        <w:spacing w:after="100"/>
      </w:pPr>
      <w:r>
        <w:t xml:space="preserve">El volumen de pagos crece al 10 % a tipo constante y las transacciones al 10 %, por encima del 8 % de FY2025 [3]. En 2008-09 los ingresos de Visa apenas cayeron porque el débito sustituyó al crédito; en 2020 los ingresos netos bajaron un 5 % por el hundimiento del transfronterizo y se recuperaron en 2021-22. Un frenazo del consumo afecta sobre todo al transfronterizo (las comisiones de más margen).</w:t>
      </w:r>
    </w:p>
    <w:p>
      <w:pPr>
        <w:pStyle w:val="Heading2"/>
      </w:pPr>
      <w:r>
        <w:t xml:space="preserve">Regulación</w:t>
      </w:r>
    </w:p>
    <w:p>
      <w:pPr>
        <w:spacing w:after="100"/>
      </w:pPr>
      <w:r>
        <w:t xml:space="preserve">En EE. UU., tres frentes: la Credit Card Competition Act (obligaría a ofrecer una segunda red en las tarjetas de crédito), reintroducida en enero de 2026 sin calendario [28]; la demanda del Departamento de Justicia de septiembre de 2024 por monopolización del débito [26]; y el pleito de tasas de intercambio de los comercios (MDL), con provisiones recurrentes [3]. En Europa, el tope a las tasas de intercambio y el euro digital. En China, la aprobación preparatoria de una cámara nacional abre un mercado que hoy es casi exclusivo de UnionPay [25].</w:t>
      </w:r>
    </w:p>
    <w:p>
      <w:pPr>
        <w:pStyle w:val="Heading2"/>
      </w:pPr>
      <w:r>
        <w:t xml:space="preserve">Tendencias y disrupción</w:t>
      </w:r>
    </w:p>
    <w:p>
      <w:pPr>
        <w:spacing w:after="100"/>
      </w:pPr>
      <w:r>
        <w:t xml:space="preserve">Tres tendencias: los pagos de cuenta a cuenta respaldados por los Estados (Pix, UPI), que restan transacciones a la tarjeta en mercados emergentes; las stablecoins, que Visa intenta integrar como red de liquidación (liquidación en USDC) en vez de combatir [29, 31]; y el comercio con agentes de IA, donde Visa lanza credenciales tokenizadas para que los agentes paguen. La empresa gana si la tarjeta tokenizada sigue siendo la credencial por defecto; pierde si los comercios consiguen enrutar fuera de la red.</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red de tarjetas del mundo por transacciones de compra (40,8 % en 2025, con UnionPay incluida) [24]; en EE. UU., 70,4 % del volumen de compras de las marcas que mide Nilson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otro gran esquema abierto; ingresos netos +16 % en 2025 y servicios de valor añadido +23 % [30]. Mismo modelo, más peso fuera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Dominante en China;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Express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cerrada: emite, adquiere y asume el crédito; compite en tarjetas premium.</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Billetera digital; buena parte de su volumen pasa por las redes de tarjetas. Margen operativo contable del 17,4 % en el 4T 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Adyen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Adquirente; cliente más que rival, pero promueve el enrutamiento y los pagos de cuenta a cuenta. Ingresos netos 2025 de 2.364 M EUR (2.643 M USD al 1,1181)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 billones de USD por trimestre y 40,8 % de las transacciones mundiales con tarjeta; cada emisor y cada comercio nuevos hacen la red más valiosa para los demás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emisores y migraciones de cartera costosas; los incentivos crecientes muestran que los grandes emisores sí cambian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aceptación universal; tokenización y gestión de riesgo propias.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67,7 % en FY2025, muy por encima de procesadores y billeteras.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fuera de China: no hay sitio para una tercera red abierta sin apoyo estatal.</w:t>
            </w:r>
          </w:p>
        </w:tc>
      </w:tr>
    </w:tbl>
    <w:p>
      <w:pPr>
        <w:spacing w:after="160" w:before="0"/>
      </w:pPr>
    </w:p>
    <w:p>
      <w:pPr>
        <w:pStyle w:val="Heading2"/>
      </w:pPr>
      <w:r>
        <w:t xml:space="preserve">Amenazas</w:t>
      </w:r>
    </w:p>
    <w:p>
      <w:pPr>
        <w:spacing w:after="100"/>
      </w:pPr>
      <w:r>
        <w:t xml:space="preserve">Tres vías de erosión, por probabilidad: la regulación del enrutamiento y de las tasas en EE. UU. (CCCA o una sentencia del DOJ que obligue a ofrecer redes alternativas en débito y crédito), probabilidad media en cinco años; los pagos de cuenta a cuenta respaldados por Estados y bancos centrales, ya altos en Brasil e India y posibles en Europa con el euro digital; y las stablecoins como medio de liquidación del comercio electrónico, hoy baja. Ninguna toca el efecto de red a corto plazo, pero sí el precio por transacción.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FY2021-FY2025: ingresos </w:t>
      </w:r>
      <w:r>
        <w:rPr>
          <w:b/>
          <w:bCs/>
        </w:rPr>
        <w:t xml:space="preserve">13,5 %</w:t>
      </w:r>
      <w:r>
        <w:t xml:space="preserve">, EBITDA </w:t>
      </w:r>
      <w:r>
        <w:rPr>
          <w:b/>
          <w:bCs/>
        </w:rPr>
        <w:t xml:space="preserve">14,1 %</w:t>
      </w:r>
      <w:r>
        <w:t xml:space="preserve">, BPA </w:t>
      </w:r>
      <w:r>
        <w:rPr>
          <w:b/>
          <w:bCs/>
        </w:rPr>
        <w:t xml:space="preserve">16,0 %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pasaron de 24.105 M en FY2021 a 40.000 M en FY2025 [2, 11], todo orgánico salvo compras pequeñas (Pismo, Featurespace). El beneficio neto subió de 12.311 M a 20.058 M [9]. El margen operativo contable cayó de 65,7 % en FY2024 a 60,0 % en FY2025 por las provisiones de litigios (899 M solo en el 4T por el pleito de tasas de intercambio, MDL) [2, 5]; en base ajustada el margen operativo fue del 67,7 % [1]. En FY2026 los tres primeros trimestres sumaron unos 33.700 M de ingresos (+15 %), con BPA ajustado de 3,17, 3,31 y 3,32 USD [3, 13, 14]; el 3T lleva 563 M de indemnizaciones por despidos y 237 M de provisión del MDL [3, 21].</w:t>
      </w:r>
    </w:p>
    <w:p>
      <w:pPr>
        <w:pStyle w:val="Heading2"/>
      </w:pPr>
      <w:r>
        <w:t xml:space="preserve">Ajustes y partidas no recurrentes</w:t>
      </w:r>
    </w:p>
    <w:p>
      <w:pPr>
        <w:spacing w:after="100"/>
      </w:pPr>
      <w:r>
        <w:t xml:space="preserve">Visa publica un BPA ajustado que excluye provisiones de litigios cubiertos y del MDL, ganancias y pérdidas de inversiones de capital, amortización de intangibles adquiridos, indemnizaciones y otros especiales. Diferencia FY2025: BPA contable 10,20 USD frente a 11,47 ajustado (beneficio de 20.058 M frente a 22.500 M) [2]; FY2024: 9,73 frente a 10,05 [6]; FY2023: 8,28 frente a 8,77 [7]; FY2022: 7,00 frente a 7,50 [8]. Los litigios cubiertos de EE. UU. se pagan con la cuenta de garantía (escrow) que se financia reduciendo la tasa de conversión de las acciones de clase B: para el accionista de clase A son dilución, no caja. En FY2025 ponemos 2.900 M como no recurrentes dentro del EBITDA (estimación propia: gastos operativos contables de 16.006 M menos ajustados de 12.906 M, ≈3.100 M, menos ≈200 M de amortización de intangibles adquiridos)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Trimestres fiscales (el 1T es octubre-diciembre). BPA ajustado. En la conferencia del 3T (28-jul-2026) la dirección subió la guía del año: crecimiento de los ingresos netos y del BPA ajustado en la parte baja de la banda de «mid-teens» (en torno al 14-15 %), frente al «low double digits» de enero [3, 13, 21]. Los analistas preguntaron sobre todo por tres cosas: cuánto del 34 % de crecimiento del valor añadido es la Copa del Mundo y no se repetirá; la normalización del comercio electrónico transfronterizo, que el director financiero calificó de anormalmente alto en junio y julio; y el recorte de plantilla, con 563 M de indemnizaciones [3, 20, 21]. La dirección evitó dar cifras de 2027 y no detalló el calendario del pleito antimonopolio del Departamento de Justicia sobre débito. En la conferencia del 2T (abril) el mensaje fue de aceleración (ingresos +17 %) con apuestas en pagos con stablecoins y comercio con agentes de IA [14,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spacing w:after="100"/>
      </w:pPr>
      <w:r>
        <w:t xml:space="preserve">El balance es de activos ligeros: el fondo de comercio y los intangibles (47.525 M en FY2025, sobre todo la recompra de Visa Europe de 2016) son casi la mitad del activo [1, 12]. La deuda bruta subió de 20.836 M a 25.171 M en FY2025 y bajó a 23.858 M a junio de 2026 al vencer bonos [4]. La caja e inversiones cayeron de 19.996 M (sep-25) a 13.900 M (jun-26) por recompras y vencimientos, así que la deuda neta pasó de unos 5.200 M a unos 10.000 M, menos de 0,3 veces el EBITDA [3,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FY2021-FY2025: FCF </w:t>
      </w:r>
      <w:r>
        <w:rPr>
          <w:b/>
          <w:bCs/>
        </w:rPr>
        <w:t xml:space="preserve">92.367</w:t>
      </w:r>
      <w:r>
        <w:t xml:space="preserve">, conversión </w:t>
      </w:r>
      <w:r>
        <w:rPr>
          <w:b/>
          <w:bCs/>
        </w:rPr>
        <w:t xml:space="preserve">110 %</w:t>
      </w:r>
      <w:r>
        <w:t xml:space="preserve"> del beneficio neto; adquisiciones 0, dividendos 18.569, recompras 67.566.</w:t>
      </w:r>
    </w:p>
    <w:p>
      <w:pPr>
        <w:spacing w:after="100"/>
      </w:pPr>
      <w:r>
        <w:t xml:space="preserve">El flujo operativo pasó de 15.227 M en FY2021 a 23.059 M en FY2025 y el capex de 705 M a 1.482 M (3,7 % de las ventas) [1, 11]. La conversión del beneficio en caja libre supera el 100 % casi todos los años porque las provisiones de litigios cubiertos no salen de la caja operativa de la clase A (se pagan desde la cuenta de garantía). FY2024 fue el año flojo (19.950 M) por pagos de litigios y del calendario de incentivos [5]. Casi todo el capex es tecnología (software capitalizado y centros de datos); no hay cifra publicada de mantenimiento frente a crecimiento: estimación propia, unas dos terceras partes de mantenimiento, porque la amortización (1.220 M) está cerca del capex. Recompras y dividendos de FY2025 sumaron 22.800 M, por encima de la caja libre: se financió con deuda y caja [1,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diferencias entre contable y ajustado son grandes y repetidas: provisiones de litigios todos los años (899 M solo en el 4T de FY2025, 237 M en el 3T FY2026), amortización de intangibles adquiridos e indemnizaciones (563 M en el 3T FY2026) [2, 3]. El BPA ajustado supera al contable en un 12 % en FY2025 [2]. Que los litigios de EE. UU. se paguen con la cuenta de garantía financiada por los antiguos accionistas de clase B (bancos) hace que el ajuste tenga lógica económica para la clase A, pero no es gratis: reduce las acciones de clase B convertibles y no las de la A. La remuneración en acciones ronda el 2 % de los ingresos. Sin capitalización agresiva de gastos: capex del 3,7 % de las ventas. Los indicadores del motor (Altman, Piotroski, Beneish) están limitados porque faltan partidas de balance (clientes, circulante) en los años antiguos.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litigios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todos los años; parte la soporta la clase B vía escrow, pero el MDL de comercios sigue abierto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Indemnizaciones de 563 M en el 3T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plantilla; si se repite cada año no es no recurrente [3,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10,0 %.</w:t>
      </w:r>
    </w:p>
    <w:p>
      <w:pPr>
        <w:spacing w:after="100"/>
      </w:pPr>
      <w:r>
        <w:t xml:space="preserve">Visa crea valor con holgura: el ROIC pasó del 20,7 % en FY2021 al 52,3 % en FY2025 frente a un WACC del 9,98 %, más de 42 puntos de diferencia. La subida no viene del margen (el EBITDA está en el 67-70 % todos los años) sino de la rotación: el capital invertido bajó de 58.566 M a 42.669 M porque las recompras financiadas con deuda reducen el patrimonio mientras el fondo de comercio y los intangibles de Visa Europe se mantienen. El ROE (52,1 %) y el ROA (20,7 %) cuentan lo mismo. El ROIC incremental no tiene sentido aquí: el capital invertido cae mientras el beneficio sube. Frente a Mastercard (ROIC del 93,8 % según Stock Analysis) [54], Visa es menos rentable por la mochila de intangibles de la compra de Visa Europe, no por el negocio.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equivalentes e inversiones financieras de 13.900 M a 30-jun-2026, sin contar la caja restringida de la cuenta de garantía de litigios de EE. UU. (2.990 M a sep-2025) [1, 3,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 Aa3 (Moody's) según los folletos de bonos; no comprobado en esta sesión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Los litigios son el pasivo relevante que no es deuda. Los cubiertos de EE. UU. (tasas de intercambio, MDL) se pagan con la cuenta de garantía, que se dota reduciendo la tasa de conversión de las acciones de clase B-1 y B-2; las provisiones de FY2025 (899 M solo en el 4T) y del 3T FY2026 (237 M) salen de ahí [2, 3]. Los litigios de Europa los cubre el plan de responsabilidad de las acciones preferentes de la serie B y C (UK&amp;I y Europa). Visa no tiene pensiones relevantes ni arrendamientos financieros importantes [1].</w:t>
      </w:r>
    </w:p>
    <w:p>
      <w:pPr>
        <w:pStyle w:val="Heading1"/>
      </w:pPr>
      <w:r>
        <w:t xml:space="preserve">12. Asignación de capital</w:t>
      </w:r>
    </w:p>
    <w:p>
      <w:pPr>
        <w:pStyle w:val="Confianza"/>
        <w:spacing w:after="100"/>
      </w:pPr>
      <w:r>
        <w:t xml:space="preserve">Confianza: Media</w:t>
      </w:r>
    </w:p>
    <w:p>
      <w:pPr>
        <w:spacing w:after="100"/>
      </w:pPr>
      <w:r>
        <w:t xml:space="preserve">Dividendo trimestral de 0,67 USD desde el 4T de FY2025 (+13,6 % sobre 0,59) y recompras continuas: 18.200 M en FY2025 (54 millones de acciones) [1, 2]. En el 3T FY2026 devolvió 6.200 M entre recompras y dividendos [3]. La empresa ha dicho que prioriza la inversión en el negocio y las compras pequeñas de tecnología, y devuelve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Europe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acciones preferentes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Unificó la red; los intangibles de Visa Europe son el grueso del balance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Plaid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Cancelada tras la demanda del Departamento de Justicia.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Tink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abierta en Europa; sin deterioros publicados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Featurespace y Pismo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Fraude con IA y emisión en la nube; aún sin cifras separadas [5].</w:t>
            </w:r>
          </w:p>
        </w:tc>
      </w:tr>
    </w:tbl>
    <w:p>
      <w:pPr>
        <w:spacing w:after="160" w:before="0"/>
      </w:pPr>
    </w:p>
    <w:p>
      <w:pPr>
        <w:spacing w:after="100"/>
      </w:pPr>
      <w:r>
        <w:t xml:space="preserve">Visa devuelve más caja de la que genera: entre FY2021 y FY2025 la caja libre sumó 92.367 M y recompras y dividendos 86.135 M (67.566 M en recompras), sin compras relevantes. En FY2025 recompras (18.200 M) y dividendos (4.600 M) superaron a la caja libre (21.577 M) y la deuda subió de 20.836 M a 25.171 M [1, 2]. Las acciones diluidas cayeron de 2.187 M a 1.966 M en cuatro años (−2,6 % al año), que explica unos 3 puntos del crecimiento anual del BPA. Las compras de tecnología (Tink, Featurespace, Pismo) son pequeñas frente a la caja y sin deterioros publicados [19]. La asignación es buena, pero a 26-27 veces el beneficio cada dólar de recompra rinde menos que hace tres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McInerney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Visa desde 2013 y CEO desde febrero de 2023; antes, banca de consumo en JPMorgan Chase. En su etapa los ingresos netos pasaron de 32.653 M (FY2023) a 40.000 M (FY2025) y el valor añadido se convirtió en el motor de crecimiento [1,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Suh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de Microsoft (vicepresidente financiero) en 2023. Ha mantenido recompras de 17.000-18.200 M al año con aumento de la deuda en FY2025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F. Lundgren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presidente y CEO de Stanley Black &amp; Decker; preside el consejo de Visa como independiente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netos de dos cifras bajas y del BPA ajustado en la parte baja de las dos cifras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ajustado +14 % (11,47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enero: BPA ajustado en la parte alta de «low double digits»; en julio, subida a la parte baja de «mid-teens» en ingresos y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trimestres con ingresos +15 % y BPA ajustado de 9,80 USD (+15 % sobre 8,49 de los tres primeros de FY2025); el año se publica el 27-oct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o superado la guía en los dos últimos años y la subió en julio de 2026 [2, 3]. El equipo es estable: McInerney lleva trece años en la cúpula y el CFO tres. La sucesión de 2023 (de Al Kelly a McInerney) se anunció con antelación y fue ordenada. El recorte de plantilla del 3T FY2026 (563 M de indemnizaciones) apunta a una dirección dispuesta a defender el margen mientras invierte en stablecoins, IA y China [3].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Lundgren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McInerney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 A. Carney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Kermit R. Crawford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Francisco Javier Fernández-Carbajal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M. Morrison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Ready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J. Rendle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Maynard G. Webb,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24,41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del CEO en FY2025 fue de 31,56 M USD (26,0 M en FY2024): 1,51 M de salario, 5,25 M de variable anual, 18,72 M en acciones y 5,69 M en opciones [35, 36]. Alrededor del 77 % es variable a largo plazo en acciones y opciones. El variable anual depende de ingresos netos y BPA ajustados y de objetivos estratégicos; las acciones de rendimiento, del BPA y del rendimiento total frente al S&amp;P 500 (según la estructura de los proxies; no comprobado línea a línea en esta sesión). Que la métrica sea el BPA ajustado deja fuera las provisiones de litigios. No se encontró el resultado de la votación consultiva de la junta del 27-ene-2026.</w:t>
      </w:r>
    </w:p>
    <w:p>
      <w:pPr>
        <w:pStyle w:val="Heading2"/>
      </w:pPr>
      <w:r>
        <w:t xml:space="preserve">Operaciones vinculadas, estructura de control y defensas</w:t>
      </w:r>
    </w:p>
    <w:p>
      <w:pPr>
        <w:spacing w:after="100"/>
      </w:pPr>
      <w:r>
        <w:t xml:space="preserve">Sin accionista de control: capital disperso entre fondos indexados y gestoras. La estructura de clases es herencia de la salida a bolsa de 2008: las acciones de clase B (bancos de EE. UU.) y C, y las preferentes de las series B y C (Visa Europe), no votan en la mayoría de asuntos y se convierten en clase A a medida que se resuelven los litigios cubiertos; en 2024 se lanzó un canje para liberar parte de la clase B [35, 37]. Por eso la acción de clase A no es «una acción, un voto» en sentido estricto, aunque el efecto práctico es proteger a la A de los litigios. Presidente independiente separado del CEO.</w:t>
      </w:r>
    </w:p>
    <w:p>
      <w:pPr>
        <w:pStyle w:val="Heading2"/>
      </w:pPr>
      <w:r>
        <w:t xml:space="preserve">Señales de alerta</w:t>
      </w:r>
    </w:p>
    <w:p>
      <w:pPr>
        <w:pStyle w:val="ListParagraph"/>
        <w:numPr>
          <w:ilvl w:val="0"/>
          <w:numId w:val="2"/>
        </w:numPr>
        <w:spacing w:after="60"/>
      </w:pPr>
      <w:r>
        <w:t xml:space="preserve">Demanda antimonopolio del Departamento de Justicia sobre el débito, en curso desde septiembre de 2024.</w:t>
      </w:r>
    </w:p>
    <w:p>
      <w:pPr>
        <w:pStyle w:val="ListParagraph"/>
        <w:numPr>
          <w:ilvl w:val="0"/>
          <w:numId w:val="2"/>
        </w:numPr>
        <w:spacing w:after="60"/>
      </w:pPr>
      <w:r>
        <w:t xml:space="preserve">Provisiones recurrentes del pleito de tasas de intercambio (MDL) excluidas del BPA ajustado que mide el variable.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para FY2026 (octubre de 2025 a septiembre de 2026), subida en los resultados del 3T del 28-jul-2026: crecimiento de los ingresos netos y del BPA ajustado en la parte baja de «mid-teens», frente a «low double digits» en enero [3, 13]. Los tres primeros trimestres suman unos 33.700 M de ingresos (+15 %) y 9,80 USD de BPA ajustado. La guía de FY2027 llegará con los resultados del 27-oct-2026 [40]. La empresa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tras el 3T (agosto de 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tras el 3T (agosto de 2026)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330,00 – 466,00</w:t>
            </w:r>
          </w:p>
        </w:tc>
      </w:tr>
    </w:tbl>
    <w:p>
      <w:pPr>
        <w:spacing w:after="160" w:before="0"/>
      </w:pPr>
    </w:p>
    <w:p>
      <w:pPr>
        <w:pStyle w:val="Heading2"/>
      </w:pPr>
      <w:r>
        <w:t xml:space="preserve">Revisiones de estimaciones</w:t>
      </w:r>
    </w:p>
    <w:p>
      <w:pPr>
        <w:spacing w:after="100"/>
      </w:pPr>
      <w:r>
        <w:t xml:space="preserve">Las estimaciones suben: el BPA de FY2026 pasó de 12,81 USD antes del 1T a 13,01 tras el 2T y 13,14 tras el 3T; el de FY2027, de 14,50 a 14,74 y 14,94 [41, 42]. Los ingresos de FY2026, de 44.960 M a 45.710 M [41]. Los precios objetivo también suben: Baird pasó de 420 a 430 USD el 12-oct-2026 [43]. Solo hay una fuente gratuita con estimaciones completas (Zacks, vía prensa); el objetivo medio se contrasta con Benzinga (408,75 USD) y MarketBeat (425,52 USD) [44, 45].</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spacing w:after="160" w:before="0"/>
      </w:pPr>
    </w:p>
    <w:p>
      <w:pPr>
        <w:spacing w:after="100"/>
      </w:pPr>
      <w:r>
        <w:t xml:space="preserve">Visa cerró el 13-oct-2026 en 396,06 USD (+1,7 % en el día), máximo histórico, tras ocho sesiones seguidas al alza; la subida en el año es del 13,6 % [39]. El impulso reciente viene de la aprobación preparatoria del Banco Popular de China para una cámara de compensación nacional y de la subida de la guía en julio [25, 39]. En marzo de 2026 la acción había caído hasta un 19-23 % desde máximos, junto a Mastercard y Amex, por el miedo a las stablecoins y a un tope a los intereses de las tarjetas [29]; en junio cotizaba en torno a 320 USD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Con el BPA contable, el PER de los últimos 12 meses está en 38,8x frente a una media de 28,1x en FY2022-FY2025, y el EV/EBITDA en 26,8x frente a 22,8x: prima del 38 % y del 18 % [47]. Parte de la prima es contable: el BPA de FY2025 (10,20 USD) lleva las provisiones de litigios; con el ajustado (11,47 USD) el PER de cierre de FY2025 fue de 29,8x. Con el BPA ajustado de los próximos doce meses del consenso (14,94 USD) cotiza a 26,5x, en la mediana de los últimos cuatro años (26,8x). No hay datos verificados de FY2018-FY2021 (huecos).</w:t>
      </w:r>
    </w:p>
    <w:p>
      <w:pPr>
        <w:pStyle w:val="Heading1"/>
      </w:pPr>
      <w:r>
        <w:t xml:space="preserve">18. Comparables cotizados</w:t>
      </w:r>
    </w:p>
    <w:p>
      <w:pPr>
        <w:pStyle w:val="Confianza"/>
        <w:spacing w:after="100"/>
      </w:pPr>
      <w:r>
        <w:t xml:space="preserve">Confianza: Media</w:t>
      </w:r>
    </w:p>
    <w:p>
      <w:pPr>
        <w:spacing w:after="100"/>
      </w:pPr>
      <w:r>
        <w:t xml:space="preserve">Las dos redes abiertas no tienen más comparable directo que Mastercard. Añadimos los adquirentes y procesadores (Adyen, Fiserv, Global Payments, Nexi, Worldline) y las billeteras (PayPal, Block), que viven del mismo flujo de pagos con márgenes y crecimientos mucho menores. American Express queda fuera por ser emisor con riesgo de crédito; UnionPay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mediana del PER de los próximos 12 meses de los ocho es de 18,8x, con un crecimiento mediano del 4,5 % y un ROIC mediano del 7,3 % [53, 54, 55, 56]: Visa (26,5x, 13,5 % de crecimiento anual compuesto de las ventas y 52,3 % de ROIC) no se parece a la mediana. El único comparable útil es Mastercard, a 26,5x el PER y 20,4x el EV/EBITDA de los próximos 12 meses, casi lo mismo que Visa. La regresión múltiplo-crecimiento explica la mitad de la dispersión (R² 0,54). Por eso el peso de los comparables en el valor es solo del 10 % y el valor implícito por PER (280,87 USD con la mediana) es un suelo, no una referencia.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valoradas en 22.000 M USD; la nota no da el valor empresa ni el múltiplo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con deuda; prima del 14 % sobre el cierre previo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de TSYS valoradas en unos 21.500 M USD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7.800 M EUR (≈9.200 M USD al tipo de entonces, estimación propia), ~20x EBITDA 2020e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~8,5x EBITDA ajustado 2025e con sinergias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Procesamiento para emisores; ~12,3x EBITDA ajustado 2025e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150,23 – 236,21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Ninguna operación es comparable con Visa: son adquirentes y procesadores, con márgenes y crecimiento muy inferiores, comprados a 8-20 veces el EBITDA. Visa, con 700.000 M de capitalización, no es objetivo de compra; las transacciones solo sirven para recordar a qué múltiplo cambia de manos un negocio de pagos sin efecto de red.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14,3 %, fijo, con tres trimestres publicados (≈33.700 M) y un 4T de ≈12.000 M en línea con la guía de «mid-teens» [3, 13, 14]. FY2027e: 11 %, contra 10,4 % del consenso (50.440 M) [41], porque el transfronterizo y el valor añadido se normalizan. Después bajamos medio punto al año hasta el 5 % en FY2035e. Entre FY2021 y FY2025 los ingresos crecieron un 13,5 % anual compuesto (11,3 % en FY2025), con una pandemia por medio; el volumen de pagos crece al 8-10 % y el precio y la mezcla añaden 2-4 puntos [2, 3].</w:t>
      </w:r>
    </w:p>
    <w:p>
      <w:pPr>
        <w:keepNext/>
        <w:spacing w:after="100"/>
      </w:pPr>
      <w:r>
        <w:rPr>
          <w:b/>
          <w:bCs/>
        </w:rPr>
        <w:t xml:space="preserve">Márgenes.</w:t>
      </w:r>
    </w:p>
    <w:p>
      <w:pPr>
        <w:spacing w:after="100"/>
      </w:pPr>
      <w:r>
        <w:t xml:space="preserve">Margen EBITDA del 70,5 % desde FY2027e, igual que el de FY2025 sin las provisiones de litigios (70,3 %); FY2026e, 69,5 %, porque lleva 563 M de indemnizaciones y 237 M del MDL [3]. No suponemos expansión: el apalancamiento operativo existe, pero los incentivos a emisores y la inversión en stablecoins, IA y China lo absorben. El margen operativo ajustado fue del 67,7 % en FY2025 [1].</w:t>
      </w:r>
    </w:p>
    <w:p>
      <w:pPr>
        <w:keepNext/>
        <w:spacing w:after="100"/>
      </w:pPr>
      <w:r>
        <w:rPr>
          <w:b/>
          <w:bCs/>
        </w:rPr>
        <w:t xml:space="preserve">Inversión y circulante.</w:t>
      </w:r>
    </w:p>
    <w:p>
      <w:pPr>
        <w:spacing w:after="100"/>
      </w:pPr>
      <w:r>
        <w:t xml:space="preserve">Amortización del 3,0 % de las ventas (1.220 M en FY2025) y capex del 3,6 % hasta FY2030e y del 3,3 % después (3,7 % en FY2025) [1]. Circulante nulo: el saldo de liquidación con bancos es de tesorería, no de explotación. Tipo impositivo del 18 % (17,1 % en FY2025 y 17,4 % en FY2024) [1, 6].</w:t>
      </w:r>
    </w:p>
    <w:p>
      <w:pPr>
        <w:keepNext/>
        <w:spacing w:after="100"/>
      </w:pPr>
      <w:r>
        <w:rPr>
          <w:b/>
          <w:bCs/>
        </w:rPr>
        <w:t xml:space="preserve">Coste del capital.</w:t>
      </w:r>
    </w:p>
    <w:p>
      <w:pPr>
        <w:spacing w:after="100"/>
      </w:pPr>
      <w:r>
        <w:t xml:space="preserve">Tasa libre del 5,22 % (bono a 10 años del 13-oct-2026) [58], beta 0,90 (estimación: la acción se mueve menos que el mercado; sin dato verificado por falta de red), prima de mercado del 5,5 % y sin prima adicional. Coste de la deuda del 4,5 % antes de impuestos y peso de la deuda del 3 % (23.858 M frente a 744.593 M de capitalización). WACC del 9,98 %. Con la prima implícita del mercado (4,20 % en octubre, Damodaran) [59] el WACC baja al 8,84 % y el valor sube a 356,07 USD. La recomendación depende más de la tasa libre que de las cifras.</w:t>
      </w:r>
    </w:p>
    <w:p>
      <w:pPr>
        <w:keepNext/>
        <w:spacing w:after="100"/>
      </w:pPr>
      <w:r>
        <w:rPr>
          <w:b/>
          <w:bCs/>
        </w:rPr>
        <w:t xml:space="preserve">Valor terminal.</w:t>
      </w:r>
    </w:p>
    <w:p>
      <w:pPr>
        <w:spacing w:after="100"/>
      </w:pPr>
      <w:r>
        <w:t xml:space="preserve">Gordon con un crecimiento del 3,0 %: inflación esperada del 2,5 % y algo de crecimiento real del pago con tarjeta, por debajo del 4,72 % que permite la tasa libre. El valor terminal pesa un 59 %. Un terminal del 3,0 % con un ROIC del 52 % equivale a unas 21 veces el EBITDA de FY2035e, por debajo del EV/EBITDA actual de 26,8x.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1.354.007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 M (1 % del NOPAT)</w:t>
            </w:r>
          </w:p>
        </w:tc>
      </w:tr>
    </w:tbl>
    <w:p>
      <w:pPr>
        <w:spacing w:after="160" w:before="0"/>
      </w:pPr>
    </w:p>
    <w:p>
      <w:pPr>
        <w:spacing w:after="100"/>
      </w:pPr>
      <w:r>
        <w:t xml:space="preserve">La proyección apenas necesita inversión neta de la amortización (reinversión acumulada de 2.973 M, el 1 % del NOPAT, con un capex bruto medio del 3,5 % de las ventas). En un negocio de activos ligeros, el crecimiento medio del 9,2 %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pagos +8-10 % y transacciones +9-10 % a tipo constante [3, 13]. Precio: ingresos netos 3 puntos por encima del volumen por tarifas y valor añadido. Otros: divisa y Copa del Mundo (≈1 punto)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8 %, como el de FY2025 [2]; precio 2 puntos; otros 1 punto (sin la Copa del Mundo y con el transfronterizo normalizado).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8 % por el paso del efectivo a la tarjeta (transacciones con tarjeta de red +7,1 % en 2025) [24]; precio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7,5 %, precio 2 puntos: el ritmo de FY2022-FY2025 menos un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7 % y precio 1,5 puntos: empieza la convergencia hacia el gasto nominal.</w:t>
            </w:r>
          </w:p>
        </w:tc>
      </w:tr>
    </w:tbl>
    <w:p>
      <w:pPr>
        <w:spacing w:after="160" w:before="0"/>
      </w:pPr>
    </w:p>
    <w:p>
      <w:pPr>
        <w:spacing w:after="100"/>
      </w:pPr>
      <w:r>
        <w:t xml:space="preserve">Sí. Visa no necesita capital para crecer: la reinversión neta de la proyección es de 2.918 M, el 1 % del NOPAT, así que el motor no puede hacer la prueba de financiación y la hacemos con el poder de precios y la cuota. Precios: los ingresos netos han crecido 3-5 puntos más que el volumen de pagos en FY2025 (11 % frente a 8 %) y en el 3T FY2026 (14 % frente a 10 %) [2, 3], con un margen estable del 67-70 %. Cuota: el 40,8 % de las transacciones con tarjeta de red del mundo [24]; nuestra proyección (8,6 % anual en FY2027-35) supone que el volumen de Visa crece al 7-8 %, en línea con las transacciones del mercado (+7,1 % en 2025), sin ganar cuota. No damos mercado final en dinero porque Nilson solo publica transacciones (hueco); la cuota implícita, a crecimiento parecido al del mercado, se mantiene.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 (base: 70,5 %)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10,0 %)</w:t>
            </w:r>
          </w:p>
        </w:tc>
      </w:tr>
    </w:tbl>
    <w:p>
      <w:pPr>
        <w:spacing w:after="160" w:before="0"/>
      </w:pPr>
    </w:p>
    <w:p>
      <w:pPr>
        <w:spacing w:after="100"/>
      </w:pPr>
      <w:r>
        <w:t xml:space="preserve">El DCF da 295,26 USD por acción, un 25,5 % por debajo del precio, con un WACC del 9,98 % y un valor terminal que pesa el 59 %. El DCF inverso dice que, con nuestro margen del 70,5 %, el precio de 396,06 USD descuenta un crecimiento de los ingresos del 12,9 % anual en FY2027-FY2035, frente al 8,6 % de nuestro caso base, o una rentabilidad implícita del 8,3 %, por debajo de nuestro WACC (9,98 %) y del que pide el mercado para su beta (8,84 %). Un 12,9 % durante nueve años es lo que Visa hizo en FY2021-FY2025 (13,5 %), que incluye la salida de la pandemia; repetirlo exige que el volumen y el precio no se desaceleren pese a la regulación y a los pagos alternativos. Es exigente, no imposible. La lectura útil es la relativa: con la prima implícita del mercado (4,2 %) el DCF sube a 356,07 USD, aún un 10 % por debajo del precio. La diferencia con el mercado es de tasa de descuento más que de cifras: nuestro BPA de FY2028e (16,40 USD) está cerca del que implica el consenso.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Congreso aprueba una versión de la Credit Card Competition Act o el DOJ gana el caso de débito, los comercios enrutan por redes más baratas y los emisores exigen más incentivos: el crecimiento baja 3,5 puntos al año y el margen 2,5 puntos. Le pasó a Visa con la enmienda Durbin de 2010 en débito.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11 % en FY2027e y bajando medio punto al año hasta el 5 %, con el margen del 70,5 % y recompras que no contamos. Visa mantiene cuota y precio frente a los pagos alternativos.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añadido, el dinero fuera de la tarjeta (Visa Direct, B2B), China y los pagos con agentes de IA añaden 2 puntos de crecimiento y un punto de margen por el apalancamiento operativo.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287,10 USD (-27,5 %).</w:t>
      </w:r>
    </w:p>
    <w:p>
      <w:pPr>
        <w:spacing w:after="100"/>
      </w:pPr>
      <w:r>
        <w:t xml:space="preserve">En valor intrínseco los tres escenarios quedan por debajo del precio (214,21, 295,26 y 343,66 USD): a un WACC del 9,98 % ni el alcista justifica 396 USD. La asimetría a 12 meses, que es la que decide, es de 1,47 veces: el alcista gana un 17,4 % y el bajista pierde un 10,8 %, porque el PER mínimo de los últimos años (23,7x) no está lejos del actual (26,7x). Compensa mantener, no comprar: el bajista es verosímil y la subida máxima es moderada.</w:t>
      </w:r>
    </w:p>
    <w:p>
      <w:pPr>
        <w:pStyle w:val="Heading1"/>
      </w:pPr>
      <w:r>
        <w:t xml:space="preserve">22. Suma de partes</w:t>
      </w:r>
    </w:p>
    <w:p>
      <w:pPr>
        <w:pStyle w:val="Confianza"/>
        <w:spacing w:after="100"/>
      </w:pPr>
      <w:r>
        <w:t xml:space="preserve">Confianza: Media</w:t>
      </w:r>
    </w:p>
    <w:p>
      <w:pPr>
        <w:spacing w:after="100"/>
      </w:pPr>
      <w:r>
        <w:t xml:space="preserve">Visa reporta un único segmento y todas sus líneas de ingreso (servicios, procesamiento, internacional y valor añadido) dependen de la misma red: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290,56 USD (-26,6 % sobre 396,06).</w:t>
      </w:r>
    </w:p>
    <w:p>
      <w:pPr>
        <w:spacing w:after="100"/>
      </w:pPr>
      <w:r>
        <w:t xml:space="preserve">Pesos: DCF 50 %, escenarios 40 % y comparables 10 %. El DCF es el método más fiable para un negocio con flujos tan previsibles, pero su resultado depende de la tasa libre (5,22 %) más que de las cifras: con la prima implícita del mercado sube a 356,07 USD. Los comparables pesan poco porque solo Mastercard se parece a Visa; el resto son procesadores que crecen al 2-5 % y cotizan a 8-19 veces. Las transacciones no pesan (son control de procesadores, no de redes). La dispersión es grande: de 214 USD (bajista) a 466 USD (máximo de los analistas). El valor intrínseco (290,56 USD) y el objetivo a 12 meses (422,27 USD) dan señales distintas: manda el segundo.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a mitad de camino hacia abajo, hacia la mediana de 5 años (25.3x)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bl>
    <w:p>
      <w:pPr>
        <w:spacing w:after="160" w:before="0"/>
      </w:pPr>
    </w:p>
    <w:p>
      <w:pPr>
        <w:spacing w:after="100"/>
      </w:pPr>
      <w:r>
        <w:rPr>
          <w:b/>
          <w:bCs/>
        </w:rPr>
        <w:t xml:space="preserve">Objetivo a 12 meses (ponderado):</w:t>
      </w:r>
      <w:r>
        <w:t xml:space="preserve"> 402,35 USD · rentabilidad +2,2 % (base +8,3 %) · señal Mantener.</w:t>
      </w:r>
    </w:p>
    <w:p>
      <w:pPr>
        <w:spacing w:after="100"/>
      </w:pPr>
      <w:r>
        <w:t xml:space="preserve">Para comparar, con la regla v2 (historia al cierre, mismo precio): 23,7x / 26,7x / 26,8x, 7,2 % Mantener. Decide la regla vigente (v3 con tope ×1,1; METODO-VIGENTE.md).</w:t>
      </w:r>
    </w:p>
    <w:p>
      <w:pPr>
        <w:keepNext/>
        <w:spacing w:after="100"/>
      </w:pPr>
      <w:r>
        <w:rPr>
          <w:b/>
          <w:bCs/>
        </w:rPr>
        <w:t xml:space="preserve">Frente al consenso (solo contraste).</w:t>
      </w:r>
    </w:p>
    <w:p>
      <w:pPr>
        <w:spacing w:after="100"/>
      </w:pPr>
      <w:r>
        <w:t xml:space="preserve">Nuestro precio base (437,88 USD) queda un 4,4 % por encima del objetivo medio de los analistas (419,36 USD; rango 330-466) [44]. El BPA de FY2027e es casi el mismo (14,83 frente a 14,94 de Zacks) [41]: nuestras ventas son algo más altas (50.749 M frente a 50.440 M) pero no contamos recompras. El de FY2028e (16,40 USD) no tiene contraste publicado. La diferencia de precio viene del plazo: los analistas valoran a 12 meses sobre el BPA de FY2027e y nosotros sobre el de FY2028e.</w:t>
      </w:r>
    </w:p>
    <w:p>
      <w:pPr>
        <w:keepNext/>
        <w:spacing w:after="100"/>
      </w:pPr>
      <w:r>
        <w:rPr>
          <w:b/>
          <w:bCs/>
        </w:rPr>
        <w:t xml:space="preserve">Del valor intrínseco al objetivo a 12 meses.</w:t>
      </w:r>
    </w:p>
    <w:p>
      <w:pPr>
        <w:spacing w:after="100"/>
      </w:pPr>
      <w:r>
        <w:t xml:space="preserve">El objetivo a 12 meses (422,27 USD ponderado; 437,88 USD el base) está un 45 % por encima del valor intrínseco (290,56 USD). La distancia no es de cifras sino de tasa: el mercado descuenta los flujos de Visa al 8,3 %, y nosotros al 9,98 % con un bono a 10 años del 5,22 %. Para que el precio se acercase al valor intrínseco tendría que subir la tasa libre o romperse el crecimiento (regulación); para que el valor intrínseco subiese al precio, bajar los tipos un punto. La tesis de valor es a más de un año; a 12 meses, Visa rinde lo que crece su beneficio (≈11 %).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fija el BPA del objetivo a 12 meses; el consenso espera 14,94 USD (+14 %)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 (1S)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transfronterizo y del valor añadido sin la Copa del Mundo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FY2026 llevó un transfronterizo anormalmente alto y +34 % en valor añadido: comparativas difíciles en 2027 [3,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pleito del Departamento de Justicia sobre el débito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sentencia que obligue a cambiar el enrutamiento del débito recortaría el precio por transacción en EE. UU. [26,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definitiva de compensación en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a largo plazo; sin ingresos relevantes en FY2027-28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Congreso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Card Competition Act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su aprobación es el principal riesgo de cola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nuevo plan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no anunciadas no están en nuestro BPA: un plan nuevo añadiría 2-3 %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enrutamiento y de las tasas en EE. UU. (CCCA, sentencia del DOJ en débito)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214,21 frente a 295,26 de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Precedentes (enmienda Durbin de 2010) que Visa absorbió con más volumen y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CCCA en comisión o una sentencia de fondo del DOJ</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pagos de cuenta a cuenta y stablecoins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a largo plazo (menos crecimiento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integra liquidación en USDC y tokeniza credenciales para agentes de IA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procesadas por debajo del 7 % de crecimiento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transfronterizo (viajes y comercio electrónico)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en el BPA de FY2027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doméstico y el procesamiento son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transfronterizo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Pleito de tasas de intercambio de los comercios (MDL)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Menor para la clase A: lo absorbe el escrow financiado con la clase 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responsabilidad retrospectiva de 2008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encima del saldo de la cuenta de garantía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crecientes a grandes emisores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−2 % de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creciendo menos que el volumen de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 y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Cada punto de WACC mueve el valor un 15-20 %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sin deuda neta relevante (0,4x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a 10 años por encima del 5,5 %</w:t>
            </w:r>
          </w:p>
        </w:tc>
      </w:tr>
    </w:tbl>
    <w:p>
      <w:pPr>
        <w:spacing w:after="160" w:before="0"/>
      </w:pPr>
    </w:p>
    <w:p>
      <w:pPr>
        <w:pStyle w:val="Heading2"/>
      </w:pPr>
      <w:r>
        <w:t xml:space="preserve">Pre-mortem</w:t>
      </w:r>
    </w:p>
    <w:p>
      <w:pPr>
        <w:spacing w:after="100"/>
      </w:pPr>
      <w:r>
        <w:t xml:space="preserve">Octubre de 2029: Visa vale un 40 % menos. La cadena más probable empieza en 2027, cuando el comercio transfronterizo y el valor añadido se normalizan tras la Copa del Mundo y el crecimiento de los ingresos baja del 14 % al 8 %, a la vez que la guía de FY2027 decepciona. En 2028 el Congreso, con apoyo de la Casa Blanca, aprueba una versión de la Credit Card Competition Act que obliga a ofrecer una segunda red en las tarjetas de crédito, y el juez del caso de débito exige cambios de enrutamiento; los comercios desvían volumen a redes más baratas y los grandes emisores aprovechan la renegociación para pedir más incentivos. El margen EBITDA pierde 2-3 puntos y el crecimiento cae al 6 %. El mercado deja de pagar 27 veces el beneficio y lo hace a 20, como a los procesadores maduros que cotizan a 8-19 veces. El indicador que lo habría anticipado: ingresos netos creciendo al mismo ritmo que el volumen de pagos (señal de que se pierde precio) y transacciones procesadas por debajo del 7 %.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las cifras son de gobierno y competencia, no ambientales: litigios antimonopolio (DOJ, MDL de comercios) con provisiones de cientos de millones por trimestre [3]; protección de datos y fraude, el núcleo del servicio; e inclusión financiera, ligada al paso del efectivo a la tarjeta. La huella de carbono es pequeña (centros de datos).</w:t>
      </w:r>
    </w:p>
    <w:p>
      <w:pPr>
        <w:pStyle w:val="Heading2"/>
      </w:pPr>
      <w:r>
        <w:t xml:space="preserve">Controversias</w:t>
      </w:r>
    </w:p>
    <w:p>
      <w:pPr>
        <w:spacing w:after="100"/>
      </w:pPr>
      <w:r>
        <w:t xml:space="preserve">Demanda del Departamento de Justicia por monopolización del débito (septiembre de 2024), en curso [26]; pleito de tasas de intercambio de los comercios (MDL) con provisiones de 899 M en el 4T FY2025 y 237 M en el 3T FY2026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FY2026 (≈14 %) se repite sin la Copa del Mundo y con el transfronterizo normalizado?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FY2028 supone un 11 % de crecimiento en FY2027; cada punto menos resta un 1 % al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EE. UU. está expuesto a un cambio de enrutamiento en crédito y débito?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escenario bajista (−3,5 puntos de crecimiento y −2,5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liquida ya Visa en stablecoins y con qué comisión frente a la tarjeta?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es canibalización o mercado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renovaciones de grandes emisores vencen en FY2027-28?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incentivos son la mayor partida contra los ingresos brutos.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en la cuenta de garantía frente a las reclamaciones del MDL?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escrow no basta, la clase A pagaría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inversión y qué calendario de ingresos tiene la cámara de compensación en China?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ya ha subido con la noticia; nuestra proyección no la incluye.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del 14-sep-2026 «The Market Is Still Underestimating This Resilient Growth Story» y comentarios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reitera Comprar tras el 3T; los lectores discuten si el PER de unas 27 veces ya descuenta la aceleración y si el valor añadido de la Copa del Mundo se repetirá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(página de comentarios del valor y artículos sobre stablecoins)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recurrente sobre las stablecoins: unos las ven como amenaza a la tarjeta y otros como un mercado nuevo (movimiento de dinero) donde Visa apenas está; predomina la tesis de que el consumidor no tiene incentivo a dejar el crédito [60,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TipRanks (artículos de inversores particulares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 se habla del volumen de 4 billones y del recorte de plantilla; el miedo de marzo (stablecoins y tope a los intereses de las tarjetas) se da por exagerado [20,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con comentarios (Yahoo Finance, Barchart)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aprobación preparatoria en China y los ocho días seguidos al alza llevan el debate al «¿llega a 400?»; pocos mencionan el pleito del Departamento de Justicia [63,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 y pagos de cuenta a cuenta como sustitutos de la tarjeta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lo trata como riesgo de precio por transacción, no de volumen a corto plazo: las transacciones procesadas crecen al 10 % y Visa integra la liquidación en USDC.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en EE. UU. (Credit Card Competition Act y demanda del DOJ)</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para la CCCA y pleito del DOJ en curso: es el riesgo de mayor impacto del informe y el que define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máximo histórico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396 USD el PER sobre el BPA ajustado de los próximos 12 meses está en la mediana de los últimos cuatro años; los foros tienen razón en que no hay descuento.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servicios de valor añadido como nuevos motores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aprobación en China es preparatoria y sin ingresos a corto plazo; el valor añadido (+34 %) lleva un efecto de la Copa del Mundo que no se repetirá en 2027.</w:t>
            </w:r>
          </w:p>
        </w:tc>
      </w:tr>
    </w:tbl>
    <w:p>
      <w:pPr>
        <w:spacing w:after="160" w:before="0"/>
      </w:pPr>
    </w:p>
    <w:p>
      <w:pPr>
        <w:spacing w:after="100"/>
      </w:pPr>
      <w:r>
        <w:t xml:space="preserve">El sentimiento de los particulares es positivo y mejora desde el pánico de marzo por las stablecoins, en línea con el consenso de analistas (40 analistas, objetivo medio de 419 USD). No es euforia: los foros discuten la valoración en máximos y el riesgo regulatorio, que son los mismos puntos débiles que ve el informe. No anticipa un riesgo que el análisis no recoja; sí avisa de que el repunte de octubre se apoya en una noticia de China que no tiene efecto en las cifras de 2027-2028.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64 (26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15, 16, 17, 22,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a junio de 2026 (beneficio, EBITDA y BPA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 FY2026: da el trimestre, no los nueve meses del EBITDA; 2) 10-Q del 3T: extracto sin cuenta de resultados acumulada; 3) derivarlo con el BPA contable del 2T FY2026, que no apareció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motor usa FY2025 como último ejercicio; los ingresos de los últimos doce meses (≈44.400 M) se dan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gastos_financieros FY2025 y ejercicios FY2019-FY2020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(extracto sin la línea de intereses); 2) Stock Analysis y Macrotrends (solo totales); 3) búsqueda específica de interest expense anual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circulante y clientes de FY2021-FY2023;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y FY2022 (extractos sin balance); 2) Stock Analysis balance (solo activo, pasivo, fondo de comercio e intangibles en el extracto); 3) Stockopedia y Finboard (sin las líneas)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(líneas de ingreso: servicios, procesamiento, internacional, otros, incentivos)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el extracto de búsqueda no trae la tabla de ingresos por naturaleza; 2) comunicado del 4T FY2025: solo ingresos netos totales en el extracto; 3) Stock Analysis y prensa: sin desglose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(Visa reporta un único segmento; el desglose por tipo de ingreso no se pudo copiar)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del mercado en dinero, cr5 y crecimiento previsto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Nilson Report (cifras por marca en volumen tras muro de pago; solo transacciones y la cuota de Visa); 2) Nilson Asia-Pacífico (regional); 3) presupuesto de búsquedas compartido: no se buscaron estudios de McKinsey o Capgemini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tamaño en transacciones con fuente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del último ejercicio de Mastercard, American Express y PayPal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comunicados anuales de 2025 de las tres: solo crecimientos y el 4T de PayPal; 2) Stock Analysis no apareció en los extractos;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margen del 4T de PayPal)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por presupuesto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remuneración (junta del 27-ene-2026 y dos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(no trae resultados); 2) búsqueda del 8-K de la junta (Item 5.07) sin resultado en el extracto; 3) Q&amp;A de la junta de 2026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significativos (13G) e 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búsqueda combinada de Vanguard, BlackRock y Form 4: sin extractos con cifras;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pudo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entrada y 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el extracto solo lista nombres; 2) S-4/A: firmas sin fechas; 3) no se repitió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a 1, 3, 5 y 10 años, anuales, beta, volatilidad, caída máxima, mínimo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búsquedas de históricos (TipRanks, Digrin, InvestSmart): cifras sueltas y sin fecha; 3) GuruFocus y Yahoo: solo el cierre y el año en curso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rentabilidad en el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FY2018-FY2021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TipRanks e InvestSmart (sin esas fechas); 2) Digrin (solo 2022-2025 en el extracto); 3) búsqueda con las fechas exactas de cierre: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historia del PER usa FY2022-FY2025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EBIT y DPA de consenso; BPA de FY2028e;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forecast (solo precio objetivo en el extracto); 2) Zacks vía prensa (solo BPA e ingresos de FY2026-27); 3) MarketScreener no abre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de clase A equivalentes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3T: media diluida de 1.900 M en el trimestre (1.920 M en el 2T); 2) comunicado del 3T: sin cifra de cierre; 3) derivado: 1.900 M menos las recompras del 4T (≈5.000 M a ≈350 USD ≈ 14 M acciones) y algo de conversión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1.880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r/stocks, r/investing y r/dividends: el buscador no devuelve reddit.com; 2) búsqueda de Stocktwits sin resultados; 3) la API de Stocktwits no se puede abrir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número de comentarios leídos es aproximado y sale de extractos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Nilson Report: solo transacciones y la cuota de Visa en número de operaciones; 2) Nilson EE. UU. y Asia-Pacífico: volumen regional, no mundial; 3) derivarlo como volumen × comisión media no es posible sin el volumen mundial de tarjetas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prueba de cuota se hace a mano en la justificación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(v-20250930) e informe anual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Reports Fiscal Fourth Quarter and Full-Year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https://www.sec.gov/Archives/edgar/data/1403161/000140316125000077/q42025earningsrelease.htm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https://www.sec.gov/Archives/edgar/data/0001403161/000140316126000103/q32026earningsrelease.htm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trimestre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https://www.sec.gov/Archives/edgar/data/0001403161/000140316126000104/v-20260630.htm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y tablas financieras (Financial_Report.xlsx)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2024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https://www.sec.gov/Archives/edgar/data/1403161/000140316124000053/q42024earningsrelease.htm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2023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https://www.sec.gov/Archives/edgar/data/1403161/000140316123000092/q42023earningsrelease.htm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2022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https://www.sec.gov/Archives/edgar/data/1403161/000140316122000076/q42022earningsrelease.htm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Net Income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https://www.macrotrends.net/stocks/charts/V/visa/net-income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Operating Income 2012-2025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https://www.macrotrends.net/stocks/charts/V/visa/operating-income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Financials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First Quarter 2026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https://s1.q4cdn.com/050606653/files/doc_financials/2026/q1/Q1-2026-Earnings-Release_vF.pdf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Second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https://www.sec.gov/Archives/edgar/data/0001403161/000140316126000077/q22026earningsrelease.htm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Second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https://www.sec.gov/Archives/edgar/data/1403161/000140316125000035/q22025earningsrelease.htm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https://www.sec.gov/Archives/edgar/data/1403161/000140316125000051/q32025earningsrelease.htm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First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https://www.sec.gov/Archives/edgar/data/1403161/000140316125000016/q12025earningsrelease.htm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Fourth Quarter 2018 Financial Results (presentación,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https://www.sec.gov/Archives/edgar/data/0001403161/000140316118000052/earningsdeck4q18pdfw.htm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Visa's Q3 earnings: crossed 4 trillion in volume, then came the layoffs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https://www.tikr.com/blog/visas-q3-earnings-crossed-4-trillion-in-volume-then-came-the-layoffs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Q3 2026 earnings call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https://equibles.com/stocks/v/calls/2026-q3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Rose 8% After Q2 2026 Earnings: the stablecoin and AI 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https://www.tikr.com/blog/visa-stock-rose-8-after-q2-2026-earnings-heres-what-the-stablecoin-and-ai-bet-could-mean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Network Card Results Worldwide 2025 (Issue 1310)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https://nilsonreport.com/articles/global-network-card-results-worldwide-2025/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forecast: approved by China to prepare domestic clearing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https://www.tradingkey.com/analysis/stocks/us-stocks/262213412-visa-forecast-china-clearing-approval-break-400-tradingkey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Next for Visa Stock After DOJ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Kiplinger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https://www.kiplinger.com/investing/stocks/whats-next-for-visa-stock-after-doj-lawsuit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Asia-Pacific Global Network Cards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https://nilsonreport.com/articles/asia-pacific-global-network-cards-2025/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 Stock: 3 Impending Events That Could Invalidate the Thesis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https://www.trefis.com/stock/v/articles2/598310/v-stock-3-impending-events-that-could-invalidate-the-thesis/2026-05-05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Nosedives as Stablecoins Take Center Stage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https://finance.yahoo.com/news/visa-inc-v-nosedives-stablecoins-180424566.html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Fourth-Quarter and Full-Year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https://www.sec.gov/Archives/edgar/data/1141391/000114139126000003/ma12312025-exx991xearnings.htm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(V) Today: USDC Stablecoin Settlement Launch, Swipe-Fee Legal Overhang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https://ts2.tech/en/visa-stock-v-today-usdc-stablecoin-settlement-launch-swipe-fee-legal-overhang-and-the-latest-2026-forecasts/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Brand Cards — U.S.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https://nilsonreport.com/articles/global-brand-cards-us-2025/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https://newsroom.paypal-corp.com/2026-02-03-PayPal-Reports-Fourth-Quarter-and-Full-Year-2025-Results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análisis del 12-oct-2026 (datos de consenso y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adyen-2026-10-12)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https://www.sec.gov/Archives/edgar/data/1403161/000130817925000635/v-20251208.htm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CEO pay versus Mastercard and PayPal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 Expert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https://paymentexpert.com/2025/12/15/visa-ceo-pay-mastercard-and-paypal/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S-4/A (oferta de canje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https://www.sec.gov/Archives/edgar/data/1403161/000119312526143849/d124284ds4a.htm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Annual Meeting Q&amp;A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https://s1.q4cdn.com/050606653/files/doc_downloads/2026/02/17/2026-Annual-Meeting-QA.pdf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Visa Inc (V) After 1.7% Gain — GF Value $406.81 vs Price $396.06 (cierre del 13-oct-2026; Yahoo Finance, cierre 396,06 y anterior 389,27)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https://gurufocus.com/news/9122102/a-look-at-visa-inc-v-after-17-gain-gf-value-40681-vs-price-39606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quote: próxima fecha de resultados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 Street raises Visa outlook after strong Q3: buy, hold or sell? (estimaciones de Zacks)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Eastern Progress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https://www.easternprogress.com/wall-street-raises-visa-outlook-after-strong-q3-buy-hold-or-sell/article_bf7007ff-bc8b-5f31-bbe3-0eb413b46ec1.html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Visa's Q1 2026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https://www.barchart.com/story/news/36822320/what-to-expect-from-visa-s-q1-2026-earnings-report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Baird lifts target for Visa stock to USD 430.00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https://www.ad-hoc-news.de/boerse/news/corporate-news/baird-lifts-target-for-visa-stock-to-usd-430-00/70316121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Stock Forecast &amp; Analyst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(NYSE:V) price expected to rise, Robert W. Baird says (consenso de MarketBeat)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Cerbat Gem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https://www.thecerbatgem.com/2026/10/14/visa-nysev-stock-price-expected-to-rise-robert-w-baird-analyst-says.html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Is Down 11.8% in 2026. Here's What the Valuation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https://www.tikr.com/blog/visa-stock-is-down-11-8-in-2026-heres-what-the-valuation-says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price history (cierres mensuales de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https://www.digrin.com/stocks/detail/V/price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 (consenso; tomado del análisis de Adyen del 12-oct-2026, cierre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Block, Fiserv, Global Payments, Nexi y Worldline: finances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https://seekingalpha.com/symbol/V/comments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Stablecoins, Don't Call Them A Visa Killer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https://seekingalpha.com/article/4795912-stablecoins-dont-call-them-visa-killer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recent dip is a buying opportunity, says investor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https://www.tipranks.com/news/article/visa-stock-recent-dip-is-a-buying-opportunity-says-investor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 is What to Know Beyond Why Visa Inc. (V) is a Trending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https://finance.yahoo.com/markets/stocks/articles/know-beyond-why-visa-inc-120006683.html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ignore the stablecoin panic and keep buying Visa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https://www.barchart.com/story/news/33001448/analysts-ignore-the-stablecoin-panic-and-keep-buying-visa-stock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79,2 %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inversores de Visa y los proveedores de datos no se pudieron abrir, así que las cifras salen de los extractos de búsqueda de los comunicados 8-K, de los 10-K y 10-Q y de la prensa financiera, cruzadas cuando fue posible; la confianza es menor que en un análisis normal y lo que no cuadró está en null y en los huecos. Línea cotizada: acciones de clase A en el NYSE; las acciones se cuentan como clase A equivalente (clase A más la conversión de las clases B y C y de las preferentes), que es la base del BPA diluido de Visa. Cuentas en USD con US GAAP; ejercicio a 30 de septiembre, etiquetado por el año en que termina (FY2025 = octubre de 2024 a septiembre de 2025). FY2026 ya ha cerrado pero sus resultados se publican el 27-oct-2026: se trata como estimación fija (tres trimestres publicados). El BPA del objetivo a 12 meses y el PER histórico están en base ajustada (sin provisiones de litigios cubiertos ni otros especiales), la que publica Visa. Precio: cierre del 13-oct-2026 (la sesión del corte no había cerrado). Comparables tomados del análisis de Adyen del 12-oct (cierre del 9-oct, MarketScreener y Stock Analysis) y pasados a USD al 1,1181 del BCE [53, 54, 55, 56,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Visa Inc. (V)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Hoja1!$B$2:$B$7</c:f>
              <c:numCache>
                <c:formatCode>#,##0</c:formatCode>
                <c:ptCount val="6"/>
                <c:pt idx="0">
                  <c:v>330</c:v>
                </c:pt>
                <c:pt idx="1">
                  <c:v>163.59</c:v>
                </c:pt>
                <c:pt idx="2">
                  <c:v>263.73</c:v>
                </c:pt>
                <c:pt idx="3">
                  <c:v>214.21</c:v>
                </c:pt>
                <c:pt idx="4">
                  <c:v>326.56</c:v>
                </c:pt>
                <c:pt idx="5">
                  <c:v>394.08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Hoja1!$C$2:$C$7</c:f>
              <c:numCache>
                <c:formatCode>#,##0</c:formatCode>
                <c:ptCount val="6"/>
                <c:pt idx="0">
                  <c:v>136</c:v>
                </c:pt>
                <c:pt idx="1">
                  <c:v>167.33</c:v>
                </c:pt>
                <c:pt idx="2">
                  <c:v>73.32999999999998</c:v>
                </c:pt>
                <c:pt idx="3">
                  <c:v>129.45000000000002</c:v>
                </c:pt>
                <c:pt idx="4">
                  <c:v>64.63</c:v>
                </c:pt>
                <c:pt idx="5">
                  <c:v>3.9600000000000364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Visa</c:v>
                </c:pt>
                <c:pt idx="1">
                  <c:v>Mastercard</c:v>
                </c:pt>
                <c:pt idx="2">
                  <c:v>UnionPay</c:v>
                </c:pt>
                <c:pt idx="3">
                  <c:v>American Express</c:v>
                </c:pt>
                <c:pt idx="4">
                  <c:v>PayPal</c:v>
                </c:pt>
                <c:pt idx="5">
                  <c:v>Adyen</c:v>
                </c:pt>
              </c:strCache>
            </c:strRef>
          </c:cat>
          <c:val>
            <c:numRef>
              <c:f>Hoja1!$B$2:$B$7</c:f>
              <c:numCache>
                <c:formatCode>0.0"%"</c:formatCode>
                <c:ptCount val="6"/>
                <c:pt idx="0">
                  <c:v>67.2</c:v>
                </c:pt>
                <c:pt idx="4">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24105</c:v>
                </c:pt>
                <c:pt idx="1">
                  <c:v>29310</c:v>
                </c:pt>
                <c:pt idx="2">
                  <c:v>32653</c:v>
                </c:pt>
                <c:pt idx="3">
                  <c:v>35926</c:v>
                </c:pt>
                <c:pt idx="4">
                  <c:v>40000</c:v>
                </c:pt>
                <c:pt idx="5">
                  <c:v>45720</c:v>
                </c:pt>
                <c:pt idx="6">
                  <c:v>50749</c:v>
                </c:pt>
                <c:pt idx="7">
                  <c:v>56078</c:v>
                </c:pt>
                <c:pt idx="8">
                  <c:v>61686</c:v>
                </c:pt>
                <c:pt idx="9">
                  <c:v>67546</c:v>
                </c:pt>
                <c:pt idx="10">
                  <c:v>73625</c:v>
                </c:pt>
                <c:pt idx="11">
                  <c:v>79883</c:v>
                </c:pt>
                <c:pt idx="12">
                  <c:v>85874</c:v>
                </c:pt>
                <c:pt idx="13">
                  <c:v>91456</c:v>
                </c:pt>
                <c:pt idx="14">
                  <c:v>96029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16608</c:v>
                </c:pt>
                <c:pt idx="1">
                  <c:v>19674</c:v>
                </c:pt>
                <c:pt idx="2">
                  <c:v>21943</c:v>
                </c:pt>
                <c:pt idx="3">
                  <c:v>24629</c:v>
                </c:pt>
                <c:pt idx="4">
                  <c:v>28114</c:v>
                </c:pt>
                <c:pt idx="5">
                  <c:v>31775</c:v>
                </c:pt>
                <c:pt idx="6">
                  <c:v>35778</c:v>
                </c:pt>
                <c:pt idx="7">
                  <c:v>39535</c:v>
                </c:pt>
                <c:pt idx="8">
                  <c:v>43488</c:v>
                </c:pt>
                <c:pt idx="9">
                  <c:v>47620</c:v>
                </c:pt>
                <c:pt idx="10">
                  <c:v>51906</c:v>
                </c:pt>
                <c:pt idx="11">
                  <c:v>56318</c:v>
                </c:pt>
                <c:pt idx="12">
                  <c:v>60541</c:v>
                </c:pt>
                <c:pt idx="13">
                  <c:v>64477</c:v>
                </c:pt>
                <c:pt idx="14">
                  <c:v>67700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68.9</c:v>
                </c:pt>
                <c:pt idx="1">
                  <c:v>67.1</c:v>
                </c:pt>
                <c:pt idx="2">
                  <c:v>67.2</c:v>
                </c:pt>
                <c:pt idx="3">
                  <c:v>68.6</c:v>
                </c:pt>
                <c:pt idx="4">
                  <c:v>70.3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65.6</c:v>
                </c:pt>
                <c:pt idx="1">
                  <c:v>64.2</c:v>
                </c:pt>
                <c:pt idx="2">
                  <c:v>64.3</c:v>
                </c:pt>
                <c:pt idx="3">
                  <c:v>65.7</c:v>
                </c:pt>
                <c:pt idx="4">
                  <c:v>67.2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51.1</c:v>
                </c:pt>
                <c:pt idx="1">
                  <c:v>51</c:v>
                </c:pt>
                <c:pt idx="2">
                  <c:v>52.9</c:v>
                </c:pt>
                <c:pt idx="3">
                  <c:v>55</c:v>
                </c:pt>
                <c:pt idx="4">
                  <c:v>50.1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10</c:v>
                </c:pt>
                <c:pt idx="1">
                  <c:v>9</c:v>
                </c:pt>
                <c:pt idx="2">
                  <c:v>14</c:v>
                </c:pt>
                <c:pt idx="3">
                  <c:v>12</c:v>
                </c:pt>
                <c:pt idx="4">
                  <c:v>15</c:v>
                </c:pt>
                <c:pt idx="5">
                  <c:v>17</c:v>
                </c:pt>
                <c:pt idx="6">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4">
                  <c:v>13</c:v>
                </c:pt>
                <c:pt idx="6">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14522</c:v>
                </c:pt>
                <c:pt idx="1">
                  <c:v>17879</c:v>
                </c:pt>
                <c:pt idx="2">
                  <c:v>19696</c:v>
                </c:pt>
                <c:pt idx="3">
                  <c:v>18693</c:v>
                </c:pt>
                <c:pt idx="4">
                  <c:v>21577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12311</c:v>
                </c:pt>
                <c:pt idx="1">
                  <c:v>14957</c:v>
                </c:pt>
                <c:pt idx="2">
                  <c:v>17273</c:v>
                </c:pt>
                <c:pt idx="3">
                  <c:v>19743</c:v>
                </c:pt>
                <c:pt idx="4">
                  <c:v>20058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20.7</c:v>
                </c:pt>
                <c:pt idx="1">
                  <c:v>26.6</c:v>
                </c:pt>
                <c:pt idx="2">
                  <c:v>29.4</c:v>
                </c:pt>
                <c:pt idx="3">
                  <c:v>38.4</c:v>
                </c:pt>
                <c:pt idx="4">
                  <c:v>52.3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c:v>
                </c:pt>
                <c:pt idx="1">
                  <c:v>10</c:v>
                </c:pt>
                <c:pt idx="2">
                  <c:v>10</c:v>
                </c:pt>
                <c:pt idx="3">
                  <c:v>10</c:v>
                </c:pt>
                <c:pt idx="4">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32.8</c:v>
                </c:pt>
                <c:pt idx="1">
                  <c:v>40.9</c:v>
                </c:pt>
                <c:pt idx="2">
                  <c:v>46.5</c:v>
                </c:pt>
                <c:pt idx="3">
                  <c:v>50.7</c:v>
                </c:pt>
                <c:pt idx="4">
                  <c:v>52.1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1.26</c:v>
                </c:pt>
                <c:pt idx="1">
                  <c:v>1.14</c:v>
                </c:pt>
                <c:pt idx="2">
                  <c:v>0.93</c:v>
                </c:pt>
                <c:pt idx="3">
                  <c:v>0.13</c:v>
                </c:pt>
                <c:pt idx="4">
                  <c:v>0.18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FY2026-27 (corto plazo a jun-26)</c:v>
                </c:pt>
                <c:pt idx="1">
                  <c:v>Largo plazo a jun-26</c:v>
                </c:pt>
              </c:strCache>
            </c:strRef>
          </c:cat>
          <c:val>
            <c:numRef>
              <c:f>Hoja1!$B$2:$B$3</c:f>
              <c:numCache>
                <c:formatCode>#,##0</c:formatCode>
                <c:ptCount val="2"/>
                <c:pt idx="0">
                  <c:v>2996</c:v>
                </c:pt>
                <c:pt idx="1">
                  <c:v>20862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2798</c:v>
                </c:pt>
                <c:pt idx="1">
                  <c:v>3203</c:v>
                </c:pt>
                <c:pt idx="2">
                  <c:v>3751</c:v>
                </c:pt>
                <c:pt idx="3">
                  <c:v>4217</c:v>
                </c:pt>
                <c:pt idx="4">
                  <c:v>4600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8676</c:v>
                </c:pt>
                <c:pt idx="1">
                  <c:v>11589</c:v>
                </c:pt>
                <c:pt idx="2">
                  <c:v>12101</c:v>
                </c:pt>
                <c:pt idx="3">
                  <c:v>17000</c:v>
                </c:pt>
                <c:pt idx="4">
                  <c:v>18200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1">
                  <c:v>20.4</c:v>
                </c:pt>
                <c:pt idx="2">
                  <c:v>22.8</c:v>
                </c:pt>
                <c:pt idx="3">
                  <c:v>22.8</c:v>
                </c:pt>
                <c:pt idx="4">
                  <c:v>24.1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22.8</c:v>
                </c:pt>
                <c:pt idx="1">
                  <c:v>22.8</c:v>
                </c:pt>
                <c:pt idx="2">
                  <c:v>22.8</c:v>
                </c:pt>
                <c:pt idx="3">
                  <c:v>22.8</c:v>
                </c:pt>
                <c:pt idx="4">
                  <c:v>22.8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Visa</c:v>
                </c:pt>
                <c:pt idx="1">
                  <c:v>Mastercard</c:v>
                </c:pt>
                <c:pt idx="2">
                  <c:v>Adyen</c:v>
                </c:pt>
                <c:pt idx="3">
                  <c:v>PayPal</c:v>
                </c:pt>
                <c:pt idx="4">
                  <c:v>Block</c:v>
                </c:pt>
                <c:pt idx="5">
                  <c:v>Fiserv</c:v>
                </c:pt>
                <c:pt idx="6">
                  <c:v>Global Payments</c:v>
                </c:pt>
                <c:pt idx="7">
                  <c:v>Nexi</c:v>
                </c:pt>
                <c:pt idx="8">
                  <c:v>Worldline</c:v>
                </c:pt>
              </c:strCache>
            </c:strRef>
          </c:cat>
          <c:val>
            <c:numRef>
              <c:f>Hoja1!$B$2:$B$10</c:f>
              <c:numCache>
                <c:formatCode>0.0"x"</c:formatCode>
                <c:ptCount val="9"/>
                <c:pt idx="1">
                  <c:v>20.4</c:v>
                </c:pt>
                <c:pt idx="2">
                  <c:v>12.8</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Mastercard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20.4</c:v>
                </c:pt>
              </c:numCache>
            </c:numRef>
          </c:yVal>
          <c:smooth val="0"/>
        </c:ser>
        <c:ser>
          <c:idx val="1"/>
          <c:order val="1"/>
          <c:tx>
            <c:strRef>
              <c:f>Hoja1!$A$3</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22.8</c:v>
                </c:pt>
              </c:numCache>
            </c:numRef>
          </c:xVal>
          <c:yVal>
            <c:numRef>
              <c:f>Hoja1!$C$3</c:f>
              <c:numCache>
                <c:formatCode>0.0"x"</c:formatCode>
                <c:ptCount val="1"/>
                <c:pt idx="0">
                  <c:v>12.8</c:v>
                </c:pt>
              </c:numCache>
            </c:numRef>
          </c:yVal>
          <c:smooth val="0"/>
        </c:ser>
        <c:ser>
          <c:idx val="2"/>
          <c:order val="2"/>
          <c:tx>
            <c:strRef>
              <c:f>Hoja1!$A$4</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7.5</c:v>
                </c:pt>
              </c:numCache>
            </c:numRef>
          </c:yVal>
          <c:smooth val="0"/>
        </c:ser>
        <c:ser>
          <c:idx val="3"/>
          <c:order val="3"/>
          <c:tx>
            <c:strRef>
              <c:f>Hoja1!$A$5</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8.6</c:v>
                </c:pt>
              </c:numCache>
            </c:numRef>
          </c:yVal>
          <c:smooth val="0"/>
        </c:ser>
        <c:ser>
          <c:idx val="4"/>
          <c:order val="4"/>
          <c:tx>
            <c:strRef>
              <c:f>Hoja1!$A$6</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6.2</c:v>
                </c:pt>
              </c:numCache>
            </c:numRef>
          </c:yVal>
          <c:smooth val="0"/>
        </c:ser>
        <c:ser>
          <c:idx val="5"/>
          <c:order val="5"/>
          <c:tx>
            <c:strRef>
              <c:f>Hoja1!$A$7</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4.7</c:v>
                </c:pt>
              </c:numCache>
            </c:numRef>
          </c:yVal>
          <c:smooth val="0"/>
        </c:ser>
        <c:ser>
          <c:idx val="6"/>
          <c:order val="6"/>
          <c:tx>
            <c:strRef>
              <c:f>Hoja1!$A$8</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-3.4</c:v>
                </c:pt>
              </c:numCache>
            </c:numRef>
          </c:xVal>
          <c:yVal>
            <c:numRef>
              <c:f>Hoja1!$C$8</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24657</c:v>
                </c:pt>
                <c:pt idx="1">
                  <c:v>27785</c:v>
                </c:pt>
                <c:pt idx="2">
                  <c:v>30703</c:v>
                </c:pt>
                <c:pt idx="3">
                  <c:v>33773</c:v>
                </c:pt>
                <c:pt idx="4">
                  <c:v>36981</c:v>
                </c:pt>
                <c:pt idx="5">
                  <c:v>40531</c:v>
                </c:pt>
                <c:pt idx="6">
                  <c:v>43976</c:v>
                </c:pt>
                <c:pt idx="7">
                  <c:v>47274</c:v>
                </c:pt>
                <c:pt idx="8">
                  <c:v>50347</c:v>
                </c:pt>
                <c:pt idx="9">
                  <c:v>52864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232104</c:v>
                </c:pt>
                <c:pt idx="1">
                  <c:v>332935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396,06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214.21</c:v>
                </c:pt>
                <c:pt idx="1">
                  <c:v>295.26</c:v>
                </c:pt>
                <c:pt idx="2">
                  <c:v>343.66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Hoja1!$B$2:$B$7</c:f>
              <c:numCache>
                <c:formatCode>#,##0</c:formatCode>
                <c:ptCount val="6"/>
                <c:pt idx="0">
                  <c:v>330</c:v>
                </c:pt>
                <c:pt idx="1">
                  <c:v>163.59</c:v>
                </c:pt>
                <c:pt idx="2">
                  <c:v>263.73</c:v>
                </c:pt>
                <c:pt idx="3">
                  <c:v>214.21</c:v>
                </c:pt>
                <c:pt idx="4">
                  <c:v>326.56</c:v>
                </c:pt>
                <c:pt idx="5">
                  <c:v>394.08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Hoja1!$C$2:$C$7</c:f>
              <c:numCache>
                <c:formatCode>#,##0</c:formatCode>
                <c:ptCount val="6"/>
                <c:pt idx="0">
                  <c:v>136</c:v>
                </c:pt>
                <c:pt idx="1">
                  <c:v>167.33</c:v>
                </c:pt>
                <c:pt idx="2">
                  <c:v>73.32999999999998</c:v>
                </c:pt>
                <c:pt idx="3">
                  <c:v>129.45000000000002</c:v>
                </c:pt>
                <c:pt idx="4">
                  <c:v>64.63</c:v>
                </c:pt>
                <c:pt idx="5">
                  <c:v>3.9600000000000364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