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Apple Inc.</w:t>
      </w:r>
    </w:p>
    <w:p>
      <w:pPr>
        <w:spacing w:after="60"/>
        <w:rPr>
          <w:color w:val="52514E"/>
          <w:sz w:val="22"/>
          <w:szCs w:val="22"/>
        </w:rPr>
      </w:pPr>
      <w:r>
        <w:rPr>
          <w:color w:val="52514E"/>
          <w:sz w:val="22"/>
          <w:szCs w:val="22"/>
        </w:rPr>
        <w:t xml:space="preserve">AAPL · Nasdaq Global Select Market · ISIN US0378331005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339,50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310,61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-8,2 % (base -1,5 %)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155,79 USD · mercado 170,36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4.974.354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27,2x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Apple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AAPL / US0378331005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Hardware, almacenamiento y periféricos (teléfonos y ordenadores)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Cupertino (California)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https://www.apple.com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339,50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243,42 – 348,15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14.652,0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4.974.354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4.920.271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14,3 mil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310,61 USD</w:t>
      </w:r>
      <w:r>
        <w:t xml:space="preserve"> frente a 339,50 · Rentabilidad a 12 meses </w:t>
      </w:r>
      <w:r>
        <w:rPr>
          <w:b/>
          <w:bCs/>
        </w:rPr>
        <w:t xml:space="preserve">-8,2 % (base -1,5 %)</w:t>
      </w:r>
      <w:r>
        <w:t xml:space="preserve"> · Valor intrínseco 155,79 USD · con la prima implícita del mercado: 170,36 (-49,8 %) · Alcista / bajista -47,7 % / -69,3 %</w:t>
      </w:r>
    </w:p>
    <w:p>
      <w:pPr>
        <w:spacing w:after="100"/>
      </w:pPr>
      <w:r>
        <w:rPr>
          <w:b/>
        </w:rPr>
        <w:t xml:space="preserve">La recomendación y por qué.</w:t>
      </w:r>
      <w:r>
        <w:t xml:space="preserve"> Mantener, con convicción media, y no comprar. El objetivo a 12 meses es de 310,61 USD (nuestro BPA de FY2028e por el PER de la regla común), con una rentabilidad ponderada del −8,2 % y del −1,5 % en el base, frente a un precio de 339,50 USD; el valor intrínseco es de 155,79 USD (−54,1 %) y el objetivo medio de los analistas, 328,35 USD, dentro de nuestro rango. La razón principal: Apple es un negocio excepcional a un precio que ya descuenta más de lo que puede dar. La convicción es media porque la regla da Mantener lejos de sus umbrales; bajaría a Vender si el precio pasa de 346,30 USD (la sesión de hoy cotiza a 344) y subiría a Comprar solo por debajo de 155,79 USD.</w:t>
      </w:r>
    </w:p>
    <w:p>
      <w:pPr>
        <w:spacing w:after="100"/>
      </w:pPr>
      <w:r>
        <w:rPr>
          <w:b/>
        </w:rPr>
        <w:t xml:space="preserve">El negocio.</w:t>
      </w:r>
      <w:r>
        <w:t xml:space="preserve"> Base de 2.500 M de dispositivos, ≈ 43 % de los ingresos mundiales de smartphones con ≈ 20 % de las unidades y Servicios con un margen bruto del 75 % [3, 10, 12]. El rendimiento del capital operativo supera el 180 % frente a un WACC del 10,27 %. La calidad sostiene el crecimiento que proyectamos (sostenibilidad «Sí»): un 5-6 % anual sin inversión neta, por debajo de su historia. Las debilidades son de concentración: el iPhone es el 50 % de las ventas, China es el 15,5 % de las ventas y casi toda la fabricación, y ≈ 20.000 M USD al año vienen de Google [1, 35].</w:t>
      </w:r>
    </w:p>
    <w:p>
      <w:pPr>
        <w:spacing w:after="100"/>
      </w:pPr>
      <w:r>
        <w:rPr>
          <w:b/>
        </w:rPr>
        <w:t xml:space="preserve">Finanzas.</w:t>
      </w:r>
      <w:r>
        <w:t xml:space="preserve"> FY2026 cerró con ventas de ≈ 477.000 M (+14,7 %) y un BPA de ≈ 8,86 USD, con ayuda de los reembolsos de aranceles (≈ 0,16 USD) [2, 3]. Caja neta de 62.173 M y FCF de 136.683 M en doce meses; casi todo va a recompras (62.094 M en nueve meses) [2].</w:t>
      </w:r>
    </w:p>
    <w:p>
      <w:pPr>
        <w:spacing w:after="100"/>
      </w:pPr>
      <w:r>
        <w:rPr>
          <w:b/>
        </w:rPr>
        <w:t xml:space="preserve">Equipo y gobierno.</w:t>
      </w:r>
      <w:r>
        <w:t xml:space="preserve"> Sucesión ordenada: John Ternus es consejero delegado desde el 1-sep-2026 y Tim Cook presidente ejecutivo [18]. Resta que se pierda el presidente independiente y que los directivos solo vendan (207 M USD en 12 meses) [23].</w:t>
      </w:r>
    </w:p>
    <w:p>
      <w:pPr>
        <w:spacing w:after="100"/>
      </w:pPr>
      <w:r>
        <w:rPr>
          <w:b/>
        </w:rPr>
        <w:t xml:space="preserve">Valoración.</w:t>
      </w:r>
      <w:r>
        <w:t xml:space="preserve"> El DCF da 150,83 USD con un WACC del 10,27 %; con la prima del mercado, 169,48. Para justificar el precio Apple tendría que crecer un 17,2 % anual nueve años, frente al 5,1 % que proyectamos: el precio implica una rentabilidad del 6,2 % anual, menos que su coste de capital. Cotiza a 35,2 veces el BPA de 12 meses, frente a 19,4 de los comparables y 28,8 de su mediana adelantada de cinco años. A 12 meses, la regla supone que el múltiplo baja solo a 32,9 veces; por eso el objetivo está cerca del precio y el valor intrínseco a la mitad.</w:t>
      </w:r>
    </w:p>
    <w:p>
      <w:pPr>
        <w:spacing w:after="100"/>
      </w:pPr>
      <w:r>
        <w:rPr>
          <w:b/>
        </w:rPr>
        <w:t xml:space="preserve">Riesgos y catalizadores.</w:t>
      </w:r>
      <w:r>
        <w:t xml:space="preserve"> El mayor riesgo es el múltiplo: volver a su mínimo de cinco años (24,8 veces) restaría un 31 %. Después, la memoria (guía del 4T corta: 47-48 % de margen bruto), la regulación de la App Store (DMA, Epic en el Supremo) y la apelación de Google (decisión probable en 2027) [2, 9, 34]. La IA es mixta: Apple va por detrás y depende de Gemini, pero puede cobrar por distribuirla y la Siri nueva puede adelantar renovaciones. Resultados el 2-nov-2026. Los foros discuten sobre todo la valoración.</w:t>
      </w:r>
    </w:p>
    <w:p>
      <w:pPr>
        <w:spacing w:after="100"/>
      </w:pPr>
      <w:r>
        <w:rPr>
          <w:b/>
        </w:rPr>
        <w:t xml:space="preserve">Qué cambiaría la decisión.</w:t>
      </w:r>
      <w:r>
        <w:t xml:space="preserve"> Comprar por debajo de 155,79 USD; vender por encima de 346,30 USD. Pasaríamos a Vender si el iPhone crece menos del 5 % dos trimestres o si la apelación prohíbe los pagos de Google; reconsideraríamos al alza si la Siri nueva lleva el iPhone a crecer más del 10 % en FY2027 con margen bruto ≥ 47 %.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310,61 USD</w:t>
      </w:r>
      <w:r>
        <w:t xml:space="preserve"> (rentabilidad -8,2 % (base -1,5 %)) · Valor intrínseco: 155,79 USD (-54,1 % sobre 339,50) · con la prima implícita del mercado: 170,36 (-49,8 %)</w:t>
      </w:r>
    </w:p>
    <w:p>
      <w:pPr>
        <w:spacing w:after="100"/>
      </w:pPr>
      <w:r>
        <w:t xml:space="preserve">Apple es la empresa de consumo más rentable del mundo: 416.161 M USD de ventas en FY2025, un 32 % de margen operativo, 2.500 M de dispositivos activos y un negocio de Servicios de 109.158 M que crece al 13-14 % con un margen bruto del 75 % [1, 3]. Casi no necesita capital y devuelve todo a los accionistas.</w:t>
      </w:r>
    </w:p>
    <w:p>
      <w:pPr>
        <w:spacing w:after="100"/>
      </w:pPr>
      <w:r>
        <w:t xml:space="preserve">El precio, 339,50 USD, son 35,2 veces el beneficio de los próximos 12 meses y 29,3 veces el EBITDA, el máximo de diez años [24]. El DCF inverso dice que el mercado pide un 17,2 % de crecimiento anual durante nueve años, o acepta una rentabilidad del 6,2 % anual, por debajo del 10,27 % de coste de capital [27].</w:t>
      </w:r>
    </w:p>
    <w:p>
      <w:pPr>
        <w:spacing w:after="100"/>
      </w:pPr>
      <w:r>
        <w:t xml:space="preserve">El mercado acierta en la calidad y se equivoca, a mi juicio, en el precio: paga como si los riesgos (memoria, Google, App Store, China, IA) no existieran. Para invertir hay que creer que la Siri nueva abre un ciclo de renovación de varios años y que el múltiplo de 36 veces es permanente. No es mi caso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 × 8,84 = 219,23 · 32,9x × 10,13 = 333,28 · 32,9x × 10,84 = 356,64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328,35 (nuestro base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155,79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 / -69,3 %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10,3 %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155,79 y 346,30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346,30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346,30 USD con el objetivo fijo: pasaría a Vender (ponderada ≤ −10 %).</w:t>
      </w:r>
    </w:p>
    <w:p>
      <w:pPr>
        <w:pStyle w:val="ListParagraph"/>
        <w:numPr>
          <w:ilvl w:val="0"/>
          <w:numId w:val="2"/>
        </w:numPr>
        <w:spacing w:after="60"/>
      </w:pPr>
      <w:r>
        <w:t xml:space="preserve">Precio por debajo de 155,79 USD: Comprar (ponderada ≥ 15 %, base ≥ 12 % y precio ≤ valor intrínseco).</w:t>
      </w:r>
    </w:p>
    <w:p>
      <w:pPr>
        <w:pStyle w:val="ListParagraph"/>
        <w:numPr>
          <w:ilvl w:val="0"/>
          <w:numId w:val="2"/>
        </w:numPr>
        <w:spacing w:after="60"/>
      </w:pPr>
      <w:r>
        <w:t xml:space="preserve">Ventas del iPhone por debajo del +5 % interanual dos trimestres seguidos: revisar el BPA a la baja.</w:t>
      </w:r>
    </w:p>
    <w:p>
      <w:pPr>
        <w:pStyle w:val="ListParagraph"/>
        <w:numPr>
          <w:ilvl w:val="0"/>
          <w:numId w:val="2"/>
        </w:numPr>
        <w:spacing w:after="60"/>
      </w:pPr>
      <w:r>
        <w:t xml:space="preserve">Sentencia de apelación que prohíba los pagos de Google: BPA −11 % y Vender.</w:t>
      </w:r>
    </w:p>
    <w:p>
      <w:pPr>
        <w:pStyle w:val="ListParagraph"/>
        <w:numPr>
          <w:ilvl w:val="0"/>
          <w:numId w:val="2"/>
        </w:numPr>
        <w:spacing w:after="60"/>
      </w:pPr>
      <w:r>
        <w:t xml:space="preserve">Guía de margen bruto por debajo del 46 % en el 1T o el 2T de FY2027: revisar.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Apple mantiene un crecimiento del BPA del 9-13 % anual (consenso de 8,82 a 10,81 USD entre FY2026 y FY2028) y que ese crecimiento merece 35-36 veces el beneficio, como activo refugio de calidad con recompra [25, 26].</w:t>
      </w:r>
    </w:p>
    <w:p>
      <w:pPr>
        <w:keepNext/>
        <w:spacing w:after="100"/>
      </w:pPr>
      <w:r>
        <w:rPr>
          <w:b/>
          <w:bCs/>
        </w:rPr>
        <w:t xml:space="preserve">Lo que creemos nosotros.</w:t>
      </w:r>
    </w:p>
    <w:p>
      <w:pPr>
        <w:spacing w:after="100"/>
      </w:pPr>
      <w:r>
        <w:t xml:space="preserve">Un BPA algo menor por la memoria (10,13 USD en FY2028e frente a 10,81) y, sobre todo, un múltiplo que no puede subir más: el valor de los flujos con un coste de capital del 10 % es la mitad del precio.</w:t>
      </w:r>
    </w:p>
    <w:p>
      <w:pPr>
        <w:keepNext/>
        <w:spacing w:after="100"/>
      </w:pPr>
      <w:r>
        <w:rPr>
          <w:b/>
          <w:bCs/>
        </w:rPr>
        <w:t xml:space="preserve">Por qué podemos tener razón.</w:t>
      </w:r>
    </w:p>
    <w:p>
      <w:pPr>
        <w:spacing w:after="100"/>
      </w:pPr>
      <w:r>
        <w:t xml:space="preserve">Porque el crecimiento de FY2026 vino de un ciclo de producto y de reembolsos de aranceles que no se repiten, y porque los riesgos regulatorios (Google, App Store) tocan la parte más rentable del negocio. Podemos estar equivocados si la IA abre un ciclo de renovación largo.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récord</w:t>
      </w:r>
      <w:r>
        <w:t xml:space="preserve">: más de 2.500 M de dispositivos activos y 1.500 M de suscripciones de pago [5, 9].</w:t>
      </w:r>
    </w:p>
    <w:p>
      <w:pPr>
        <w:pStyle w:val="ListParagraph"/>
        <w:numPr>
          <w:ilvl w:val="0"/>
          <w:numId w:val="2"/>
        </w:numPr>
        <w:spacing w:after="60"/>
      </w:pPr>
      <w:r>
        <w:rPr>
          <w:b/>
        </w:rPr>
        <w:t xml:space="preserve">Servicios</w:t>
      </w:r>
      <w:r>
        <w:t xml:space="preserve">: 109.158 M de ventas en FY2025 (+13,5 %) con un 75,4 % de margen bruto [1].</w:t>
      </w:r>
    </w:p>
    <w:p>
      <w:pPr>
        <w:pStyle w:val="ListParagraph"/>
        <w:numPr>
          <w:ilvl w:val="0"/>
          <w:numId w:val="2"/>
        </w:numPr>
        <w:spacing w:after="60"/>
      </w:pPr>
      <w:r>
        <w:rPr>
          <w:b/>
        </w:rPr>
        <w:t xml:space="preserve">Rentabilidad del capital</w:t>
      </w:r>
      <w:r>
        <w:t xml:space="preserve"> de más del 180 % sobre el capital operativo y caja neta de 62.173 M [2].</w:t>
      </w:r>
    </w:p>
    <w:p>
      <w:pPr>
        <w:pStyle w:val="ListParagraph"/>
        <w:numPr>
          <w:ilvl w:val="0"/>
          <w:numId w:val="2"/>
        </w:numPr>
        <w:spacing w:after="60"/>
      </w:pPr>
      <w:r>
        <w:rPr>
          <w:b/>
        </w:rPr>
        <w:t xml:space="preserve">Ciclo del iPhone 17</w:t>
      </w:r>
      <w:r>
        <w:t xml:space="preserve">: +22 % de ventas del iPhone en nueve meses de FY2026 [2].</w:t>
      </w:r>
    </w:p>
    <w:p>
      <w:pPr>
        <w:pStyle w:val="ListParagraph"/>
        <w:numPr>
          <w:ilvl w:val="0"/>
          <w:numId w:val="2"/>
        </w:numPr>
        <w:spacing w:after="60"/>
      </w:pPr>
      <w:r>
        <w:rPr>
          <w:b/>
        </w:rPr>
        <w:t xml:space="preserve">Recompra</w:t>
      </w:r>
      <w:r>
        <w:t xml:space="preserve">: 62.094 M en nueve meses y 100.000 M de programa nuevo [2].</w:t>
      </w:r>
    </w:p>
    <w:p>
      <w:pPr>
        <w:pStyle w:val="Heading2"/>
      </w:pPr>
      <w:r>
        <w:t xml:space="preserve">En contra</w:t>
      </w:r>
    </w:p>
    <w:p>
      <w:pPr>
        <w:pStyle w:val="ListParagraph"/>
        <w:numPr>
          <w:ilvl w:val="0"/>
          <w:numId w:val="2"/>
        </w:numPr>
        <w:spacing w:after="60"/>
      </w:pPr>
      <w:r>
        <w:rPr>
          <w:b/>
        </w:rPr>
        <w:t xml:space="preserve">Precio</w:t>
      </w:r>
      <w:r>
        <w:t xml:space="preserve">: 35,2 veces el BPA de 12 meses, frente a 19,4 de los comparables; el valor intrínseco es 155,79 USD (−54 %).</w:t>
      </w:r>
    </w:p>
    <w:p>
      <w:pPr>
        <w:pStyle w:val="ListParagraph"/>
        <w:numPr>
          <w:ilvl w:val="0"/>
          <w:numId w:val="2"/>
        </w:numPr>
        <w:spacing w:after="60"/>
      </w:pPr>
      <w:r>
        <w:rPr>
          <w:b/>
        </w:rPr>
        <w:t xml:space="preserve">Memoria</w:t>
      </w:r>
      <w:r>
        <w:t xml:space="preserve">: la guía del 4T bajó el margen bruto al 47-48 % y las ventas al +9-11 % [9].</w:t>
      </w:r>
    </w:p>
    <w:p>
      <w:pPr>
        <w:pStyle w:val="ListParagraph"/>
        <w:numPr>
          <w:ilvl w:val="0"/>
          <w:numId w:val="2"/>
        </w:numPr>
        <w:spacing w:after="60"/>
      </w:pPr>
      <w:r>
        <w:rPr>
          <w:b/>
        </w:rPr>
        <w:t xml:space="preserve">Google</w:t>
      </w:r>
      <w:r>
        <w:t xml:space="preserve">: ≈ 20.000 M USD al año en riesgo por la apelación [34, 35].</w:t>
      </w:r>
    </w:p>
    <w:p>
      <w:pPr>
        <w:pStyle w:val="ListParagraph"/>
        <w:numPr>
          <w:ilvl w:val="0"/>
          <w:numId w:val="2"/>
        </w:numPr>
        <w:spacing w:after="60"/>
      </w:pPr>
      <w:r>
        <w:rPr>
          <w:b/>
        </w:rPr>
        <w:t xml:space="preserve">App Store</w:t>
      </w:r>
      <w:r>
        <w:t xml:space="preserve">: DMA (multa de 500 M EUR y hasta el 10 % de las ventas) y Epic en el Supremo [2].</w:t>
      </w:r>
    </w:p>
    <w:p>
      <w:pPr>
        <w:pStyle w:val="ListParagraph"/>
        <w:numPr>
          <w:ilvl w:val="0"/>
          <w:numId w:val="2"/>
        </w:numPr>
        <w:spacing w:after="60"/>
      </w:pPr>
      <w:r>
        <w:rPr>
          <w:b/>
        </w:rPr>
        <w:t xml:space="preserve">China</w:t>
      </w:r>
      <w:r>
        <w:t xml:space="preserve">: 15,5 % de las ventas y la mayor parte de la fabricación [1].</w:t>
      </w:r>
    </w:p>
    <w:p>
      <w:pPr>
        <w:pStyle w:val="ListParagraph"/>
        <w:numPr>
          <w:ilvl w:val="0"/>
          <w:numId w:val="2"/>
        </w:numPr>
        <w:spacing w:after="60"/>
      </w:pPr>
      <w:r>
        <w:rPr>
          <w:b/>
        </w:rPr>
        <w:t xml:space="preserve">IA</w:t>
      </w:r>
      <w:r>
        <w:t xml:space="preserve">: va por detrás y depende de Gemini (≈ 1.000 M USD al año) [40].</w:t>
      </w:r>
    </w:p>
    <w:p>
      <w:pPr>
        <w:pStyle w:val="Heading2"/>
      </w:pPr>
      <w:r>
        <w:t xml:space="preserve">Qué tiene que pasar para que la tesis funcione</w:t>
      </w:r>
    </w:p>
    <w:p>
      <w:pPr>
        <w:spacing w:after="100"/>
      </w:pPr>
      <w:r>
        <w:t xml:space="preserve">La tesis depende del ciclo de renovación: que el iPhone siga creciendo al menos un 5 % en FY2027 con la memoria cara y la Siri nueva. La señal de que no se cumple sería una guía del 1T FY2027 (2-nov) de ventas de un dígito bajo o de margen bruto por debajo del 46 %. La segunda condición es regulatoria: que los pagos de Google sigan tras la apelación.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del iPhone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(9M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negocio y motor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 (9M FY2026; 47-48 % guía 4T)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memoria y aranceles.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Servicios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(9M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de la App Store y pagos de Google.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Gran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(9M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 Huawei y riesgo político.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30x sin caída del BPA (oportunidad) o &gt; 38x (venta)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es el riesgo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29,3x / 27,2x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35,2x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(FY2018-FY2025)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Apple nace en 1976 en Cupertino (Steve Jobs, Steve Wozniak y Ronald Wayne) y sale a bolsa en 1980. Tras perder el rumbo en los noventa, la vuelta de Jobs (1997) trae el iMac, el iPod (2001), iTunes, el iPhone (2007), la App Store (2008) y el iPad (2010) [1]. Tim Cook le sucede en 2011 y convierte a la empresa en una máquina de caja: Servicios, Apple Watch, AirPods, chips propios (M1, 2020) y un programa de recompras sin precedente. En 2026 Cook pasa a presidente ejecutivo y John Ternus, jefe de ingeniería de hardware, es consejero delegado desde el 1-sep-2026; el mismo año Apple elige a Google Gemini como base de su nueva Siri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Cupertino; Apple 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Macintosh.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Steve Jobs tras la compra de NeXT.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iPod y primeras Apple Store.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iPhone.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 Store.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 Cook,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Beats (3.000 M USD) y Apple Pay.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M1 propio en el Mac; desdoblamiento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Intelligence; Tribunal de la UE confirma 13.000 M EUR de ayudas de Estado.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Google para Gemini en Siri (enero); John Ternus consejero delegado (septiembre).</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Apple diseña y vende teléfonos (iPhone), ordenadores (Mac), tabletas (iPad), relojes, auriculares y accesorios, y cobra por los servicios que funcionan sobre esos aparatos (App Store, iCloud, publicidad, AppleCare, pagos y vídeo y música) [1]. En el ejercicio 2025 (cerrado el 27-sep-2025) vendió 416.161 M USD: iPhone 50 %, Servicios 26 %, Wearables 9 %, Mac 8 % e iPad 7 % [1]. No fabrica: diseña los chips (serie A y M, módem C1) y encarga el montaje a terceros, sobre todo en China e India [1]. La base instalada supera los 2.500 millones de aparatos activos [5].</w:t>
      </w:r>
    </w:p>
    <w:p>
      <w:pPr>
        <w:pStyle w:val="Heading2"/>
      </w:pPr>
      <w:r>
        <w:t xml:space="preserve">Cómo gana dinero</w:t>
      </w:r>
    </w:p>
    <w:p>
      <w:pPr>
        <w:spacing w:after="100"/>
      </w:pPr>
      <w:r>
        <w:t xml:space="preserve">Gana dos veces con cada cliente: al vender el aparato (margen bruto de Productos del 36,8 % en FY2025) y después con los servicios que usa ese aparato (margen bruto del 75,4 %) [1]. Servicios es el 26 % de las ventas pero ≈ 42 % del beneficio bruto, y crece al 13-14 % anual [1, 2]. Dentro de Servicios, la publicidad incluye lo que Google paga por ser el buscador por defecto de Safari y la App Store cobra una comisión de hasta el 30 % a los desarrolladores; las dos están en litigio [1, 2]. El iPhone es la puerta de entrada: su ciclo de renovación arrastra a Servicios, Wearables y Mac.</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iPhone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Wearables, Home and Accessories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iPhone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Wearables, Home and Accessories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ningún cliente llega al 10 % de las ventas; vende directamente (tiendas propias y web) y a través de operadoras, mayoristas y distribuidores [1]. Poder de precios alto en la gama alta: el iPhone tiene ≈ 20 % de las unidades del mercado mundial y una parte mucho mayor de los ingresos [1]. La dependencia está en los proveedores: un puñado de fabricantes por contrato (Foxconn y otros) en China e India y proveedores únicos de algunos componentes, entre ellos la memoria, cuyo precio sube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Dispositivos activos (base instalada)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2.350 M (ene-2025)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2.500 M (ene-2026)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todas las categorías y regiones en el 3T26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Dicho en la conferencia del 3T26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96.169 M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109.158 M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 FY2026: +14 %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76,3 % en 9M FY2026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Productos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39,9 % en 9M FY2026 con reembolsos de aranceles; la memoria empuja a la baja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del iPhone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201.183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209.586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FY2026: 196.515 M, +22 %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smartphones en valor (lo que pagan los consumidores por los teléfonos), donde está el 50 % de las ventas de Apple y casi todo su beneficio de productos; Servicios vive de la base instalada que crea ese teléfono. Perímetro mundial. Se usa Counterpoint (ingresos trimestrales del mercado) y, para unidades, Counterpoint e IDC [10, 11, 12, 13]. Apple compite además en ordenadores personales (≈ 8 % de sus ventas), tabletas, relojes y auriculares, y en servicios digitales, cada uno con su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460.000 M USD en 2025 (estimación propia: 2T &gt; 100.000, 3T ≈ 112.000 y 4T 143.000 M de Counterpoint, más un 1T de ≈ 105.000)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al alza (gama alta)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medio del mercado superó por primera vez los 400 USD en el 4T25 (Counterpoint)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estancadas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mundiales +2 % en 2025 [10]; ciclos de renovación de 3-4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cara y escasa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−22 % interanual en el 3T26 según los primeros datos; los fabricantes chinos, los más golpeados [2,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el dispositivo como motivo de renovación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Siri AI con Gemini desde 2026 [16]; sin datos aún de efecto en la renovación.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relocalización de la fabricación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de 2025, IEEPA anulados en feb-2026; nuevas medidas de la sección 301 y 232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y los chinos (Xiaomi, Huawei, Oppo, Vivo) compiten en precio; en la gama alta (&gt; 800 USD) Apple tiene más de la mitad del mercado y solo Samsung y Huawei le disputan.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Consumidores dispersos; las operadoras pesan (27 % de las cuentas a cobrar) pero no fijan el precio del iPhone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(chips avanzados) y los tres fabricantes de memoria tienen poder hoy: la memoria recortó la guía del 4T26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sistema operativo y canal mundial: nadie ha entrado con éxito en la gama alta en diez años.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Dispositivos de IA (gafas, nuevos aparatos de OpenAI) aún sin volumen; el teléfono sigue siendo el centro.</w:t>
            </w:r>
          </w:p>
        </w:tc>
      </w:tr>
    </w:tbl>
    <w:p>
      <w:pPr>
        <w:spacing w:after="160" w:before="0"/>
      </w:pPr>
    </w:p>
    <w:p>
      <w:pPr>
        <w:pStyle w:val="Heading2"/>
      </w:pPr>
      <w:r>
        <w:t xml:space="preserve">Ciclo</w:t>
      </w:r>
    </w:p>
    <w:p>
      <w:pPr>
        <w:spacing w:after="100"/>
      </w:pPr>
      <w:r>
        <w:t xml:space="preserve">El mercado de smartphones es maduro (envíos +2 % en 2025) y en 2026 lo frena la escasez de memoria (−22 % interanual en el 3T26) [10, 14]. Apple se ha comportado como defensiva: ventas −2 % en FY2023 y casi planas en FY2024, sin pérdida de margen; en 2020 subió por la demanda de la pandemia y en 2008-09 siguió creciendo [1]. El ciclo del iPhone 17 (FY2026, +22 % en 9M) es el más fuerte desde el 5G.</w:t>
      </w:r>
    </w:p>
    <w:p>
      <w:pPr>
        <w:pStyle w:val="Heading2"/>
      </w:pPr>
      <w:r>
        <w:t xml:space="preserve">Regulación</w:t>
      </w:r>
    </w:p>
    <w:p>
      <w:pPr>
        <w:spacing w:after="100"/>
      </w:pPr>
      <w:r>
        <w:t xml:space="preserve">La Ley de Mercados Digitales de la UE (DMA) obliga a permitir tiendas y pagos alternativos; multa de 500 M EUR en abril de 2025 y una investigación abierta que puede llegar al 10 % de las ventas mundiales [2]. En EE. UU., la orden del caso Epic (2025) prohíbe cobrar comisión por las compras fuera de la app; el Supremo revisará el desacato tras aceptar el recurso el 30-jun-2026 [2]. El acuerdo de búsqueda con Google depende de la apelación del caso antimonopolio de búsqueda (el Gobierno pide prohibir los pagos). Japón (ley de smartphones de 2025) y el Reino Unido (CMA) van en la misma línea.</w:t>
      </w:r>
    </w:p>
    <w:p>
      <w:pPr>
        <w:pStyle w:val="Heading2"/>
      </w:pPr>
      <w:r>
        <w:t xml:space="preserve">Tendencias y disrupción</w:t>
      </w:r>
    </w:p>
    <w:p>
      <w:pPr>
        <w:spacing w:after="100"/>
      </w:pPr>
      <w:r>
        <w:t xml:space="preserve">IA generativa: Apple va por detrás de Google, OpenAI y Samsung y ha optado por licenciar Gemini en vez de construir un modelo de frontera [16]; si Siri AI funciona, puede adelantar renovaciones (la base de 2.500 M de dispositivos es la mayor ventaja). Nuevos formatos (plegables: la gama de 2026 incluye un modelo «Duo», según la prensa) suben el precio medio. Fabricación: India gana peso frente a China. Riesgo: que la interfaz pase del teléfono a un asistente de IA de terceros.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smartphones por ingresos (≈ 43 % del valor del mercado en el 2T y el 3T de 2025, Counterpoint) y por unidades en 2025 (≈ 20 %, por delante de Samsung) [10, 11, 12]; 4.º en ordenadores personales por unidades; 1.º en tabletas y relojes inteligentes.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Electronics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005930.KS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unidades (19 % en 2025); Android, plegables; también fabricante de memoria (gana con la escasez)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en unidades (13 %), gama media y baja; también coches eléctricos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la gama alta china con HarmonyOS y chips propios;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Android y Pixel; a la vez socio (búsqueda, Gemini) y rival en IA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Windows frente al Mac; Copilot frente a Apple Intelligence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 Store y base instalada de 2.500 M de dispositivos: los desarrolladores lanzan primero en iOS porque ahí está el gasto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iMessage, iCloud, fotos, Watch y AirPods atan al usuario; la fidelidad del iPhone supera el 90 % según encuestas (sin fuente primaria).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43 % de los ingresos del mercado con ≈ 20 % de las unidades: la marca permite cobrar el doble del precio medio [B2,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y compras a escala; pero depende de TSMC y de la memoria, que hoy le cuesta más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del 32 % frente al 6 % de Xiaomi y al 8-12 % de Dell y HP [B8].</w:t>
            </w:r>
          </w:p>
        </w:tc>
      </w:tr>
    </w:tbl>
    <w:p>
      <w:pPr>
        <w:spacing w:after="160" w:before="0"/>
      </w:pPr>
    </w:p>
    <w:p>
      <w:pPr>
        <w:pStyle w:val="Heading2"/>
      </w:pPr>
      <w:r>
        <w:t xml:space="preserve">Amenazas</w:t>
      </w:r>
    </w:p>
    <w:p>
      <w:pPr>
        <w:spacing w:after="100"/>
      </w:pPr>
      <w:r>
        <w:t xml:space="preserve">Las tres amenazas reales son regulatorias y tecnológicas, no de rivales directos. (1) La regulación de la App Store (DMA, Epic, Japón) erosiona la comisión del 15-30 % que sostiene el margen de Servicios; probabilidad alta de erosión lenta, baja de golpe brusco. (2) La sentencia contra Google puede acabar con ≈ 20.000 M USD anuales de pagos casi sin coste (≈ 15 % del beneficio operativo); probabilidad media-baja tras la decisión del juez Mehta de 2025, pendiente de apelación. (3) Si la IA mueve la relación con el usuario a un asistente que no es de Apple, el iPhone se vuelve un aparato más; probabilidad baja a cinco años, alta incertidumbre [2,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FY2018-FY2025: ingresos </w:t>
      </w:r>
      <w:r>
        <w:rPr>
          <w:b/>
          <w:bCs/>
        </w:rPr>
        <w:t xml:space="preserve">6,6 %</w:t>
      </w:r>
      <w:r>
        <w:t xml:space="preserve">, EBITDA </w:t>
      </w:r>
      <w:r>
        <w:rPr>
          <w:b/>
          <w:bCs/>
        </w:rPr>
        <w:t xml:space="preserve">8,5 %</w:t>
      </w:r>
      <w:r>
        <w:t xml:space="preserve">, BPA </w:t>
      </w:r>
      <w:r>
        <w:rPr>
          <w:b/>
          <w:bCs/>
        </w:rPr>
        <w:t xml:space="preserve">14,0 %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Apple facturó 416.161 M USD en el ejercicio 2025 (+6,4 %), con un margen EBITDA del 34,8 % y un margen operativo del 32,0 % [1]. En cinco años (FY2020-FY2025) las ventas crecieron un 8,7 % anual, pero casi todo vino del salto de FY2021 (+33 %, ciclo del 5G y la pandemia); de FY2022 a FY2024 estuvieron planas (394.328, 383.285 y 391.035 M) [1, 7]. El margen se ha ensanchado por la mezcla: Servicios pasó del 19,6 % de las ventas en FY2020 al 26,2 % en FY2025 con un margen bruto del 75,4 %, frente al 36,8 % de Productos [1]. El ejercicio 2026 (cerrado el 26-sep-2026, aún sin publicar) va mucho mejor: en nueve meses las ventas suben un 16,2 % (364.357 M) con el iPhone 17 (+22 %) y Gran China (+30 %), y el margen bruto llega al 49,1 % [2]. Parte es no recurrente: los reembolsos de aranceles IEEPA tras la sentencia del Supremo del 20-feb-2026 sumaron unos 2 puntos de margen bruto en el 3T (0,11 USD por acción) y la guía del 4T incluye otro punto [3, 9].</w:t>
      </w:r>
    </w:p>
    <w:p>
      <w:pPr>
        <w:pStyle w:val="Heading2"/>
      </w:pPr>
      <w:r>
        <w:t xml:space="preserve">Ajustes y partidas no recurrentes</w:t>
      </w:r>
    </w:p>
    <w:p>
      <w:pPr>
        <w:spacing w:after="100"/>
      </w:pPr>
      <w:r>
        <w:t xml:space="preserve">Cifras publicadas (US GAAP); Apple no publica cifras ajustadas salvo dos partidas que aquí se tratan aparte. (1) FY2024: cargo fiscal único de 10.200 M USD por la decisión de ayudas de Estado de la Comisión Europea confirmada por el Tribunal de Justicia de la UE el 10-sep-2024 (15.800 M pagados a Irlanda desde la cuenta de garantía, menos 4.800 M de crédito fiscal en EE. UU.) [1]; el BPA de FY2024 (6,08 USD) sería ≈ 6,75 sin él, que es el que se usa en la historia del PER. (2) 3T y 4T FY2026: reembolsos de aranceles IEEPA registrados como menor coste de ventas (≈ 0,11 USD por acción en el 3T; ≈ 1 punto de margen bruto en la guía del 4T) [3, 9]: no se repiten y la proyección de FY2027 no los incluye. El EBITDA es EBIT + amortización y depreciación del estado de flujos; no se suman los pagos en acciones (12.863 M en FY2025), que son un coste real.</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fiscal de Apple (4T24 = julio-septiembre de 2024; 3T26 = abril-junio de 2026). En la conferencia del 3T26 (30-jul-2026), la última de Tim Cook como consejero delegado, la dirección dio una guía del 4T por debajo de lo esperado: ventas +9-11 % (el consenso esperaba ≈ +12 %), con un efecto divisa de −2,5 puntos y unas restricciones de suministro que «aumentarán de forma significativa»; iPhone +15 % aproximadamente; margen bruto del 47-48 %, que incluye ≈ 1 punto de reembolsos de aranceles; gastos operativos de 19.100-19.400 M y tipo fiscal del 16,5 % [9]. Cook llamó al encarecimiento de la memoria una «inundación de las que pasan una vez cada cien años» y admitió que la falta de producto es «un problema de previsión de demanda». Las preguntas que más se repitieron: suministro y memoria (Evercore, Melius), coste de cómputo de Siri AI (Goldman), precios (Morgan Stanley) y despliegue de Siri AI en China y Europa (JPMorgan). La dirección evitó dar color sobre el trimestre de diciembre, no tiene «un plan completo» para el coste de cómputo y no dio fechas para China y la UE [9]. En el 1T26 (enero) el discurso era el contrario: récord absoluto, «demanda sin precedentes» del iPhone 17 y 2.500 M de dispositivos activos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pese a recomprar más de lo que gana: la caja más los valores negociables bajó de 237.100 M en FY2018 a 132.420 M en FY2025 y la deuda financiera pasó de 114.483 a 98.657 M [1, 7]; desde 2018 la dirección apunta a una posición «neutral de caja neta» y lo está cumpliendo despacio (caja neta de 62.173 M en junio de 2026) [2]. El capital circulante comercial es muy negativo (existencias + clientes − proveedores = −24.365 M en FY2025, −5,9 % de las ventas): Apple cobra antes de pagar a sus fabricantes. En 2026 las existencias se duplicaron (5.718 → 11.092 M) por la compra anticipada de componentes, sobre todo memoria (7.645 M de componentes frente a 2.124) [2]. El patrimonio neto es pequeño (73.733 M en FY2025; 107.520 en junio de 2026) porque las recompras se comieron las reservas, así que el ROE (150 %) no significa nada.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FY2018-FY2025: FCF </w:t>
      </w:r>
      <w:r>
        <w:rPr>
          <w:b/>
          <w:bCs/>
        </w:rPr>
        <w:t xml:space="preserve">707.936</w:t>
      </w:r>
      <w:r>
        <w:t xml:space="preserve">, conversión </w:t>
      </w:r>
      <w:r>
        <w:rPr>
          <w:b/>
          <w:bCs/>
        </w:rPr>
        <w:t xml:space="preserve">106 %</w:t>
      </w:r>
      <w:r>
        <w:t xml:space="preserve"> del beneficio neto; adquisiciones 3.208, dividendos 116.900, recompras 650.576.</w:t>
      </w:r>
    </w:p>
    <w:p>
      <w:pPr>
        <w:spacing w:after="100"/>
      </w:pPr>
      <w:r>
        <w:t xml:space="preserve">Conversión de beneficio en caja alta y estable: flujo operativo de 111.482 M en FY2025 (1,0 veces el beneficio neto) y capex de 12.715 M (3,1 % de las ventas), FCF de 98.767 M [1]. FY2025 lleva el pago extraordinario de ≈ 15.800 M a Irlanda por las ayudas de Estado, por eso el flujo operativo bajó frente a FY2024 (118.254 M) [1]. En los nueve meses de FY2026 el flujo operativo sube a 116.996 M (81.754 un año antes) y el capex baja a 6.799 M [2]. Apple no separa el capex de mantenimiento: con una amortización de ≈ 11.700 M en FY2025, casi todo el capex es reposición y centros de datos; estimación propia: ≈ 70-80 % mantenimiento. El destino de la caja es la recompra: 90.711 M en FY2025 y 62.094 M en nueve meses de FY2026, más 15.421 M de dividendos [1, 2]; las compras de empresas son pequeñas (menos de 1.600 M al año).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y de alta calidad: ingresos casi todos de venta de producto en el momento de la entrega y de servicios a lo largo del contrato (ingresos diferidos de 14.900 M en junio de 2026) [2]. Los pagos en acciones son el ajuste más grande: 12.863 M en FY2025 (11,5 % del beneficio neto) [7]; Apple no los excluye de sus cifras y aquí tampoco. No hay fondo de comercio relevante ni deterioros. El tipo impositivo efectivo se mueve con partidas fiscales: 24,1 % en FY2024 por el cargo de las ayudas de Estado y 15,6 % en FY2025 [1]. Los intangibles netos pasaron de 13.301 a 25.417 M en nueve meses de FY2026 (licencias y derechos de contenido y de propiedad intelectual, sin desglose), algo a vigilar porque su amortización irá al coste [2]. Los indicadores del motor deben leerse con cuidado: el Altman Z sale alto por la capitalización; el Beneish M no capta nada raro; el Piotroski F es alto por márgenes y recompras.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intangibles de 12.100 M en nueve meses sin desglose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Probablemente licencias (IA, contenido) pagadas por adelantado; su amortización entra en el coste de ventas o en I+D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3T26 con ≈ 2 puntos de reembolsos de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 la guía del 4T trae ≈ 1 punto más. Inflan el BPA de FY2026 en ≈ 0,16 USD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duplicadas (componentes de memoria)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anticipadas ante la escasez de memoria; riesgo de depreciación si los precios de la memoria bajan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FY2025 (el 0 % del capital invertido medio); ha subido más de un 5 % en 0 de 7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139,7 % · </w:t>
      </w:r>
      <w:r>
        <w:rPr>
          <w:b/>
          <w:bCs/>
        </w:rPr>
        <w:t xml:space="preserve">WACC</w:t>
      </w:r>
      <w:r>
        <w:t xml:space="preserve">: 10,3 %.</w:t>
      </w:r>
    </w:p>
    <w:p>
      <w:pPr>
        <w:spacing w:after="100"/>
      </w:pPr>
      <w:r>
        <w:t xml:space="preserve">Apple crea valor con mucha holgura y desde hace más de quince años. El ROIC contable no sirve (el capital invertido es casi nulo por las recompras), pero sobre el capital operativo fijo el rendimiento es del 184 % en FY2025 frente a un WACC del 10,27 % [1]. Lo mueve el margen, no la rotación: margen operativo del 32,0 % en FY2025 frente al 29,8 % de FY2021, por el peso de Servicios (75,4 % de margen bruto) [1]. El ROIC incremental histórico (139,7 %) dice lo mismo: el crecimiento de los últimos años casi no ha necesitado capital, porque los fabricantes ponen las fábricas y los clientes pagan antes de que Apple pague a sus proveedores (circulante del −5,9 % de las ventas). Ningún competidor de hardware se acerca: Dell y HP tienen márgenes EBITDA del 8-12 % [25]; solo las plataformas de software (Microsoft, Alphabet, Meta) tienen rentabilidades del mismo orden.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-54.083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39.544 M + valores negociables 106.973 M (22.855 corrientes y 84.118 no corrientes) = 146.517 M USD a 27-jun-2026, frente a una deuda financiera de 84.344 M (pagarés 1.997, bonos a corto 11.007 y a largo 71.340): caja neta de 62.173 M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Aaa y S&amp;P AA+ (perspectiva estable), según los folletos de emisión de bonos; sin comprobar en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13.720 M a 27-sep-2025 (12.490 operativos y 1.230 financieros), plazo medio de 9,8 años [1]; en US GAAP el alquiler operativo ya está en el EBITDA y no se suma a la deuda. Obligaciones de compra a fabricantes de 57.000 M (56.200 a 12 meses) y otras obligaciones de compra de 29.300 M a 27-jun-2026 [2]. Pasivos fiscales no corrientes dentro de «otros pasivos no corrientes» (55.080 M a junio de 2026, +13.500 M en nueve meses) [2]. Litigios: la Comisión Europea multó a Apple con 500 M EUR por la DMA (recurrida) y puede imponer hasta el 10 % de las ventas mundiales en la investigación del artículo 6(4); el Supremo de EE. UU. revisará el desacato del caso Epic [2]. Un jurado de San Diego condenó a Apple a pagar 5.722 M USD a Taction por dos patentes del Taptic Engine el 25-sep-2026 (recurrida; sin provisión conocida). Sin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Dividendo trimestral de 0,27 USD (subido un 4 % en abril de 2026) con la intención de subirlo cada año [2, 4]. Recompras: programa de 100.000 M de mayo de 2025 (quedaban 38.000 M en junio de 2026) y otro de 100.000 M aprobado el 30-abr-2026 [2]. En nueve meses de FY2026 recompró 215 M de acciones por 61.800 M [2]. Objetivo declarado: llegar a una posición neutral de caja neta con el tiempo.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Asignación de capital disciplinada: en ocho años (FY2018-FY2025) Apple ha recomprado unos 650.000 M USD y ha reducido las acciones diluidas de 20.000 a 15.005 M (−3,5 % anual) [7]; casi no compra empresas (la mayor, Beats por 3.000 M en 2014) y desarrolla dentro (chips propios desde el M1 y el módem C1). La pregunta es el precio de las recompras: a 36 veces el beneficio, cada dólar recomprado rinde un 2,8 %, menos que el bono del Tesoro a 10 años (5,12 %). La dirección no ha dicho que vaya a frenar las recompras con el precio alto.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Ternus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Apple desde 2001; vicepresidente sénior de ingeniería de hardware desde 2021 (iPhone, iPad, Mac con chips propios, AirPods). Primer consejero delegado de producto desde Jobs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(desde el 1-sep-2026); consejero delegado 2011-2026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él, las ventas pasaron de 108.000 a 416.000 M USD (FY2011-FY2025) y Servicios a más de 100.000 M; la capitalización superó los 5 billones [17,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Kevan Parekh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Apple desde 2013; antes vicepresidente de planificación y análisis financiero; sustituyó a Luca Maestri el 1-ene-2025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 Levinson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(presidente del consejo hasta el 1-sep-2026)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Genentech; en el consejo desde 2000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Sabih Khan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cadena de suministro y la diversificación hacia India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Newstead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de asuntos públicos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Exdirectora jurídica de Meta; entra en marzo de 2026 en plena lucha regulatoria (DMA, Epic, Google)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 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+10-12 % (dada en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 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doble dígito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 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+14-17 %; margen bruto 47,5-48,5 %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+16,4 %; 50,1 % (≈ 48,1 % sin reembolsos de aranceles)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trimestral de crecimiento bajo o medio de un dígito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Apple solo da guía de un trimestre y casi siempre la cumple o la supera: ninguna de las cuatro guías de 2026 se ha quedado corta [3, 9]. La sucesión ha sido ordenada: se anunció en abril con cuatro meses y medio de antelación y Cook sigue como presidente ejecutivo, lo que da continuidad pero deja dudas sobre quién manda. El equipo cambió mucho en 18 meses (director financiero, director de operaciones, directora jurídica, responsable de contabilidad y consejero delegado) [18, 21, 22]. Ternus viene del hardware: el reto que hereda es la IA, donde Apple va por detrás.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Ternus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 Levinson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Wanda Austin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Gorsky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Personas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Jung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Personas y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Monica Lozano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Sue Wagner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199,71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por vencimiento de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Ternus John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O'BRIEN DEIRDRE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COOK TIMOTHY 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LEVINSON ARTHUR 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LEVINSON ARTHUR 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COOK TIMOTHY 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O'BRIEN DEIRDRE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KONDO CHRIS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un fijo de 3 M USD, un variable anual en efectivo (hasta 4 veces el fijo) ligado a ventas y beneficio operativo (en FY2025 se pagó el máximo, 12 M, con ventas de 416.200 M y beneficio operativo de 133.100 M) y acciones: la mitad por tiempo y la mitad por rentabilidad total para el accionista relativa al S&amp;P 500 (máximo al percentil 85; tope del 100 % si el retorno es negativo) [17]. El TSR relativo del último periodo quedó en el percentil 81,2 [17]. Hay cláusulas de recuperación (obligatoria y discrecional). Ratio con el empleado mediano: 533 a 1 [17]. Aprobación del voto consultivo: 90,9 % en 2026 y 91,9 % en 2025 [19, 20].</w:t>
      </w:r>
    </w:p>
    <w:p>
      <w:pPr>
        <w:pStyle w:val="Heading2"/>
      </w:pPr>
      <w:r>
        <w:t xml:space="preserve">Operaciones vinculadas, estructura de control y defensas</w:t>
      </w:r>
    </w:p>
    <w:p>
      <w:pPr>
        <w:spacing w:after="100"/>
      </w:pPr>
      <w:r>
        <w:t xml:space="preserve">Sin accionista de control: los dos mayores son gestoras de índices (9,63 % y 7,10 %) [17]. Una acción, un voto; consejo elegido cada año por mayoría; derecho de acceso de accionistas a la convocatoria (proxy access). Sin blindajes relevantes. Desde el 1-sep-2026 el presidente es ejecutivo (Cook) y hay un consejero independiente coordinador (Levinson), que antes era presidente independiente [18]: un paso atrás formal en la separación de funciones. Levinson tiene 26 años en el consejo y es el consejero con más votos en contra (9 % en 2026) [19].</w:t>
      </w:r>
    </w:p>
    <w:p>
      <w:pPr>
        <w:pStyle w:val="Heading2"/>
      </w:pPr>
      <w:r>
        <w:t xml:space="preserve">Señales de alerta</w:t>
      </w:r>
    </w:p>
    <w:p>
      <w:pPr>
        <w:pStyle w:val="ListParagraph"/>
        <w:numPr>
          <w:ilvl w:val="0"/>
          <w:numId w:val="2"/>
        </w:numPr>
        <w:spacing w:after="60"/>
      </w:pPr>
      <w:r>
        <w:t xml:space="preserve">Presidente ejecutivo (Tim Cook) desde el 1-sep-2026: se pierde el presidente independiente [18].</w:t>
      </w:r>
    </w:p>
    <w:p>
      <w:pPr>
        <w:pStyle w:val="ListParagraph"/>
        <w:numPr>
          <w:ilvl w:val="0"/>
          <w:numId w:val="2"/>
        </w:numPr>
        <w:spacing w:after="60"/>
      </w:pPr>
      <w:r>
        <w:t xml:space="preserve">Rotación alta de la cúpula en 18 meses: director financiero (2025), director de operaciones (2025), directora jurídica (2026), responsable de contabilidad (2026) y consejero delegado (2026) [18, 21, 22].</w:t>
      </w:r>
    </w:p>
    <w:p>
      <w:pPr>
        <w:pStyle w:val="ListParagraph"/>
        <w:numPr>
          <w:ilvl w:val="0"/>
          <w:numId w:val="2"/>
        </w:numPr>
        <w:spacing w:after="60"/>
      </w:pPr>
      <w:r>
        <w:t xml:space="preserve">Ventas de directivos de 207 M USD en 12 meses sin ninguna compra; la mayor, de Art Levinson (86,7 M en mayo de 2026, sin plan 10b5-1)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Apple solo da guía del trimestre siguiente. Para el 4T del ejercicio 2026 (julio-septiembre de 2026), dada el 30-jul-2026: ventas +9-11 % interanual (efecto divisa de −2,5 puntos y restricciones de suministro de memoria «significativamente mayores»), iPhone +15 % aproximadamente, margen bruto del 47-48 % con ≈ 1 punto de reembolsos de aranceles, gastos operativos de 19.100-19.400 M USD, otros ingresos de ≈ 350 M y tipo fiscal del 16,5 % [25]. Sin objetivos a medio plazo. Los resultados del 4T y la guía del 1T FY2027 se publican el 2-nov-2026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(44 analistas) y Yahoo (39 analistas: BPA 8,82; ventas 477.627) [25,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y Yahoo (40 analistas: BPA 9,56; ventas 527.288) [25,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572.157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549.033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572.157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198.922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14 /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215,00 – 405,00</w:t>
            </w:r>
          </w:p>
        </w:tc>
      </w:tr>
    </w:tbl>
    <w:p>
      <w:pPr>
        <w:spacing w:after="160" w:before="0"/>
      </w:pPr>
    </w:p>
    <w:p>
      <w:pPr>
        <w:pStyle w:val="Heading2"/>
      </w:pPr>
      <w:r>
        <w:t xml:space="preserve">Revisiones de estimaciones</w:t>
      </w:r>
    </w:p>
    <w:p>
      <w:pPr>
        <w:spacing w:after="100"/>
      </w:pPr>
      <w:r>
        <w:t xml:space="preserve">Tras la guía del 30-jul-2026 el consenso recortó el BPA de FY2027 de 9,71 USD (hace 90 días) a 9,56 (−1,5 %), por la memoria y las restricciones de suministro; el de FY2026 subió de 8,77 a 8,82 por los reembolsos de aranceles [25]. El del 1T FY2027 bajó de 2,97 a 2,90. Los objetivos de precio se mueven en los dos sentidos: Loop Capital bajó a Mantener (370 → 330) y MoffettNathanson recortó a 283 el 20-oct; JP Morgan subió a 360 el 12-oct y Evercore a 380 en septiembre [25]. El objetivo medio (328,35 USD) está un 3 % por debajo del precio. Estimaciones a tres años solo de MarketScreener; contrastadas en ventas y BPA de FY2026-FY2027 con Yahoo (diferencias de menos del 0,1 %).</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bl>
    <w:p>
      <w:pPr>
        <w:spacing w:after="160" w:before="0"/>
      </w:pPr>
    </w:p>
    <w:p>
      <w:pPr>
        <w:spacing w:after="100"/>
      </w:pPr>
      <w:r>
        <w:t xml:space="preserve">Apple sube un 25,2 % en 2026 (total, con dividendos) frente al 13,7 % del S&amp;P 500 y el 29,3 % del sector tecnológico (XLK) [24]. A diez años ha rendido un 28,9 % anual, el doble que el índice. El año ha tenido tres fases: caída hasta el mínimo de 243 USD en enero (dudas sobre la IA y los aranceles), subida fuerte desde abril con el ciclo del iPhone 17, la aprobación de Apple Intelligence en China y la Siri nueva, y un récord el 13-oct (348 USD) tras superar los 5 billones de capitalización. La peor caída de cinco años fue del −33 % (diciembre de 2024 a abril de 2025, aranceles) [24]. Beta de 1,08 (mensual, 5 años) frente al SPY.</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 +7,1 % / +26,1 % / +31,3 %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 (mes hasta el 27-jul)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desde la caída de junio con la Siri nueva (beta tras la WWDC), la aprobación de Apple Intelligence en China y las subidas de objetivo antes de los resultados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31-jul-2026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encima de lo esperado pero guía del 4T (+9-11 %) por debajo del consenso (+12 %) por la escasez de memoria; Cook habló de «inundación de cien años» en los precios de la memoria [9,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 (mes hasta el 25-jun)</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sesiones a la baja y −6,1 % el 25-jun, peor valor del S&amp;P 500 ese día; sin causa propia identificada tras tres búsquedas (registrado en huecos)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12-feb-2026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Bloomberg sobre el retraso de la Siri nueva por problemas en las pruebas y escrutinio de la FTC sobre Apple News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FY2026 y guía del 1T FY2027 (la primera conferencia de John Ternus)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Loop Capital baja a Mantener (objetivo 370 → 330) por los envíos del iPhone; MoffettNathanson recorta a 283; el 19-oct KeyBanc publicó una encuesta con menos intención de renovar el iPhone [14,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207 M USD en 12 meses y ninguna compra; casi todas con plan 10b5-1 o por vencimiento de acciones (1-abr y 1-oct); Art Levinson vendió 86,7 M en mayo sin plan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Jurado de San Diego: Apple debe pagar 5.722 M USD a Taction por dos patentes del Taptic Engine; Apple recurre [36]. Es ≈ 0,1 % de la capitalización: en el puente al 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Justicia pide al Tribunal de Apelaciones del D.C. prohibir los pagos de Google a distribuidores como Apple (≈ 20.000 M USD al año); decisión probable en 2027, sin fecha [34,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Supremo de EE. UU. acepta revisar el desacato del caso Epic (comisiones de las compras fuera de la app)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Ternus, consejero delegado desde el 1-sep-2026; Tim Cook pasa a presidente ejecutivo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Supremo anula los aranceles IEEPA; Apple recibe reembolsos (≈ 2 puntos de margen bruto en el 3T26); siguen los de la sección 301 y la investigación de semiconductores de la sección 232 [2,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plurianual con Google para basar la nueva Siri en Gemini (≈ 1.000 M USD al año según Bloomberg)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históricos (+31 % en 12 meses, +26 % en 6) con tendencia alcista y sin avisos P1-P5 [24]. Los dos movimientos fuertes tienen causa conocida (Siri e iPhone 17 al alza; guía corta por la memoria a la baja) y ninguno contradice la tesis del informe. No hay colocaciones, ampliaciones ni operaciones pendientes; los litigios grandes (Google, Epic, DMA) no tienen fecha de decisión en los próximos meses y ya están en el bajista. Los resultados del 2-nov no retrasan nada (regla 11). Veredicto: no cambia; lo que limita la compra es el precio, no las noticias.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 más cercano al final de cada ejercicio (último sábado de septiembre) de Yahoo [24]. Apple cotizaba a 12-17 veces el beneficio en 2016-2019; la mezcla de Servicios y las recompras lo llevaron a 25-30 veces en 2021-2025 y hoy está en 36 veces el beneficio de FY2027e, el máximo de la serie. El cambio tiene una parte estructural (Servicios es ya el 26 % de las ventas y el 45 % del margen bruto) y otra de tipos y de prima de calidad en megacapitalizaciones, que no ha cambiado con el bono al 5,1 %.</w:t>
      </w:r>
    </w:p>
    <w:p>
      <w:pPr>
        <w:pStyle w:val="Heading1"/>
      </w:pPr>
      <w:r>
        <w:t xml:space="preserve">18. Comparables cotizados</w:t>
      </w:r>
    </w:p>
    <w:p>
      <w:pPr>
        <w:pStyle w:val="Confianza"/>
        <w:spacing w:after="100"/>
      </w:pPr>
      <w:r>
        <w:t xml:space="preserve">Confianza: Media</w:t>
      </w:r>
    </w:p>
    <w:p>
      <w:pPr>
        <w:spacing w:after="100"/>
      </w:pPr>
      <w:r>
        <w:t xml:space="preserve">Plataformas tecnológicas de gran capitalización de EE. UU. (Microsoft, Alphabet, Meta, Amazon), que compiten con Apple por la relación con el usuario y por la IA, y fabricantes de hardware y componentes (Dell, HP, Logitech, Qualcomm). Fuera Samsung y Xiaomi: sus datos de Yahoo mezclan divisas en el valor empresa y Samsung está deformada por el ciclo de la memoria (PER de un dígito). Ninguno combina como Apple hardware de gama alta y servicios: por eso la mediana (19,4x de PER) es una referencia baja. PER = precio ÷ BPA del próximo ejercicio fiscal de Yahoo [25]. EV/EBITDA NTM estimado con el margen EBITDA actual y las ventas de consenso de los próximos 12 meses (no hay EBITDA de consenso en la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4.974.354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3.951.615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4.072.741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1.811.672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HP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Qualcomm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14,4x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 / 16,9x / 18,6x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19,4x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466.823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4,1x / 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12,8 + 0,05 × crecimiento; R² = 0,07. El crecimiento explica poco los múltiplos de estos comparables (R² &lt; 0,3): la regresión no se usa en la valoración.</w:t>
      </w:r>
    </w:p>
    <w:p>
      <w:pPr>
        <w:spacing w:after="100"/>
      </w:pPr>
      <w:r>
        <w:t xml:space="preserve">Apple cotiza a 35,2 veces el BPA de los próximos 12 meses y a 29,3 veces el EBITDA de los últimos 12, frente a medianas de 19,4 y 16,9 veces de los comparables: una prima del 80 % en PER [25]. Por crecimiento no se justifica: los comparables esperan crecer sus ventas en los próximos 12 meses más que Apple (Microsoft 25 %, Alphabet 35 %, Meta 30 %, frente al 8-10 % de Apple), y los fabricantes de hardware cotizan a 10-18 veces. La prima se apoya en la calidad (ROIC, base instalada, Servicios) y en la recompra, no en el crecimiento. Por múltiplos de los comparables, Apple valdría entre 165 y 211 USD por PER y entre 183 y 217 USD por EV/EBITDA, un 40-50 % menos que el precio. No uso ese rango como objetivo porque Apple nunca ha cotizado con los fabricantes de hardware; pesa un 20 %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es un año cerrado (+14,7 %: nueve meses reales con +16,2 % y la guía del 4T, +9-11 %) [2, 9]. Para FY2027e proyecto +8,0 %, por debajo del +10,4 % del consenso [26]: la escasez de memoria limita las unidades (la propia empresa espera que las restricciones «aumenten de forma significativa») y el ciclo del iPhone 17 es difícil de repetir; en contra, la gama nueva (con el plegable) sube el precio medio. Después converjo al 3 % en FY2035e. El promedio de FY2027e-FY2035e (5,1 %) está por debajo de la TCAC de FY2018-FY2025 (6,6 %) y por encima del crecimiento previsto de su mercado (≈ 3 %) por Servicios, que crece al 13-14 % [1].</w:t>
      </w:r>
    </w:p>
    <w:p>
      <w:pPr>
        <w:keepNext/>
        <w:spacing w:after="100"/>
      </w:pPr>
      <w:r>
        <w:rPr>
          <w:b/>
          <w:bCs/>
        </w:rPr>
        <w:t xml:space="preserve">Márgenes.</w:t>
      </w:r>
    </w:p>
    <w:p>
      <w:pPr>
        <w:spacing w:after="100"/>
      </w:pPr>
      <w:r>
        <w:t xml:space="preserve">Margen EBITDA del 34,6 % en FY2027e frente al 35,65 % de FY2026e: salen los reembolsos de aranceles (≈ 0,7 puntos sobre el año), la memoria encarece el producto (Apple guió 47-48 % de margen bruto en el 4T, frente al 50,1 % del 3T) y la I+D crece un 30 % por la IA [2, 9]. Después, 34,9-35 %, ligeramente por encima de FY2025 (34,8 %) por la mezcla de Servicios. No supongo que la memoria se abarate, ni que la regulación (DMA, Epic) recorte la comisión de la App Store más de lo que ya ha hecho: eso va en el bajista.</w:t>
      </w:r>
    </w:p>
    <w:p>
      <w:pPr>
        <w:keepNext/>
        <w:spacing w:after="100"/>
      </w:pPr>
      <w:r>
        <w:rPr>
          <w:b/>
          <w:bCs/>
        </w:rPr>
        <w:t xml:space="preserve">Inversión y circulante.</w:t>
      </w:r>
    </w:p>
    <w:p>
      <w:pPr>
        <w:spacing w:after="100"/>
      </w:pPr>
      <w:r>
        <w:t xml:space="preserve">Capex del 3,0 % de las ventas desde FY2027e (3,1 % en FY2025; 2,2 % estimado en FY2026e) por los centros de datos de Private Cloud Compute, y amortización del 2,9 % (2,8 % en FY2025-FY2026 más la de los intangibles de 2026) [1, 2]. Capital circulante comercial del −5,5 % de las ventas (−5,9 % en FY2025): crecer libera caja.</w:t>
      </w:r>
    </w:p>
    <w:p>
      <w:pPr>
        <w:keepNext/>
        <w:spacing w:after="100"/>
      </w:pPr>
      <w:r>
        <w:rPr>
          <w:b/>
          <w:bCs/>
        </w:rPr>
        <w:t xml:space="preserve">Coste del capital.</w:t>
      </w:r>
    </w:p>
    <w:p>
      <w:pPr>
        <w:spacing w:after="100"/>
      </w:pPr>
      <w:r>
        <w:t xml:space="preserve">Tasa libre del 5,12 % (bono del Tesoro a 10 años, 20-oct-2026) [27]; beta de 1,05 (ajustada, mensual de 5 años frente al SPY; la semanal de 2 años es 1,04) [24]; prima de mercado del 5,0 %, la misma que en los informes de Alphabet y Meta del repositorio; coste de la deuda del 5,5 % antes de impuestos; peso de la deuda del 1,7 % a valor de mercado. WACC: 10,27 %. Con la prima implícita del mercado (4,20 %, Damodaran [28]) el WACC baja al 9,45 % y el valor sube a 169,48 USD: la conclusión no cambia.</w:t>
      </w:r>
    </w:p>
    <w:p>
      <w:pPr>
        <w:keepNext/>
        <w:spacing w:after="100"/>
      </w:pPr>
      <w:r>
        <w:rPr>
          <w:b/>
          <w:bCs/>
        </w:rPr>
        <w:t xml:space="preserve">Valor terminal.</w:t>
      </w:r>
    </w:p>
    <w:p>
      <w:pPr>
        <w:spacing w:after="100"/>
      </w:pPr>
      <w:r>
        <w:t xml:space="preserve">Gordon con crecimiento del 3,0 % (USD nominal: 2 % de inflación más 1 % real), por debajo de la tasa libre menos medio punto. El valor terminal pesa el 54 % del DCF. Implica ≈ 14 veces el EBITDA del último año, muy por debajo de los 29 veces de hoy: el DCF supone que en diez años Apple será una empresa madura de crecimiento nominal, no la que el mercado paga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2.808.473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5.751.269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984.255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 (reinvierte el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 (histórico: 139,7 %)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frente al 6,1 %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-13.830 M, con un capex bruto medio del 2,9 % de las ventas). En un negocio de activos ligeros, el crecimiento medio del 6,1 %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(base instalada de 2.500 M de dispositivos y suscripciones de pago &gt; 1.500 M [3, 9]); precio +3 % (gama nueva con plegable y traslado del coste de la memoria); otros +1,5 % (mezcla hacia Servicios).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+2,5 % (gama Pro y Servicios con subidas de tarifa), mezcla +1 %. Supone que la Siri nueva sostiene la renovación.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+2 %, mezcla +1 %: Servicios crece al 10 % y el hardware al 4-5 %.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precio +2 %, mezcla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precio +2 %, mezcla +1 %: convergencia hacia el crecimiento del mercado.</w:t>
            </w:r>
          </w:p>
        </w:tc>
      </w:tr>
    </w:tbl>
    <w:p>
      <w:pPr>
        <w:spacing w:after="160" w:before="0"/>
      </w:pPr>
    </w:p>
    <w:p>
      <w:pPr>
        <w:spacing w:after="100"/>
      </w:pPr>
      <w:r>
        <w:t xml:space="preserve">Sí: el crecimiento medio proyectado (6,1 % con FY2026e; 5,1 % de FY2027e a FY2035e) está por debajo de la TCAC de FY2018-FY2025 (6,6 %) y no necesita inversión neta: la reinversión bruta del 10 % del NOPAT financiaría un 48 % al ROIC actual. La prueba que importa en un negocio de activos ligeros es el poder de precios y la cuota: Apple tiene ≈ 43 % de los ingresos mundiales de smartphones con ≈ 20 % de las unidades y la mantiene desde hace años [10, 12]; el iPhone tendría que crecer al 4-5 % en un mercado que crece al 3 % en valor, lo que deja la cuota casi igual (prueba hecha a mano: no se fija un mercado final único porque las ventas del grupo incluyen Servicios y Mac). El riesgo para el veredicto no es la reinversión sino la regulación de Servicios y la IA.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10,3 %)</w:t>
            </w:r>
          </w:p>
        </w:tc>
      </w:tr>
    </w:tbl>
    <w:p>
      <w:pPr>
        <w:spacing w:after="160" w:before="0"/>
      </w:pPr>
    </w:p>
    <w:p>
      <w:pPr>
        <w:spacing w:after="100"/>
      </w:pPr>
      <w:r>
        <w:t xml:space="preserve">El DCF vale 150,83 USD por acción, un 55,6 % por debajo del precio, con el valor terminal en el 54 % del total. El DCF inverso es la clave del informe: para justificar 339,50 USD con un WACC del 10,27 %, Apple tendría que crecer un 17,2 % anual de FY2027e a FY2035e con nuestros márgenes (proyectamos 5,1 %), y ningún margen hasta el 65 % lo justifica con nuestro crecimiento; dicho de otra forma, el precio implica una rentabilidad anual del 6,2 %, cuatro puntos por debajo del coste de capital y apenas un punto por encima del bono a 10 años. Es muy exigente frente a la historia (6,6 % de crecimiento anual en siete años). Con la prima del mercado el valor sube a 169,48 USD (−50 %). El mercado no valora a Apple por sus flujos sino como un activo refugio de calidad con recompra; eso puede durar, pero no da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Prohibición de los pagos de Google tras la apelación (≈ −20.000 M de ingresos casi sin coste), la regulación de la App Store recorta la comisión, China cae como en FY2023-FY2025 (−4 % y −8 %) y la memoria cara se queda: crecimiento 3 puntos menor y margen 2,5 puntos menor. Ya le ha pasado: ventas planas de FY2022 a FY2024.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del iPhone 17 se normaliza, la memoria limita FY2027e (+8 %), Servicios sigue al 10-13 % y el margen EBITDA se queda en el 35 %. Google sigue pagando con contratos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Siri nueva y el plegable abren un ciclo de renovación de dos años (crecimiento 2 puntos mayor) y la memoria se abarata en 2027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3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145,88 USD (-57,0 %).</w:t>
      </w:r>
    </w:p>
    <w:p>
      <w:pPr>
        <w:spacing w:after="100"/>
      </w:pPr>
      <w:r>
        <w:t xml:space="preserve">Los tres escenarios del DCF quedan por debajo del precio (104,13, 150,83 y 177,72 USD): la asimetría es negativa (−0,69) porque ninguna hipótesis razonable de crecimiento cubre un WACC del 10 % al múltiplo actual. A 12 meses la asimetría es casi neutra: con la regla de múltiplos, el bajista pierde un 35 % (24,8 veces el BPA de 8,84) y el alcista gana un 5 % (32,9 veces 10,84). No compensa: se arriesga un tercio para ganar un 5 %.</w:t>
      </w:r>
    </w:p>
    <w:p>
      <w:pPr>
        <w:pStyle w:val="Heading1"/>
      </w:pPr>
      <w:r>
        <w:t xml:space="preserve">22. Suma de partes</w:t>
      </w:r>
    </w:p>
    <w:p>
      <w:pPr>
        <w:pStyle w:val="Confianza"/>
        <w:spacing w:after="100"/>
      </w:pPr>
      <w:r>
        <w:t xml:space="preserve">Confianza: Media</w:t>
      </w:r>
    </w:p>
    <w:p>
      <w:pPr>
        <w:spacing w:after="100"/>
      </w:pPr>
      <w:r>
        <w:t xml:space="preserve">No aplica: Apple publica el margen bruto de Productos y de Servicios pero no su resultado operativo, y los dos negocios comparten clientes, I+D y la misma base instalada (Servicios no existe sin el iPhone). Una suma de partes exigiría repartir a mano 62.000 M de I+D y gastos generales.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3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155,79 USD (-54,1 % sobre 339,50).</w:t>
      </w:r>
    </w:p>
    <w:p>
      <w:pPr>
        <w:spacing w:after="100"/>
      </w:pPr>
      <w:r>
        <w:t xml:space="preserve">Pesos: DCF 45 %, escenarios 35 % y comparables 20 %; sin transacciones (no hay comparables) ni suma de partes (Apple no da el resultado de Servicios). El DCF es el método más fiable para un negocio estable y sin deuda neta, pero aquí es muy sensible al WACC: con la prima del mercado sube un 12 %. Los comparables (165-217 USD) y el DCF (151 USD) coinciden en que Apple vale la mitad de lo que cotiza con supuestos normales; la dispersión entre métodos es pequeña frente a la distancia al precio. La única forma de llegar a 340 USD es suponer que el múltiplo actual (36 veces) se mantiene para siempre, que es lo que hace la regla a 12 meses en su caso base.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(36.2x) ÷ 1.1 (tope: la mediana de 5 años, 28.8x,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spacing w:after="100"/>
      </w:pPr>
      <w:r>
        <w:rPr>
          <w:b/>
          <w:bCs/>
        </w:rPr>
        <w:t xml:space="preserve">Objetivo a 12 meses (ponderado):</w:t>
      </w:r>
      <w:r>
        <w:t xml:space="preserve"> 310,61 USD · rentabilidad -8,2 % (base -1,5 %) · señal Mantener.</w:t>
      </w:r>
    </w:p>
    <w:p>
      <w:pPr>
        <w:spacing w:after="100"/>
      </w:pPr>
      <w:r>
        <w:t xml:space="preserve">Para comparar, con la regla v2 (historia al cierre, mismo precio): 24,8x / 33,7x / 33,7x, -6,4 % Mantener; con el tope anterior del base (×1,3, 14-oct mediodía): -9,6 %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(10,13 USD) queda un 6,3 % por debajo del consenso (10,81) y el de FY2027e (9,33) un 2,4 % por debajo (9,56) [25, 26]: la diferencia es de ventas (proyectamos 549.000 M en FY2028e frente a 572.000 M) porque suponemos que la memoria limita las unidades en FY2027e. El precio del base (333,28 USD) queda un 1,5 % por encima del objetivo medio de los analistas (328,35): ellos pagan menos múltiplo y nosotros menos beneficio. El objetivo medio de los analistas está dentro de nuestro rango (219-357 USD).</w:t>
      </w:r>
    </w:p>
    <w:p>
      <w:pPr>
        <w:keepNext/>
        <w:spacing w:after="100"/>
      </w:pPr>
      <w:r>
        <w:rPr>
          <w:b/>
          <w:bCs/>
        </w:rPr>
        <w:t xml:space="preserve">Del valor intrínseco al objetivo a 12 meses.</w:t>
      </w:r>
    </w:p>
    <w:p>
      <w:pPr>
        <w:spacing w:after="100"/>
      </w:pPr>
      <w:r>
        <w:t xml:space="preserve">El objetivo a 12 meses (310,61 USD ponderado) dobla el valor intrínseco (155,79 USD). La distancia no se cierra en un año: haría falta que el mercado dejara de pagar 32-36 veces el beneficio, y no hay un catalizador con fecha que lo fuerce. Por eso la regla a 12 meses da Mantener (−8,2 % ponderada, −1,5 % el base) y no Vender: el mercado puede seguir pagando la calidad. La tesis de valor es a más de un año y dice lo contrario que el precio: sin margen de seguridad.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FY2026 y guía del 1T FY2027 (primera de Ternus)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cuánto pesa la memoria en el trimestre de Navidad y si el plegable tiene oferta suficiente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(Navidad)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ciclo de renovación con la Siri nueva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(primera con Cook de presidente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sobre la remuneración y la separación de funciones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Supremo de EE. UU.: desacato en el caso Epic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Apple no puede cobrar comisión por las compras fuera de la app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Apelación del caso de búsqueda de Google en el D.C.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prohibición de pagos quitaría ≈ 20.000 M USD de ingresos casi sin coste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Comisión Europea en la investigación del artículo 6(4) de la DMA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hasta el 10 % de las ventas mundiales y más cambios en la App Store europea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WWDC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Siguiente paso de la IA de Apple (modelos propios frente a Gemini)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36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si vuelve al mínimo de 5 años (24,8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recompra sostienen la prima desde 2020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30 veces sin caída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iPhone (50 % de las ventas en FY2025; 54 % en 9M FY2026)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(escenario bajista del DCF −31 %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(26 % de las ventas, 45 % del margen bruto) depende de la base instalada, no del ciclo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iPhone por debajo del +5 % interanual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ventas (15,5 % en FY2025) y fabricación (mayoría del ensamblaje)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ventas; mucho más si se corta el suministro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gana peso en la fabricación; Gran China +30 % en 9M FY2026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de Pekín a los iPhone o sanciones cruzadas; ventas de Gran China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los pagos de Google (≈ 20.000 M USD al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del BPA (≈ 1,1 USD por acción después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juez Mehta rechazó la prohibición en 2025; podría cobrar de otros buscadores o asistentes de IA [34,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apelación favorable al Departamento de Justicia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Reglas de la App Store (DMA en Europa, Epic en EE. UU.,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gradual; la mayoría de usuarios sigue con el pago de Apple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margen bruto de Servicios por debajo del 74 %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(secciones 301 y 232 sobre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inversión de 600.000 M en EE. UU. y fabricación en India; los IEEPA se anularon [2,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sobre teléfonos importados de China o India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cara y escasa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punto de margen bruto)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de componentes adelantadas (7.645 M) y poder de precios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bruto por debajo del 46 %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nueva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Cook sigue como presidente ejecutivo; sucesión interna y anunciada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de hardware o software en 2027</w:t>
            </w:r>
          </w:p>
        </w:tc>
      </w:tr>
    </w:tbl>
    <w:p>
      <w:pPr>
        <w:spacing w:after="160" w:before="0"/>
      </w:pPr>
    </w:p>
    <w:p>
      <w:pPr>
        <w:pStyle w:val="Heading2"/>
      </w:pPr>
      <w:r>
        <w:t xml:space="preserve">Pre-mortem</w:t>
      </w:r>
    </w:p>
    <w:p>
      <w:pPr>
        <w:spacing w:after="100"/>
      </w:pPr>
      <w:r>
        <w:t xml:space="preserve">Octubre de 2029: Apple vale un 40 % menos. Lo más probable es una combinación de crecimiento flojo y múltiplo que baja, no una crisis. La memoria siguió cara todo 2027 y Apple tuvo que elegir entre margen y unidades: eligió margen, y el iPhone creció un 2 % en FY2027 y FY2028. La Siri nueva funcionó, pero no fue un motivo para cambiar de teléfono: los usuarios la vieron como una mejora más, y el plegable se quedó en un nicho caro. En 2028 el tribunal de apelaciones prohibió los pagos de Google por la posición por defecto y Apple perdió ≈ 20.000 M de ingresos casi sin coste; al mismo tiempo, el Supremo confirmó el caso Epic y la comisión efectiva de la App Store bajó. El BPA de FY2028 quedó en ≈ 8,8 USD en vez de 10,1, y el mercado, que pagaba 36 veces por un BPA que crecía al 10 %, pasó a pagar 25 veces por uno que no crecía: 8,8 × 25 = 220 USD. Las señales que lo habrían anticipado: dos trimestres de iPhone por debajo del +5 %, la guía de margen bruto por debajo del 46 % y la sentencia de apelación de Google.</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a +10 % a 3-5 años</w:t>
      </w:r>
    </w:p>
    <w:p>
      <w:pPr>
        <w:spacing w:after="100"/>
      </w:pPr>
      <w:r>
        <w:t xml:space="preserve">Apple va por detrás en IA generativa: no tiene un modelo de frontera propio, retrasó la Siri nueva en 2025 y febrero de 2026 [39] y en enero de 2026 eligió a Google Gemini como base (≈ 1.000 M USD al año) [40]. Es riesgo y oportunidad a la vez. Riesgo: si la relación con el usuario pasa a un asistente de otro (OpenAI con su propio aparato, Google), el iPhone pierde poder de precios y Servicios pierde la App Store como puerta de entrada; además depende de su rival en búsqueda para la IA. Oportunidad: con 2.500 M de dispositivos y la IA en el dispositivo y en Private Cloud Compute, puede cobrar por distribuir la IA de otros, como hace con Google en búsqueda, y la Siri nueva puede adelantar renovaciones de iPhone (la beta subió la acción en junio y julio [38]). La I+D crece un 33 % por la IA sin un retorno visible aún [2]. Señal: crecimiento de las ventas del iPhone y de las suscripciones en los dos trimestres siguientes a la Siri nueva; si el iPhone crece menos del 5 % con ella, la IA no es motivo de renovación.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la cadena de suministro: casi todo el ensamblaje lo hacen terceros en Asia, sobre todo en China e India [1], con riesgo laboral (auditorías a proveedores) y geopolítico. Segundo, privacidad: es parte de la propuesta de valor y condiciona cómo despliega la IA (Private Cloud Compute). Tercero, emisiones: objetivo de neutralidad en carbono en toda la cadena para 2030; la mayor parte de la huella está en la fabricación de terceros.</w:t>
      </w:r>
    </w:p>
    <w:p>
      <w:pPr>
        <w:pStyle w:val="Heading2"/>
      </w:pPr>
      <w:r>
        <w:t xml:space="preserve">Controversias</w:t>
      </w:r>
    </w:p>
    <w:p>
      <w:pPr>
        <w:spacing w:after="100"/>
      </w:pPr>
      <w:r>
        <w:t xml:space="preserve">Multa de 500 M EUR de la Comisión Europea por la DMA (abril de 2025, recurrida) [2]; condena por desacato en el caso Epic (abril de 2025), en revisión en el Supremo [2]; 13.000 M EUR de ayudas de Estado devueltos a Irlanda (2024) [1]; condena de 5.722 M USD por patentes (Taction, septiembre de 2026, recurrida).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margen bruto cuesta la memoria en FY2027 y qué parte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+8 % y el +10 % del consenso y la causa de la guía corta del 4T.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Servicios y del beneficio operativo son los pagos de Google y qué pasa con los contratos de un año que exige la sentencia?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 15 % del beneficio operativo depende de una apelación.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paga Apple por Gemini, cuánto cuesta el cómputo de Siri AI y cuándo tendrá modelos propios?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admitió no tener «un plan completo» para el coste de cómputo.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iPhone vendidos en EE. UU. se fabrica ya en India y cuánto tardaría en salir de China si hiciera falta?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riesgo geopolítico concentrados.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 Store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comisión efectiva media de la App Store en la UE y en EE. UU. tras la DMA y la orden de Epic?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real del margen de Servicios.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36 veces el beneficio, con una rentabilidad del 2,8 % por debajo del bono?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sostienen el BPA; a este precio destruyen valor frente a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son los 12.100 M de intangibles nuevos de 2026 y cómo se amortizan?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futuro no explicado.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durará la presidencia ejecutiva de Cook y quién decide la estrategia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perdió el presidente independiente.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operador de corto plazo; los que marcan sentimiento son más bajistas que alcistas (6 frente a 2) y repiten que «un PER de 40 con crecimiento de un dígito no se sostiene»; los alcistas hablan de Apple como «refugio» y de los pedidos del iPhone Duo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tesis de «ganador de la IA sin construir IA» y de «6 billones en dos años» con avisos de valoración estirada y de un consumidor más débil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31-jul se defendía comprar en la caída por el ciclo del iPhone 17 y Servicios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ChannelNews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Lectores escépticos con los precios del iPhone y con la memoria; dudas sobre la Siri nueva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36-40)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dato: 36 veces el BPA de FY2027e del consenso, el máximo de diez años; el objetivo medio de los analistas (328 USD) está por debajo del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Siri con Gemini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a Apple como distribuidor de la IA de otros (bueno para el margen); otros, como rezagada. El informe lo trata como riesgo mixto: motivo de renovación posible y dependencia de Google.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y suministro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la guía del 4T26 se quedó corta por la memoria y el margen bruto baja del 50 % al 47-48 % según la propia guía de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iPhone (Duo/plegable) y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plazos de entrega hasta finales de enero se citan como prueba de demanda; puede ser también falta de memoria.</w:t>
            </w:r>
          </w:p>
        </w:tc>
      </w:tr>
    </w:tbl>
    <w:p>
      <w:pPr>
        <w:spacing w:after="160" w:before="0"/>
      </w:pPr>
    </w:p>
    <w:p>
      <w:pPr>
        <w:spacing w:after="100"/>
      </w:pPr>
      <w:r>
        <w:t xml:space="preserve">El sentimiento de los particulares no es eufórico pese a los máximos: la discusión gira en torno a la valoración, y los que opinan con criterio coinciden con el informe en que el precio ya descuenta mucho. No anticipa un riesgo nuevo: la memoria, la IA y la valoración ya están en el análisis. Coincide con los analistas en una cosa: el objetivo medio (328 USD) está por debajo del precio. No cambia la recomendación.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40 (16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-5,9 % real: genera una variación de circulante de -1.889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0,07: el crecimiento no explica los múltiplos de estos comparables; no uses el valor de la regresión. Explicación: R² = 0,07: entre estos ocho comparables el crecimiento no explica el múltiplo (Amazon y Microsoft cotizan caro por la nube y la IA; HP barato por el ciclo del PC). No se usa el valor de la regresión; la valoración por comparables se apoya en las medianas, con peso 20 %.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Apple (no publica calificaciones de terceros); 2) páginas públicas de MSCI y Sustainalytics (requieren registro o no abren); 3) prensa: sin una calificación fechada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Counterpoint: solo trimestres sueltos en abierto; 2) IDC: solo unidades; 3) estimación: sin serie de cinco años en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Apple: ninguna de tamaño relevante (Beats, 3.000 M USD en 2014, sin múltiplo); 2) compras de fabricantes de dispositivos o plataformas comparables en 5-7 años: ninguna de una empresa parecida (las grandes de software, como Activision o VMware, no lo son); 3) bases de prensa: múltiplos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contexto.movimientos_fuertes (causa del −10,8 % de junio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Apple de junio: nada; 2) prensa de mercado del 25-jun (Dow Jones): peor valor del S&amp;P 500 sin causa propia, cuarta sesión a la baja; 3) noticias de analistas: Goldman en Neutral ese día, sin relación clara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27-sep-2025): cuentas, segmentos, deuda, arrendamientos, impuestos (State Aid), riesgos y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https://www.sec.gov/Archives/edgar/data/320193/000032019325000079/aapl-20250927.htm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3T del ejercicio 2026 (27-jun-2026): cuentas, segmentos, intangibles, deuda, recompras, aranceles, DMA, Epic y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https://www.sec.gov/Archives/edgar/data/320193/000032019326000020/aapl-20260627.htm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reports third quarter results (nota de resultados del 3T FY2026; reembolsos de aranceles)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https://www.sec.gov/Archives/edgar/data/320193/000032019326000018/a8-kex991q3202606272026.htm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reports second quarter results (2T FY2026; recompra adicional de 100.000 M USD; dividendo +4 %)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https://www.sec.gov/Archives/edgar/data/320193/000032019326000011/a8-kex991q2202603282026.htm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reports first quarter results (1T FY2026; base instalada de más de 2.500 M de dispositivos)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https://www.sec.gov/Archives/edgar/data/320193/000032019326000005/a8-kex991q1202612272025.htm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reports fourth quarter results (4T FY2025 y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https://www.sec.gov/Archives/edgar/data/320193/000032019325000077/a8-kex991q4202509272025.htm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Apple (series anuales y trimestrales, valores negociables,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Forms 10-Q del 1T y 2T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https://www.sec.gov/Archives/edgar/data/320193/000032019326000013/aapl-20260328.htm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(AAPL) Q3 2026 earnings call transcript (guía del 4T: ventas +9-11 %, margen bruto 47-48 %, restricciones de memoria)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News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https://www.webull.com/news/15364638775387136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leads global smartphone market with 20% share in 2025, says Counterpoint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Deccan Chronicle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https://www.deccanchronicle.com/technology/apple-leads-global-smartphone-market-with-20-share-in-2025-says-counterpoint-1929963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 Smartphone shipments up 2.3% in Q4 2025, Apple is the clear winner (Apple 247,8 M de unidades y 19,7 %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GSMArena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https://m.gsmarena.com/idc_smartphone_shipments_up_23_in_q4_2025_apple_is_the_clear_winner_-news-71096.php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led the global smartphone market in terms of revenue in Q3 2025 (Counterpoint: 43 % de los ingresos; 112.000 M USD del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MacTech (Counterpoint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https://www.mactech.com/2025/10/31/apple-led-the-global-smartphone-market-in-the-third-quarter-in-terms-of-revenue/amp/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smartphone revenue Q4 2025: record 143.000 M USD (+13 %)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Digitimes (Counterpoint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https://www.digitimes.com/news/a20260114PD203.html?chid=12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Smartphone market suffers record 22% Y/Y slump; Chinese players take biggest hit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https://seekingalpha.com/symbol/AAPL/news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Samsung, Xiaomi, Alphabet, Microsoft y otros (márgenes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https://finance.yahoo.com/quote/AAPL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will power Apple's next Siri with Gemini AI in multi-year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https://gulfnews.com/technology/media/google-will-power-apples-next-siri-with-gemini-ai-in-multiyear-deal-1.500406234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https://www.sec.gov/Archives/edgar/data/320193/000130817926000008/aapl014016-def14a.htm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Tim Cook pasa a presidente ejecutivo y John Ternus es consejero delegado desde el 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https://www.sec.gov/Archives/edgar/data/320193/000114036126015711/ef20071035_8k.htm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https://www.sec.gov/Archives/edgar/data/320193/000114036126006577/ef20060722_8k.htm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https://www.sec.gov/Archives/edgar/data/320193/000114036125005876/ef20044022_8k.htm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Jennifer Newstead, nueva directora jurídica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https://www.sec.gov/Archives/edgar/data/320193/000114036125044561/ef20060722_8k.htm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Ben Borders, nuevo responsable de contabilidad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https://www.sec.gov/Archives/edgar/data/320193/000114036126000199/ef20060722_8k.htm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Forms 4 de Apple (21-oct-2025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(herramientas/form4.mjs)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https://www.sec.gov/cgi-bin/browse-edgar?action=getcompany&amp;CIK=0000320193&amp;type=4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AAPL, SPY y XLK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https://finance.yahoo.com/quote/AAPL/history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y comparables: precio, capitalización, valor empresa, consenso de BPA y ventas, recomendaciones y cambios de 12 meses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https://finance.yahoo.com/quote/AAPL/analysis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estimaciones anuales FY2026-FY2028 (ventas, EBITDA, EBIT, beneficio, BPA, dividendo, caja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https://www.marketscreener.com/quote/stock/APPLE-INC-4849/finances/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to Announce Fiscal Q4 2026 Earnings on November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MacTrast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https://www.mactrast.com/2026/10/apple-to-announce-fiscal-q4-2026-earnings-on-november-2/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$AAPL (30 mensajes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(API pública)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https://api.stocktwits.com/api/2/streams/symbol/AAPL.json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AAPL (12 al 21-oct-2026: «Apple's Stretched Valuation Is Getting Scary», «Apple: The Biggest AI Winner Isn't Building AI», «Apple Has A Consumer Problem Nobody Talks About»)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https://seekingalpha.com/api/sa/combined/AAPL.xml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is down 10%: should investors buy the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https://www.fool.com/investing/2026/08/04/apple-is-down-10-should-investors-buy-the-dip/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shares sink as memory crunch clouds record quarter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ChannelNews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https://www.channelnews.com.au/apple-shares-sink-as-memory-crunch-clouds-record-quarter/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search antitrust: DOJ urges D.C. Circuit to beef up remedies (prohibición de pagos a distribuidores como Apple)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Courthouse News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https://www.courthousenews.com/doj-urges-dc-circuit-to-beef-up-remedies-in-google-monopoly-ruling/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dodged a $20 billion hit, thanks to Google antitrust ruling (pagos de Google de ≈ 20.000 M USD en 2022, documentos del juicio)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https://finance.yahoo.com/news/apple-dodged-a-20-billion-hit-thanks-to-google-antitrust-ruling-163056806.html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orders Apple to pay $5.7 billion in Taction haptic patent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iClarified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https://www.iclarified.com/102435/jury-orders-apple-to-pay-57-billion-in-taction-haptic-patent-case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Down over 6%, Worst Performer in the S&amp;P 500 and DJIA Today (25-jun-2026)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https://www.itiger.com/news/2646970386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Stock Jumps 15% as Analysts Lift Targets Before WWDC (Siri AI, Apple Intelligence en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https://www.heygotrade.com/en/news/apple-stock-ai-momentum-ahead-of-wwdc/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stock just suffered its worst day in 10 months (12-feb-2026: retraso de la Siri nueva y escrutinio de la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https://finbold.com/apple-stock-just-suffered-its-worst-day-in-10-months/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partners with Google to use Gemini models for revamped Siri (≈ 1.000 M USD al año según Bloomberg)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MobileSyrup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https://mobilesyrup.com/2026/01/12/apple-google-gemini-revamped-siri/</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86,1 %</w:t>
      </w:r>
      <w:r>
        <w:t xml:space="preserve"> · Secciones con menos del 60 % de campos cubiertos: </w:t>
      </w:r>
      <w:r>
        <w:rPr>
          <w:b/>
          <w:bCs/>
        </w:rPr>
        <w:t xml:space="preserve">capital, transacciones</w:t>
      </w:r>
      <w:r>
        <w:t xml:space="preserve"> · Generado el 21 oct 2026.</w:t>
      </w:r>
    </w:p>
    <w:p>
      <w:pPr>
        <w:pStyle w:val="Nota"/>
        <w:spacing w:after="100"/>
      </w:pPr>
      <w:r>
        <w:t xml:space="preserve">Cifras en millones de USD, ejercicio fiscal que acaba el último sábado de septiembre, etiquetado por el año en que termina (FY2025 = 29-sep-2024 a 27-sep-2025). El ejercicio 2026 cerró el 26-sep-2026 pero se publica el 2-nov-2026: el último ejercicio real es FY2025 y el LTM llega al 27-jun-2026 (tres trimestres de FY2026). FY2026e va como año fijo en el DCF (nueve meses reales más la guía del 4T). Serie histórica FY2018-FY2025: FY2016-FY2017 fuera porque el XBRL no reexpresa el desdoblamiento 4:1 de 2020. La caja del balance incluye los valores negociables (corrientes y no corrientes) para que el capital invertido sea el operativo. Segmentos: se usan las líneas de producto (iPhone, Mac, iPad, Wearables y Servicios), que son las que explican el negocio, sin resultado (Apple solo da resultado de sus segmentos geográficos). Precio: cierre del 20-oct-2026 (339,50 USD); la sesión del 21-oct estaba abierta (344,52 USD a las 15:53 UTC [25]) y la decisión se comprueba con ella en las pruebas de robustez. BPA de la regla a 12 meses: diluido publicado, sin recompras no autorizadas. Un título cuesta ≈ 292 EUR (1,163 USD por EUR), el 1 %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Apple Inc. (AAPL)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339,50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(243,42 – 348,15)</c:v>
                </c:pt>
                <c:pt idx="1">
                  <c:v>Precio objetivo de los analistas (215,00 – 405,00)</c:v>
                </c:pt>
                <c:pt idx="2">
                  <c:v>Comparables: EV/EBITDA NTM (158,43 – 200,13)</c:v>
                </c:pt>
                <c:pt idx="3">
                  <c:v>Comparables: PER NTM (165,44 – 210,96)</c:v>
                </c:pt>
                <c:pt idx="4">
                  <c:v>DCF (WACC y g ± 0,5) (136,81 – 169,18)</c:v>
                </c:pt>
                <c:pt idx="5">
                  <c:v>Escenarios (bajista – alcista) (104,13 – 177,72)</c:v>
                </c:pt>
                <c:pt idx="6">
                  <c:v>DCF con la prima implícita del mercado (4,2 %)</c:v>
                </c:pt>
                <c:pt idx="7">
                  <c:v>Precio actual (339,50)</c:v>
                </c:pt>
              </c:strCache>
            </c:strRef>
          </c:cat>
          <c:val>
            <c:numRef>
              <c:f>Hoja1!$B$2:$B$9</c:f>
              <c:numCache>
                <c:formatCode>#,##0</c:formatCode>
                <c:ptCount val="8"/>
                <c:pt idx="0">
                  <c:v>243.42</c:v>
                </c:pt>
                <c:pt idx="1">
                  <c:v>215</c:v>
                </c:pt>
                <c:pt idx="2">
                  <c:v>158.43</c:v>
                </c:pt>
                <c:pt idx="3">
                  <c:v>165.44</c:v>
                </c:pt>
                <c:pt idx="4">
                  <c:v>136.81</c:v>
                </c:pt>
                <c:pt idx="5">
                  <c:v>104.13</c:v>
                </c:pt>
                <c:pt idx="6">
                  <c:v>157.65</c:v>
                </c:pt>
                <c:pt idx="7">
                  <c:v>337.8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(243,42 – 348,15)</c:v>
                </c:pt>
                <c:pt idx="1">
                  <c:v>Precio objetivo de los analistas (215,00 – 405,00)</c:v>
                </c:pt>
                <c:pt idx="2">
                  <c:v>Comparables: EV/EBITDA NTM (158,43 – 200,13)</c:v>
                </c:pt>
                <c:pt idx="3">
                  <c:v>Comparables: PER NTM (165,44 – 210,96)</c:v>
                </c:pt>
                <c:pt idx="4">
                  <c:v>DCF (WACC y g ± 0,5) (136,81 – 169,18)</c:v>
                </c:pt>
                <c:pt idx="5">
                  <c:v>Escenarios (bajista – alcista) (104,13 – 177,72)</c:v>
                </c:pt>
                <c:pt idx="6">
                  <c:v>DCF con la prima implícita del mercado (4,2 %)</c:v>
                </c:pt>
                <c:pt idx="7">
                  <c:v>Precio actual (339,50)</c:v>
                </c:pt>
              </c:strCache>
            </c:strRef>
          </c:cat>
          <c:val>
            <c:numRef>
              <c:f>Hoja1!$C$2:$C$9</c:f>
              <c:numCache>
                <c:formatCode>#,##0</c:formatCode>
                <c:ptCount val="8"/>
                <c:pt idx="0">
                  <c:v>104.72999999999999</c:v>
                </c:pt>
                <c:pt idx="1">
                  <c:v>190</c:v>
                </c:pt>
                <c:pt idx="2">
                  <c:v>41.69999999999999</c:v>
                </c:pt>
                <c:pt idx="3">
                  <c:v>45.52000000000001</c:v>
                </c:pt>
                <c:pt idx="4">
                  <c:v>32.370000000000005</c:v>
                </c:pt>
                <c:pt idx="5">
                  <c:v>73.59</c:v>
                </c:pt>
                <c:pt idx="6">
                  <c:v>25.659999999999997</c:v>
                </c:pt>
                <c:pt idx="7">
                  <c:v>3.3999999999999773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iPhone</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191973</c:v>
                </c:pt>
                <c:pt idx="1">
                  <c:v>205489</c:v>
                </c:pt>
                <c:pt idx="2">
                  <c:v>200583</c:v>
                </c:pt>
                <c:pt idx="3">
                  <c:v>201183</c:v>
                </c:pt>
                <c:pt idx="4">
                  <c:v>209586</c:v>
                </c:pt>
              </c:numCache>
            </c:numRef>
          </c:val>
        </c:ser>
        <c:ser>
          <c:idx val="1"/>
          <c:order val="1"/>
          <c:tx>
            <c:strRef>
              <c:f>Hoja1!$C$1</c:f>
              <c:strCache>
                <c:ptCount val="1"/>
                <c:pt idx="0">
                  <c:v>Mac</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35190</c:v>
                </c:pt>
                <c:pt idx="1">
                  <c:v>40177</c:v>
                </c:pt>
                <c:pt idx="2">
                  <c:v>29357</c:v>
                </c:pt>
                <c:pt idx="3">
                  <c:v>29984</c:v>
                </c:pt>
                <c:pt idx="4">
                  <c:v>33708</c:v>
                </c:pt>
              </c:numCache>
            </c:numRef>
          </c:val>
        </c:ser>
        <c:ser>
          <c:idx val="2"/>
          <c:order val="2"/>
          <c:tx>
            <c:strRef>
              <c:f>Hoja1!$D$1</c:f>
              <c:strCache>
                <c:ptCount val="1"/>
                <c:pt idx="0">
                  <c:v>iPad</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31862</c:v>
                </c:pt>
                <c:pt idx="1">
                  <c:v>29292</c:v>
                </c:pt>
                <c:pt idx="2">
                  <c:v>28300</c:v>
                </c:pt>
                <c:pt idx="3">
                  <c:v>26694</c:v>
                </c:pt>
                <c:pt idx="4">
                  <c:v>28023</c:v>
                </c:pt>
              </c:numCache>
            </c:numRef>
          </c:val>
        </c:ser>
        <c:ser>
          <c:idx val="3"/>
          <c:order val="3"/>
          <c:tx>
            <c:strRef>
              <c:f>Hoja1!$E$1</c:f>
              <c:strCache>
                <c:ptCount val="1"/>
                <c:pt idx="0">
                  <c:v>Wearables, Home and Accessories</c:v>
                </c:pt>
              </c:strCache>
            </c:strRef>
          </c:tx>
          <c:spPr>
            <a:solidFill>
              <a:srgbClr val="EDA100"/>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38367</c:v>
                </c:pt>
                <c:pt idx="1">
                  <c:v>41241</c:v>
                </c:pt>
                <c:pt idx="2">
                  <c:v>39845</c:v>
                </c:pt>
                <c:pt idx="3">
                  <c:v>37005</c:v>
                </c:pt>
                <c:pt idx="4">
                  <c:v>35686</c:v>
                </c:pt>
              </c:numCache>
            </c:numRef>
          </c:val>
        </c:ser>
        <c:ser>
          <c:idx val="4"/>
          <c:order val="4"/>
          <c:tx>
            <c:strRef>
              <c:f>Hoja1!$F$1</c:f>
              <c:strCache>
                <c:ptCount val="1"/>
                <c:pt idx="0">
                  <c:v>Servicios</c:v>
                </c:pt>
              </c:strCache>
            </c:strRef>
          </c:tx>
          <c:spPr>
            <a:solidFill>
              <a:srgbClr val="E87BA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Hoja1!$F$2:$F$6</c:f>
              <c:numCache>
                <c:formatCode>#,##0</c:formatCode>
                <c:ptCount val="5"/>
                <c:pt idx="0">
                  <c:v>68425</c:v>
                </c:pt>
                <c:pt idx="1">
                  <c:v>78129</c:v>
                </c:pt>
                <c:pt idx="2">
                  <c:v>85200</c:v>
                </c:pt>
                <c:pt idx="3">
                  <c:v>96169</c:v>
                </c:pt>
                <c:pt idx="4">
                  <c:v>109158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iPhone</c:v>
                </c:pt>
                <c:pt idx="1">
                  <c:v>Mac</c:v>
                </c:pt>
                <c:pt idx="2">
                  <c:v>iPad</c:v>
                </c:pt>
                <c:pt idx="3">
                  <c:v>Wearables, Home and Accessories</c:v>
                </c:pt>
                <c:pt idx="4">
                  <c:v>Servicios</c:v>
                </c:pt>
              </c:strCache>
            </c:strRef>
          </c:cat>
          <c:val>
            <c:numRef>
              <c:f>Hoja1!$B$2:$B$6</c:f>
              <c:numCache>
                <c:formatCode>General</c:formatCode>
                <c:ptCount val="5"/>
                <c:pt idx="0">
                  <c:v>50.4</c:v>
                </c:pt>
                <c:pt idx="1">
                  <c:v>8.1</c:v>
                </c:pt>
                <c:pt idx="2">
                  <c:v>6.7</c:v>
                </c:pt>
                <c:pt idx="3">
                  <c:v>8.6</c:v>
                </c:pt>
                <c:pt idx="4">
                  <c:v>26.2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Américas</c:v>
                </c:pt>
                <c:pt idx="1">
                  <c:v>Europa (con India, Oriente Medio y África)</c:v>
                </c:pt>
                <c:pt idx="2">
                  <c:v>Gran China</c:v>
                </c:pt>
                <c:pt idx="3">
                  <c:v>Japón</c:v>
                </c:pt>
                <c:pt idx="4">
                  <c:v>Resto de Asia-Pacífico</c:v>
                </c:pt>
              </c:strCache>
            </c:strRef>
          </c:cat>
          <c:val>
            <c:numRef>
              <c:f>Hoja1!$B$2:$B$6</c:f>
              <c:numCache>
                <c:formatCode>0"%"</c:formatCode>
                <c:ptCount val="5"/>
                <c:pt idx="0">
                  <c:v>42.9</c:v>
                </c:pt>
                <c:pt idx="1">
                  <c:v>26.7</c:v>
                </c:pt>
                <c:pt idx="2">
                  <c:v>15.5</c:v>
                </c:pt>
                <c:pt idx="3">
                  <c:v>6.9</c:v>
                </c:pt>
                <c:pt idx="4">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460000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4</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Apple</c:v>
                </c:pt>
                <c:pt idx="1">
                  <c:v>Samsung Electronics</c:v>
                </c:pt>
                <c:pt idx="2">
                  <c:v>Xiaomi</c:v>
                </c:pt>
                <c:pt idx="3">
                  <c:v>Huawei</c:v>
                </c:pt>
                <c:pt idx="4">
                  <c:v>Alphabet (Google)</c:v>
                </c:pt>
                <c:pt idx="5">
                  <c:v>Microsoft</c:v>
                </c:pt>
              </c:strCache>
            </c:strRef>
          </c:cat>
          <c:val>
            <c:numRef>
              <c:f>Hoja1!$B$2:$B$7</c:f>
              <c:numCache>
                <c:formatCode>0.0"%"</c:formatCode>
                <c:ptCount val="6"/>
                <c:pt idx="0">
                  <c:v>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5</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FY2018</c:v>
                </c:pt>
                <c:pt idx="1">
                  <c:v>FY2019</c:v>
                </c:pt>
                <c:pt idx="2">
                  <c:v>FY2020</c:v>
                </c:pt>
                <c:pt idx="3">
                  <c:v>FY2021</c:v>
                </c:pt>
                <c:pt idx="4">
                  <c:v>FY2022</c:v>
                </c:pt>
                <c:pt idx="5">
                  <c:v>FY2023</c:v>
                </c:pt>
                <c:pt idx="6">
                  <c:v>FY2024</c:v>
                </c:pt>
                <c:pt idx="7">
                  <c:v>FY2025</c:v>
                </c:pt>
                <c:pt idx="8">
                  <c:v>FY2026e</c:v>
                </c:pt>
                <c:pt idx="9">
                  <c:v>FY2027e</c:v>
                </c:pt>
                <c:pt idx="10">
                  <c:v>FY2028e</c:v>
                </c:pt>
                <c:pt idx="11">
                  <c:v>FY2029e</c:v>
                </c:pt>
                <c:pt idx="12">
                  <c:v>FY2030e</c:v>
                </c:pt>
                <c:pt idx="13">
                  <c:v>FY2031e</c:v>
                </c:pt>
                <c:pt idx="14">
                  <c:v>FY2032e</c:v>
                </c:pt>
                <c:pt idx="15">
                  <c:v>FY2033e</c:v>
                </c:pt>
                <c:pt idx="16">
                  <c:v>FY2034e</c:v>
                </c:pt>
                <c:pt idx="17">
                  <c:v>FY2035e</c:v>
                </c:pt>
              </c:strCache>
            </c:strRef>
          </c:cat>
          <c:val>
            <c:numRef>
              <c:f>Hoja1!$B$2:$B$19</c:f>
              <c:numCache>
                <c:formatCode>#,##0</c:formatCode>
                <c:ptCount val="18"/>
                <c:pt idx="0">
                  <c:v>265595</c:v>
                </c:pt>
                <c:pt idx="1">
                  <c:v>260174</c:v>
                </c:pt>
                <c:pt idx="2">
                  <c:v>274515</c:v>
                </c:pt>
                <c:pt idx="3">
                  <c:v>365817</c:v>
                </c:pt>
                <c:pt idx="4">
                  <c:v>394328</c:v>
                </c:pt>
                <c:pt idx="5">
                  <c:v>383285</c:v>
                </c:pt>
                <c:pt idx="6">
                  <c:v>391035</c:v>
                </c:pt>
                <c:pt idx="7">
                  <c:v>416161</c:v>
                </c:pt>
                <c:pt idx="8">
                  <c:v>477337</c:v>
                </c:pt>
                <c:pt idx="9">
                  <c:v>515524</c:v>
                </c:pt>
                <c:pt idx="10">
                  <c:v>549033</c:v>
                </c:pt>
                <c:pt idx="11">
                  <c:v>581975</c:v>
                </c:pt>
                <c:pt idx="12">
                  <c:v>613983</c:v>
                </c:pt>
                <c:pt idx="13">
                  <c:v>644682</c:v>
                </c:pt>
                <c:pt idx="14">
                  <c:v>673693</c:v>
                </c:pt>
                <c:pt idx="15">
                  <c:v>700641</c:v>
                </c:pt>
                <c:pt idx="16">
                  <c:v>725163</c:v>
                </c:pt>
                <c:pt idx="17">
                  <c:v>746918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FY2018</c:v>
                </c:pt>
                <c:pt idx="1">
                  <c:v>FY2019</c:v>
                </c:pt>
                <c:pt idx="2">
                  <c:v>FY2020</c:v>
                </c:pt>
                <c:pt idx="3">
                  <c:v>FY2021</c:v>
                </c:pt>
                <c:pt idx="4">
                  <c:v>FY2022</c:v>
                </c:pt>
                <c:pt idx="5">
                  <c:v>FY2023</c:v>
                </c:pt>
                <c:pt idx="6">
                  <c:v>FY2024</c:v>
                </c:pt>
                <c:pt idx="7">
                  <c:v>FY2025</c:v>
                </c:pt>
                <c:pt idx="8">
                  <c:v>FY2026e</c:v>
                </c:pt>
                <c:pt idx="9">
                  <c:v>FY2027e</c:v>
                </c:pt>
                <c:pt idx="10">
                  <c:v>FY2028e</c:v>
                </c:pt>
                <c:pt idx="11">
                  <c:v>FY2029e</c:v>
                </c:pt>
                <c:pt idx="12">
                  <c:v>FY2030e</c:v>
                </c:pt>
                <c:pt idx="13">
                  <c:v>FY2031e</c:v>
                </c:pt>
                <c:pt idx="14">
                  <c:v>FY2032e</c:v>
                </c:pt>
                <c:pt idx="15">
                  <c:v>FY2033e</c:v>
                </c:pt>
                <c:pt idx="16">
                  <c:v>FY2034e</c:v>
                </c:pt>
                <c:pt idx="17">
                  <c:v>FY2035e</c:v>
                </c:pt>
              </c:strCache>
            </c:strRef>
          </c:cat>
          <c:val>
            <c:numRef>
              <c:f>Hoja1!$C$2:$C$19</c:f>
              <c:numCache>
                <c:formatCode>#,##0</c:formatCode>
                <c:ptCount val="18"/>
                <c:pt idx="0">
                  <c:v>81801</c:v>
                </c:pt>
                <c:pt idx="1">
                  <c:v>76477</c:v>
                </c:pt>
                <c:pt idx="2">
                  <c:v>77344</c:v>
                </c:pt>
                <c:pt idx="3">
                  <c:v>120233</c:v>
                </c:pt>
                <c:pt idx="4">
                  <c:v>130541</c:v>
                </c:pt>
                <c:pt idx="5">
                  <c:v>125820</c:v>
                </c:pt>
                <c:pt idx="6">
                  <c:v>134661</c:v>
                </c:pt>
                <c:pt idx="7">
                  <c:v>144748</c:v>
                </c:pt>
                <c:pt idx="8">
                  <c:v>170171</c:v>
                </c:pt>
                <c:pt idx="9">
                  <c:v>178371</c:v>
                </c:pt>
                <c:pt idx="10">
                  <c:v>191612</c:v>
                </c:pt>
                <c:pt idx="11">
                  <c:v>203691</c:v>
                </c:pt>
                <c:pt idx="12">
                  <c:v>214894</c:v>
                </c:pt>
                <c:pt idx="13">
                  <c:v>225639</c:v>
                </c:pt>
                <c:pt idx="14">
                  <c:v>235793</c:v>
                </c:pt>
                <c:pt idx="15">
                  <c:v>245224</c:v>
                </c:pt>
                <c:pt idx="16">
                  <c:v>253807</c:v>
                </c:pt>
                <c:pt idx="17">
                  <c:v>261421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Hoja1!$B$2:$B$9</c:f>
              <c:numCache>
                <c:formatCode>0"%"</c:formatCode>
                <c:ptCount val="8"/>
                <c:pt idx="0">
                  <c:v>38.3</c:v>
                </c:pt>
                <c:pt idx="1">
                  <c:v>37.8</c:v>
                </c:pt>
                <c:pt idx="2">
                  <c:v>38.2</c:v>
                </c:pt>
                <c:pt idx="3">
                  <c:v>41.8</c:v>
                </c:pt>
                <c:pt idx="4">
                  <c:v>43.3</c:v>
                </c:pt>
                <c:pt idx="5">
                  <c:v>44.1</c:v>
                </c:pt>
                <c:pt idx="6">
                  <c:v>46.2</c:v>
                </c:pt>
                <c:pt idx="7">
                  <c:v>46.9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Hoja1!$C$2:$C$9</c:f>
              <c:numCache>
                <c:formatCode>0"%"</c:formatCode>
                <c:ptCount val="8"/>
                <c:pt idx="0">
                  <c:v>30.8</c:v>
                </c:pt>
                <c:pt idx="1">
                  <c:v>29.4</c:v>
                </c:pt>
                <c:pt idx="2">
                  <c:v>28.2</c:v>
                </c:pt>
                <c:pt idx="3">
                  <c:v>32.9</c:v>
                </c:pt>
                <c:pt idx="4">
                  <c:v>33.1</c:v>
                </c:pt>
                <c:pt idx="5">
                  <c:v>32.8</c:v>
                </c:pt>
                <c:pt idx="6">
                  <c:v>34.4</c:v>
                </c:pt>
                <c:pt idx="7">
                  <c:v>34.8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Hoja1!$D$2:$D$9</c:f>
              <c:numCache>
                <c:formatCode>0"%"</c:formatCode>
                <c:ptCount val="8"/>
                <c:pt idx="0">
                  <c:v>26.7</c:v>
                </c:pt>
                <c:pt idx="1">
                  <c:v>24.6</c:v>
                </c:pt>
                <c:pt idx="2">
                  <c:v>24.1</c:v>
                </c:pt>
                <c:pt idx="3">
                  <c:v>29.8</c:v>
                </c:pt>
                <c:pt idx="4">
                  <c:v>30.3</c:v>
                </c:pt>
                <c:pt idx="5">
                  <c:v>29.8</c:v>
                </c:pt>
                <c:pt idx="6">
                  <c:v>31.5</c:v>
                </c:pt>
                <c:pt idx="7">
                  <c:v>32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Hoja1!$E$2:$E$9</c:f>
              <c:numCache>
                <c:formatCode>0"%"</c:formatCode>
                <c:ptCount val="8"/>
                <c:pt idx="0">
                  <c:v>22.4</c:v>
                </c:pt>
                <c:pt idx="1">
                  <c:v>21.2</c:v>
                </c:pt>
                <c:pt idx="2">
                  <c:v>20.9</c:v>
                </c:pt>
                <c:pt idx="3">
                  <c:v>25.9</c:v>
                </c:pt>
                <c:pt idx="4">
                  <c:v>25.3</c:v>
                </c:pt>
                <c:pt idx="5">
                  <c:v>25.3</c:v>
                </c:pt>
                <c:pt idx="6">
                  <c:v>24</c:v>
                </c:pt>
                <c:pt idx="7">
                  <c:v>26.9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6.1</c:v>
                </c:pt>
                <c:pt idx="1">
                  <c:v>4</c:v>
                </c:pt>
                <c:pt idx="2">
                  <c:v>5.1</c:v>
                </c:pt>
                <c:pt idx="3">
                  <c:v>9.6</c:v>
                </c:pt>
                <c:pt idx="4">
                  <c:v>7.9</c:v>
                </c:pt>
                <c:pt idx="5">
                  <c:v>15.7</c:v>
                </c:pt>
                <c:pt idx="6">
                  <c:v>16.6</c:v>
                </c:pt>
                <c:pt idx="7">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Hoja1!$B$2:$B$9</c:f>
              <c:numCache>
                <c:formatCode>0</c:formatCode>
                <c:ptCount val="8"/>
                <c:pt idx="0">
                  <c:v>32</c:v>
                </c:pt>
                <c:pt idx="1">
                  <c:v>32</c:v>
                </c:pt>
                <c:pt idx="2">
                  <c:v>21</c:v>
                </c:pt>
                <c:pt idx="3">
                  <c:v>26</c:v>
                </c:pt>
                <c:pt idx="4">
                  <c:v>26</c:v>
                </c:pt>
                <c:pt idx="5">
                  <c:v>28</c:v>
                </c:pt>
                <c:pt idx="6">
                  <c:v>31</c:v>
                </c:pt>
                <c:pt idx="7">
                  <c:v>35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Hoja1!$C$2:$C$9</c:f>
              <c:numCache>
                <c:formatCode>0</c:formatCode>
                <c:ptCount val="8"/>
                <c:pt idx="0">
                  <c:v>9</c:v>
                </c:pt>
                <c:pt idx="1">
                  <c:v>9</c:v>
                </c:pt>
                <c:pt idx="2">
                  <c:v>9</c:v>
                </c:pt>
                <c:pt idx="3">
                  <c:v>11</c:v>
                </c:pt>
                <c:pt idx="4">
                  <c:v>8</c:v>
                </c:pt>
                <c:pt idx="5">
                  <c:v>11</c:v>
                </c:pt>
                <c:pt idx="6">
                  <c:v>13</c:v>
                </c:pt>
                <c:pt idx="7">
                  <c:v>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Hoja1!$D$2:$D$9</c:f>
              <c:numCache>
                <c:formatCode>0</c:formatCode>
                <c:ptCount val="8"/>
                <c:pt idx="0">
                  <c:v>125</c:v>
                </c:pt>
                <c:pt idx="1">
                  <c:v>104</c:v>
                </c:pt>
                <c:pt idx="2">
                  <c:v>91</c:v>
                </c:pt>
                <c:pt idx="3">
                  <c:v>94</c:v>
                </c:pt>
                <c:pt idx="4">
                  <c:v>105</c:v>
                </c:pt>
                <c:pt idx="5">
                  <c:v>107</c:v>
                </c:pt>
                <c:pt idx="6">
                  <c:v>120</c:v>
                </c:pt>
                <c:pt idx="7">
                  <c:v>115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Hoja1!$B$2:$B$9</c:f>
              <c:numCache>
                <c:formatCode>#,##0</c:formatCode>
                <c:ptCount val="8"/>
                <c:pt idx="0">
                  <c:v>64121</c:v>
                </c:pt>
                <c:pt idx="1">
                  <c:v>58896</c:v>
                </c:pt>
                <c:pt idx="2">
                  <c:v>73365</c:v>
                </c:pt>
                <c:pt idx="3">
                  <c:v>92953</c:v>
                </c:pt>
                <c:pt idx="4">
                  <c:v>111443</c:v>
                </c:pt>
                <c:pt idx="5">
                  <c:v>99584</c:v>
                </c:pt>
                <c:pt idx="6">
                  <c:v>108807</c:v>
                </c:pt>
                <c:pt idx="7">
                  <c:v>98767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Hoja1!$C$2:$C$9</c:f>
              <c:numCache>
                <c:formatCode>#,##0</c:formatCode>
                <c:ptCount val="8"/>
                <c:pt idx="0">
                  <c:v>59531</c:v>
                </c:pt>
                <c:pt idx="1">
                  <c:v>55256</c:v>
                </c:pt>
                <c:pt idx="2">
                  <c:v>57411</c:v>
                </c:pt>
                <c:pt idx="3">
                  <c:v>94680</c:v>
                </c:pt>
                <c:pt idx="4">
                  <c:v>99803</c:v>
                </c:pt>
                <c:pt idx="5">
                  <c:v>96995</c:v>
                </c:pt>
                <c:pt idx="6">
                  <c:v>93736</c:v>
                </c:pt>
                <c:pt idx="7">
                  <c:v>112010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Hoja1!$B$2:$B$9</c:f>
              <c:numCache>
                <c:formatCode>0"%"</c:formatCode>
                <c:ptCount val="8"/>
                <c:pt idx="5">
                  <c:v>1527</c:v>
                </c:pt>
                <c:pt idx="6">
                  <c:v>1035.6</c:v>
                </c:pt>
                <c:pt idx="7">
                  <c:v>478.8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Hoja1!$C$2:$C$9</c:f>
              <c:numCache>
                <c:formatCode>0"%"</c:formatCode>
                <c:ptCount val="8"/>
                <c:pt idx="0">
                  <c:v>10.3</c:v>
                </c:pt>
                <c:pt idx="1">
                  <c:v>10.3</c:v>
                </c:pt>
                <c:pt idx="2">
                  <c:v>10.3</c:v>
                </c:pt>
                <c:pt idx="3">
                  <c:v>10.3</c:v>
                </c:pt>
                <c:pt idx="4">
                  <c:v>10.3</c:v>
                </c:pt>
                <c:pt idx="5">
                  <c:v>10.3</c:v>
                </c:pt>
                <c:pt idx="6">
                  <c:v>10.3</c:v>
                </c:pt>
                <c:pt idx="7">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Hoja1!$D$2:$D$9</c:f>
              <c:numCache>
                <c:formatCode>0"%"</c:formatCode>
                <c:ptCount val="8"/>
                <c:pt idx="0">
                  <c:v>55.6</c:v>
                </c:pt>
                <c:pt idx="1">
                  <c:v>55.9</c:v>
                </c:pt>
                <c:pt idx="2">
                  <c:v>73.7</c:v>
                </c:pt>
                <c:pt idx="3">
                  <c:v>147.4</c:v>
                </c:pt>
                <c:pt idx="4">
                  <c:v>175.5</c:v>
                </c:pt>
                <c:pt idx="5">
                  <c:v>171.9</c:v>
                </c:pt>
                <c:pt idx="6">
                  <c:v>157.4</c:v>
                </c:pt>
                <c:pt idx="7">
                  <c:v>171.4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Hoja1!$B$2:$B$9</c:f>
              <c:numCache>
                <c:formatCode>0.0"x"</c:formatCode>
                <c:ptCount val="8"/>
                <c:pt idx="0">
                  <c:v>-1.5</c:v>
                </c:pt>
                <c:pt idx="1">
                  <c:v>-1.28</c:v>
                </c:pt>
                <c:pt idx="2">
                  <c:v>-1.03</c:v>
                </c:pt>
                <c:pt idx="3">
                  <c:v>-0.55</c:v>
                </c:pt>
                <c:pt idx="4">
                  <c:v>-0.38</c:v>
                </c:pt>
                <c:pt idx="5">
                  <c:v>-0.41</c:v>
                </c:pt>
                <c:pt idx="6">
                  <c:v>-0.37</c:v>
                </c:pt>
                <c:pt idx="7">
                  <c:v>-0.23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FY2029</c:v>
                </c:pt>
                <c:pt idx="4">
                  <c:v>FY2030</c:v>
                </c:pt>
                <c:pt idx="5">
                  <c:v>FY2031+</c:v>
                </c:pt>
              </c:strCache>
            </c:strRef>
          </c:cat>
          <c:val>
            <c:numRef>
              <c:f>Hoja1!$B$2:$B$7</c:f>
              <c:numCache>
                <c:formatCode>#,##0</c:formatCode>
                <c:ptCount val="6"/>
                <c:pt idx="0">
                  <c:v>12393</c:v>
                </c:pt>
                <c:pt idx="1">
                  <c:v>10078</c:v>
                </c:pt>
                <c:pt idx="2">
                  <c:v>9300</c:v>
                </c:pt>
                <c:pt idx="3">
                  <c:v>5235</c:v>
                </c:pt>
                <c:pt idx="4">
                  <c:v>4972</c:v>
                </c:pt>
                <c:pt idx="5">
                  <c:v>49303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Hoja1!$B$2:$B$9</c:f>
              <c:numCache>
                <c:formatCode>#,##0</c:formatCode>
                <c:ptCount val="8"/>
                <c:pt idx="0">
                  <c:v>721</c:v>
                </c:pt>
                <c:pt idx="1">
                  <c:v>624</c:v>
                </c:pt>
                <c:pt idx="2">
                  <c:v>1524</c:v>
                </c:pt>
                <c:pt idx="3">
                  <c:v>33</c:v>
                </c:pt>
                <c:pt idx="4">
                  <c:v>306</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Hoja1!$C$2:$C$9</c:f>
              <c:numCache>
                <c:formatCode>#,##0</c:formatCode>
                <c:ptCount val="8"/>
                <c:pt idx="0">
                  <c:v>13712</c:v>
                </c:pt>
                <c:pt idx="1">
                  <c:v>14119</c:v>
                </c:pt>
                <c:pt idx="2">
                  <c:v>14081</c:v>
                </c:pt>
                <c:pt idx="3">
                  <c:v>14467</c:v>
                </c:pt>
                <c:pt idx="4">
                  <c:v>14841</c:v>
                </c:pt>
                <c:pt idx="5">
                  <c:v>15025</c:v>
                </c:pt>
                <c:pt idx="6">
                  <c:v>15234</c:v>
                </c:pt>
                <c:pt idx="7">
                  <c:v>15421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FY2018</c:v>
                </c:pt>
                <c:pt idx="1">
                  <c:v>FY2019</c:v>
                </c:pt>
                <c:pt idx="2">
                  <c:v>FY2020</c:v>
                </c:pt>
                <c:pt idx="3">
                  <c:v>FY2021</c:v>
                </c:pt>
                <c:pt idx="4">
                  <c:v>FY2022</c:v>
                </c:pt>
                <c:pt idx="5">
                  <c:v>FY2023</c:v>
                </c:pt>
                <c:pt idx="6">
                  <c:v>FY2024</c:v>
                </c:pt>
                <c:pt idx="7">
                  <c:v>FY2025</c:v>
                </c:pt>
              </c:strCache>
            </c:strRef>
          </c:cat>
          <c:val>
            <c:numRef>
              <c:f>Hoja1!$D$2:$D$9</c:f>
              <c:numCache>
                <c:formatCode>#,##0</c:formatCode>
                <c:ptCount val="8"/>
                <c:pt idx="0">
                  <c:v>72738</c:v>
                </c:pt>
                <c:pt idx="1">
                  <c:v>66897</c:v>
                </c:pt>
                <c:pt idx="2">
                  <c:v>72358</c:v>
                </c:pt>
                <c:pt idx="3">
                  <c:v>85971</c:v>
                </c:pt>
                <c:pt idx="4">
                  <c:v>89402</c:v>
                </c:pt>
                <c:pt idx="5">
                  <c:v>77550</c:v>
                </c:pt>
                <c:pt idx="6">
                  <c:v>94949</c:v>
                </c:pt>
                <c:pt idx="7">
                  <c:v>90711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(12 personas)</c:v>
                </c:pt>
              </c:strCache>
            </c:strRef>
          </c:cat>
          <c:val>
            <c:numRef>
              <c:f>Hoja1!$B$2:$B$4</c:f>
              <c:numCache>
                <c:formatCode>0.0"%"</c:formatCode>
                <c:ptCount val="3"/>
                <c:pt idx="0">
                  <c:v>9.63</c:v>
                </c:pt>
                <c:pt idx="1">
                  <c:v>7.1</c:v>
                </c:pt>
                <c:pt idx="2">
                  <c:v>0.06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12.5</c:v>
                </c:pt>
                <c:pt idx="1">
                  <c:v>48.5</c:v>
                </c:pt>
                <c:pt idx="2">
                  <c:v>-5.4</c:v>
                </c:pt>
                <c:pt idx="3">
                  <c:v>89</c:v>
                </c:pt>
                <c:pt idx="4">
                  <c:v>82.3</c:v>
                </c:pt>
                <c:pt idx="5">
                  <c:v>34.6</c:v>
                </c:pt>
                <c:pt idx="6">
                  <c:v>-26.4</c:v>
                </c:pt>
                <c:pt idx="7">
                  <c:v>49</c:v>
                </c:pt>
                <c:pt idx="8">
                  <c:v>30.7</c:v>
                </c:pt>
                <c:pt idx="9">
                  <c:v>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12.3</c:v>
                </c:pt>
                <c:pt idx="1">
                  <c:v>12</c:v>
                </c:pt>
                <c:pt idx="2">
                  <c:v>24.4</c:v>
                </c:pt>
                <c:pt idx="3">
                  <c:v>19.8</c:v>
                </c:pt>
                <c:pt idx="4">
                  <c:v>18.6</c:v>
                </c:pt>
                <c:pt idx="5">
                  <c:v>21</c:v>
                </c:pt>
                <c:pt idx="6">
                  <c:v>25.7</c:v>
                </c:pt>
                <c:pt idx="7">
                  <c:v>26.2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0.0"x"</c:formatCode>
                <c:ptCount val="9"/>
                <c:pt idx="0">
                  <c:v>20.4</c:v>
                </c:pt>
                <c:pt idx="1">
                  <c:v>20.4</c:v>
                </c:pt>
                <c:pt idx="2">
                  <c:v>20.4</c:v>
                </c:pt>
                <c:pt idx="3">
                  <c:v>20.4</c:v>
                </c:pt>
                <c:pt idx="4">
                  <c:v>20.4</c:v>
                </c:pt>
                <c:pt idx="5">
                  <c:v>20.4</c:v>
                </c:pt>
                <c:pt idx="6">
                  <c:v>20.4</c:v>
                </c:pt>
                <c:pt idx="7">
                  <c:v>20.4</c:v>
                </c:pt>
                <c:pt idx="8">
                  <c:v>20.4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Apple</c:v>
                </c:pt>
                <c:pt idx="1">
                  <c:v>Microsoft</c:v>
                </c:pt>
                <c:pt idx="2">
                  <c:v>Alphabet</c:v>
                </c:pt>
                <c:pt idx="3">
                  <c:v>Meta Platforms</c:v>
                </c:pt>
                <c:pt idx="4">
                  <c:v>Amazon</c:v>
                </c:pt>
                <c:pt idx="5">
                  <c:v>Dell Technologies</c:v>
                </c:pt>
                <c:pt idx="6">
                  <c:v>HP Inc.</c:v>
                </c:pt>
                <c:pt idx="7">
                  <c:v>Logitech</c:v>
                </c:pt>
                <c:pt idx="8">
                  <c:v>Qualcomm</c:v>
                </c:pt>
              </c:strCache>
            </c:strRef>
          </c:cat>
          <c:val>
            <c:numRef>
              <c:f>Hoja1!$B$2:$B$10</c:f>
              <c:numCache>
                <c:formatCode>0.0"x"</c:formatCode>
                <c:ptCount val="9"/>
                <c:pt idx="0">
                  <c:v>27.2</c:v>
                </c:pt>
                <c:pt idx="1">
                  <c:v>16.5</c:v>
                </c:pt>
                <c:pt idx="2">
                  <c:v>17.4</c:v>
                </c:pt>
                <c:pt idx="3">
                  <c:v>12.6</c:v>
                </c:pt>
                <c:pt idx="4">
                  <c:v>14.7</c:v>
                </c:pt>
                <c:pt idx="5">
                  <c:v>12.3</c:v>
                </c:pt>
                <c:pt idx="6">
                  <c:v>7.3</c:v>
                </c:pt>
                <c:pt idx="7">
                  <c:v>14.2</c:v>
                </c:pt>
                <c:pt idx="8">
                  <c:v>15.7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10.1</c:v>
                </c:pt>
              </c:numCache>
            </c:numRef>
          </c:xVal>
          <c:yVal>
            <c:numRef>
              <c:f>Hoja1!$C$2</c:f>
              <c:numCache>
                <c:formatCode>0.0"x"</c:formatCode>
                <c:ptCount val="1"/>
                <c:pt idx="0">
                  <c:v>27.2</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25.2</c:v>
                </c:pt>
              </c:numCache>
            </c:numRef>
          </c:xVal>
          <c:yVal>
            <c:numRef>
              <c:f>Hoja1!$C$3</c:f>
              <c:numCache>
                <c:formatCode>0.0"x"</c:formatCode>
                <c:ptCount val="1"/>
                <c:pt idx="0">
                  <c:v>16.5</c:v>
                </c:pt>
              </c:numCache>
            </c:numRef>
          </c:yVal>
          <c:smooth val="0"/>
        </c:ser>
        <c:ser>
          <c:idx val="2"/>
          <c:order val="2"/>
          <c:tx>
            <c:strRef>
              <c:f>Hoja1!$A$4</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35</c:v>
                </c:pt>
              </c:numCache>
            </c:numRef>
          </c:xVal>
          <c:yVal>
            <c:numRef>
              <c:f>Hoja1!$C$4</c:f>
              <c:numCache>
                <c:formatCode>0.0"x"</c:formatCode>
                <c:ptCount val="1"/>
                <c:pt idx="0">
                  <c:v>17.4</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30</c:v>
                </c:pt>
              </c:numCache>
            </c:numRef>
          </c:xVal>
          <c:yVal>
            <c:numRef>
              <c:f>Hoja1!$C$5</c:f>
              <c:numCache>
                <c:formatCode>0.0"x"</c:formatCode>
                <c:ptCount val="1"/>
                <c:pt idx="0">
                  <c:v>12.6</c:v>
                </c:pt>
              </c:numCache>
            </c:numRef>
          </c:yVal>
          <c:smooth val="0"/>
        </c:ser>
        <c:ser>
          <c:idx val="4"/>
          <c:order val="4"/>
          <c:tx>
            <c:strRef>
              <c:f>Hoja1!$A$6</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19.5</c:v>
                </c:pt>
              </c:numCache>
            </c:numRef>
          </c:xVal>
          <c:yVal>
            <c:numRef>
              <c:f>Hoja1!$C$6</c:f>
              <c:numCache>
                <c:formatCode>0.0"x"</c:formatCode>
                <c:ptCount val="1"/>
                <c:pt idx="0">
                  <c:v>14.7</c:v>
                </c:pt>
              </c:numCache>
            </c:numRef>
          </c:yVal>
          <c:smooth val="0"/>
        </c:ser>
        <c:ser>
          <c:idx val="5"/>
          <c:order val="5"/>
          <c:tx>
            <c:strRef>
              <c:f>Hoja1!$A$7</c:f>
              <c:strCache>
                <c:ptCount val="1"/>
                <c:pt idx="0">
                  <c:v>Dell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44.9</c:v>
                </c:pt>
              </c:numCache>
            </c:numRef>
          </c:xVal>
          <c:yVal>
            <c:numRef>
              <c:f>Hoja1!$C$7</c:f>
              <c:numCache>
                <c:formatCode>0.0"x"</c:formatCode>
                <c:ptCount val="1"/>
                <c:pt idx="0">
                  <c:v>12.3</c:v>
                </c:pt>
              </c:numCache>
            </c:numRef>
          </c:yVal>
          <c:smooth val="0"/>
        </c:ser>
        <c:ser>
          <c:idx val="6"/>
          <c:order val="6"/>
          <c:tx>
            <c:strRef>
              <c:f>Hoja1!$A$8</c:f>
              <c:strCache>
                <c:ptCount val="1"/>
                <c:pt idx="0">
                  <c:v>HP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c:v>
                </c:pt>
              </c:numCache>
            </c:numRef>
          </c:xVal>
          <c:yVal>
            <c:numRef>
              <c:f>Hoja1!$C$8</c:f>
              <c:numCache>
                <c:formatCode>0.0"x"</c:formatCode>
                <c:ptCount val="1"/>
                <c:pt idx="0">
                  <c:v>7.3</c:v>
                </c:pt>
              </c:numCache>
            </c:numRef>
          </c:yVal>
          <c:smooth val="0"/>
        </c:ser>
        <c:ser>
          <c:idx val="7"/>
          <c:order val="7"/>
          <c:tx>
            <c:strRef>
              <c:f>Hoja1!$A$9</c:f>
              <c:strCache>
                <c:ptCount val="1"/>
                <c:pt idx="0">
                  <c:v>Logitech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2.7</c:v>
                </c:pt>
              </c:numCache>
            </c:numRef>
          </c:xVal>
          <c:yVal>
            <c:numRef>
              <c:f>Hoja1!$C$9</c:f>
              <c:numCache>
                <c:formatCode>0.0"x"</c:formatCode>
                <c:ptCount val="1"/>
                <c:pt idx="0">
                  <c:v>14.2</c:v>
                </c:pt>
              </c:numCache>
            </c:numRef>
          </c:yVal>
          <c:smooth val="0"/>
        </c:ser>
        <c:ser>
          <c:idx val="8"/>
          <c:order val="8"/>
          <c:tx>
            <c:strRef>
              <c:f>Hoja1!$A$10</c:f>
              <c:strCache>
                <c:ptCount val="1"/>
                <c:pt idx="0">
                  <c:v>Qualcomm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c:v>
                </c:pt>
              </c:numCache>
            </c:numRef>
          </c:xVal>
          <c:yVal>
            <c:numRef>
              <c:f>Hoja1!$C$10</c:f>
              <c:numCache>
                <c:formatCode>0.0"x"</c:formatCode>
                <c:ptCount val="1"/>
                <c:pt idx="0">
                  <c:v>15.7</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134117</c:v>
                </c:pt>
                <c:pt idx="1">
                  <c:v>136407</c:v>
                </c:pt>
                <c:pt idx="2">
                  <c:v>146239</c:v>
                </c:pt>
                <c:pt idx="3">
                  <c:v>155351</c:v>
                </c:pt>
                <c:pt idx="4">
                  <c:v>163745</c:v>
                </c:pt>
                <c:pt idx="5">
                  <c:v>171772</c:v>
                </c:pt>
                <c:pt idx="6">
                  <c:v>179333</c:v>
                </c:pt>
                <c:pt idx="7">
                  <c:v>186329</c:v>
                </c:pt>
                <c:pt idx="8">
                  <c:v>192665</c:v>
                </c:pt>
                <c:pt idx="9">
                  <c:v>198252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984255</c:v>
                </c:pt>
                <c:pt idx="1">
                  <c:v>1171640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339,50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104.13</c:v>
                </c:pt>
                <c:pt idx="1">
                  <c:v>150.83</c:v>
                </c:pt>
                <c:pt idx="2">
                  <c:v>177.72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339,50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(243,42 – 348,15)</c:v>
                </c:pt>
                <c:pt idx="1">
                  <c:v>Precio objetivo de los analistas (215,00 – 405,00)</c:v>
                </c:pt>
                <c:pt idx="2">
                  <c:v>Comparables: EV/EBITDA NTM (158,43 – 200,13)</c:v>
                </c:pt>
                <c:pt idx="3">
                  <c:v>Comparables: PER NTM (165,44 – 210,96)</c:v>
                </c:pt>
                <c:pt idx="4">
                  <c:v>DCF (WACC y g ± 0,5) (136,81 – 169,18)</c:v>
                </c:pt>
                <c:pt idx="5">
                  <c:v>Escenarios (bajista – alcista) (104,13 – 177,72)</c:v>
                </c:pt>
                <c:pt idx="6">
                  <c:v>DCF con la prima implícita del mercado (4,2 %)</c:v>
                </c:pt>
                <c:pt idx="7">
                  <c:v>Precio actual (339,50)</c:v>
                </c:pt>
              </c:strCache>
            </c:strRef>
          </c:cat>
          <c:val>
            <c:numRef>
              <c:f>Hoja1!$B$2:$B$9</c:f>
              <c:numCache>
                <c:formatCode>#,##0</c:formatCode>
                <c:ptCount val="8"/>
                <c:pt idx="0">
                  <c:v>243.42</c:v>
                </c:pt>
                <c:pt idx="1">
                  <c:v>215</c:v>
                </c:pt>
                <c:pt idx="2">
                  <c:v>158.43</c:v>
                </c:pt>
                <c:pt idx="3">
                  <c:v>165.44</c:v>
                </c:pt>
                <c:pt idx="4">
                  <c:v>136.81</c:v>
                </c:pt>
                <c:pt idx="5">
                  <c:v>104.13</c:v>
                </c:pt>
                <c:pt idx="6">
                  <c:v>157.65</c:v>
                </c:pt>
                <c:pt idx="7">
                  <c:v>337.8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(243,42 – 348,15)</c:v>
                </c:pt>
                <c:pt idx="1">
                  <c:v>Precio objetivo de los analistas (215,00 – 405,00)</c:v>
                </c:pt>
                <c:pt idx="2">
                  <c:v>Comparables: EV/EBITDA NTM (158,43 – 200,13)</c:v>
                </c:pt>
                <c:pt idx="3">
                  <c:v>Comparables: PER NTM (165,44 – 210,96)</c:v>
                </c:pt>
                <c:pt idx="4">
                  <c:v>DCF (WACC y g ± 0,5) (136,81 – 169,18)</c:v>
                </c:pt>
                <c:pt idx="5">
                  <c:v>Escenarios (bajista – alcista) (104,13 – 177,72)</c:v>
                </c:pt>
                <c:pt idx="6">
                  <c:v>DCF con la prima implícita del mercado (4,2 %)</c:v>
                </c:pt>
                <c:pt idx="7">
                  <c:v>Precio actual (339,50)</c:v>
                </c:pt>
              </c:strCache>
            </c:strRef>
          </c:cat>
          <c:val>
            <c:numRef>
              <c:f>Hoja1!$C$2:$C$9</c:f>
              <c:numCache>
                <c:formatCode>#,##0</c:formatCode>
                <c:ptCount val="8"/>
                <c:pt idx="0">
                  <c:v>104.72999999999999</c:v>
                </c:pt>
                <c:pt idx="1">
                  <c:v>190</c:v>
                </c:pt>
                <c:pt idx="2">
                  <c:v>41.69999999999999</c:v>
                </c:pt>
                <c:pt idx="3">
                  <c:v>45.52000000000001</c:v>
                </c:pt>
                <c:pt idx="4">
                  <c:v>32.370000000000005</c:v>
                </c:pt>
                <c:pt idx="5">
                  <c:v>73.59</c:v>
                </c:pt>
                <c:pt idx="6">
                  <c:v>25.659999999999997</c:v>
                </c:pt>
                <c:pt idx="7">
                  <c:v>3.3999999999999773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