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China Resources Sanjiu Medical &amp; Pharmaceutical Co., Ltd.</w:t>
      </w:r>
    </w:p>
    <w:p>
      <w:pPr>
        <w:spacing w:after="60"/>
        <w:rPr>
          <w:color w:val="52514E"/>
          <w:sz w:val="22"/>
          <w:szCs w:val="22"/>
        </w:rPr>
      </w:pPr>
      <w:r>
        <w:rPr>
          <w:color w:val="52514E"/>
          <w:sz w:val="22"/>
          <w:szCs w:val="22"/>
        </w:rPr>
        <w:t xml:space="preserve">000999 · Bolsa de Shenzhen, mercado principal (acciones A en CNY; en el Stock Connect hacia el norte) · ISIN CNE0000011K8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25,05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29,72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+22,7 % (base +22,8 %)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31,88 CNY · mercado 37,76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41.689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China Resources Sanjiu Medical &amp; Pharmaceutical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000999 / CNE0000011K8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Shenzhen, mercado principal (acciones A en CNY; en el Stock Connect hacia el norte)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 (medicina china y OTC)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(Guangdong) · 1985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https://www.999.com.cn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25,05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 – 30,65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41.689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58.149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29,72 CNY</w:t>
      </w:r>
      <w:r>
        <w:t xml:space="preserve"> frente a 25,05 · Rentabilidad a 12 meses </w:t>
      </w:r>
      <w:r>
        <w:rPr>
          <w:b/>
          <w:bCs/>
        </w:rPr>
        <w:t xml:space="preserve">+22,7 % (base +22,8 %)</w:t>
      </w:r>
      <w:r>
        <w:t xml:space="preserve"> · Valor intrínseco 31,88 CNY · con la prima implícita del mercado: 37,76 (+50,7 %) · Alcista / bajista +48,1 % / -6,7 %</w:t>
      </w:r>
    </w:p>
    <w:p>
      <w:pPr>
        <w:spacing w:after="100"/>
      </w:pPr>
      <w:r>
        <w:rPr>
          <w:b/>
        </w:rPr>
        <w:t xml:space="preserve">La recomendación y por qué.</w:t>
      </w:r>
      <w:r>
        <w:t xml:space="preserve"> Comprar según la regla a 12 meses, con convicción baja, y </w:t>
      </w:r>
      <w:r>
        <w:rPr>
          <w:b/>
        </w:rPr>
        <w:t xml:space="preserve">no como compra robusta</w:t>
      </w:r>
      <w:r>
        <w:t xml:space="preserve">. Nuestro objetivo a 12 meses es de 29,72 CNY: +22,7 % con dividendo (+22,8 % en el caso base) frente a un precio de 25,05 CNY (cierre del 26-oct-2026) [41]. El valor intrínseco es de 31,88 CNY (+27,3 %); el objetivo medio de los analistas (33,73) queda por encima de nuestro base. Pasa la regla vigente (v3), pero no la de control (v2: 16,1 % ponderada y 11,7 % en el base) ni un BPA un 10 % peor, y la sostenibilidad del crecimiento es solo «en parte»: la acción robusta es </w:t>
      </w:r>
      <w:r>
        <w:rPr>
          <w:b/>
        </w:rPr>
        <w:t xml:space="preserve">Mantener</w:t>
      </w:r>
      <w:r>
        <w:t xml:space="preserve">. La convicción es baja (el motor sugiere «alta») por esas tres pruebas; subiría con un 4T26 que caiga menos de un 8 % y bajaría si KPC vuelve a perder más de 100 M en un trimestre.</w:t>
      </w:r>
    </w:p>
    <w:p>
      <w:pPr>
        <w:spacing w:after="100"/>
      </w:pPr>
      <w:r>
        <w:rPr>
          <w:b/>
        </w:rPr>
        <w:t xml:space="preserve">Qué ha cambiado desde el informe del 20-oct.</w:t>
      </w:r>
      <w:r>
        <w:t xml:space="preserve"> El 3T26 confirma la debilidad: ventas −10,9 % y beneficio −9,4 % con el perímetro comparable, y 428 M de deterioros en 9M26 [19, 20]; pero KPC casi se equilibra (−2 M frente a −222 M en el 2T26) y el margen bruto sube 2,5 puntos [21, 24]. El BPA de 2026e baja de 1,84 a 1,78 CNY; el de 2028e apenas cambia (2,14). La historia del PER pasa al BPA recurrente (la base de nuestro BPA) y el circulante y la beta, a su nivel real: el DCF baja de 32,91 a 31,54 CNY. La rentabilidad a 12 meses sube del 19,8 % al 22,7 % sobre todo porque el precio cae un 2,9 %. UBS bajó a neutral (27 CNY) [48].</w:t>
      </w:r>
    </w:p>
    <w:p>
      <w:pPr>
        <w:spacing w:after="100"/>
      </w:pPr>
      <w:r>
        <w:rPr>
          <w:b/>
        </w:rPr>
        <w:t xml:space="preserve">El negocio.</w:t>
      </w:r>
      <w:r>
        <w:t xml:space="preserve"> Primera farmacéutica china sin receta (marca 999) y, desde 2025, matriz de Tasly y KPC con el 28 % de cada una [1]. </w:t>
      </w:r>
      <w:r>
        <w:rPr>
          <w:b/>
        </w:rPr>
        <w:t xml:space="preserve">ROIC del 14,0 % frente a un WACC del 7,76 %</w:t>
      </w:r>
      <w:r>
        <w:t xml:space="preserve">: crea valor, pero el incremental (11,7 %) baja con cada compra. </w:t>
      </w:r>
      <w:r>
        <w:rPr>
          <w:b/>
        </w:rPr>
        <w:t xml:space="preserve">Sostenibilidad «en parte»</w:t>
      </w:r>
      <w:r>
        <w:t xml:space="preserve">: las pruebas del motor pasan, pero proyectamos +4,0-4,5 % en 2027-2029e en un mercado que crece un 1,7 % y con una dirección que habla de «fase de bajo crecimiento» y cierres de farmacias [6, 21].</w:t>
      </w:r>
    </w:p>
    <w:p>
      <w:pPr>
        <w:spacing w:after="100"/>
      </w:pPr>
      <w:r>
        <w:rPr>
          <w:b/>
        </w:rPr>
        <w:t xml:space="preserve">Finanzas.</w:t>
      </w:r>
      <w:r>
        <w:t xml:space="preserve"> Crecimiento comprado; en 9M26 ventas −2,6 % y beneficio −8,3 %, con Tasly +12,0 % y KPC −366 M [19, 24, 25]. Caja neta: 7.006 M frente a ≈ 3.794 M de deuda; fondo de comercio de KPC (1.129 M) sin deteriorar [19].</w:t>
      </w:r>
    </w:p>
    <w:p>
      <w:pPr>
        <w:spacing w:after="100"/>
      </w:pPr>
      <w:r>
        <w:rPr>
          <w:b/>
        </w:rPr>
        <w:t xml:space="preserve">Valoración.</w:t>
      </w:r>
      <w:r>
        <w:t xml:space="preserve"> El precio descuenta que las ventas caigan un 0,7 % al año en 2027-2035 frente a nuestro +3,4 %, o un margen EBITDA del 18,6 % frente al 21 %: es conservador. Cotiza a 12,6 veces nuestro BPA de 2027e frente a una mediana adelantada de 16,0. Nuestro BPA de 2028e queda un 17 % bajo el de Sinolink: no suponemos un 4T al alza [23].</w:t>
      </w:r>
    </w:p>
    <w:p>
      <w:pPr>
        <w:spacing w:after="100"/>
      </w:pPr>
      <w:r>
        <w:rPr>
          <w:b/>
        </w:rPr>
        <w:t xml:space="preserve">Riesgos y catalizadores.</w:t>
      </w:r>
      <w:r>
        <w:t xml:space="preserve"> El CHC en caída estructural (−26 % sobre el valor base en el bajista), las compras centralizadas en la receta y el deterioro de KPC (≈ 0,68 CNY de BPA contable). Catalizadores: la gripe del 4T26, la lista de reembolso de diciembre y el anual de marzo. Los foros pasan del alivio a la decepción [51, 52].</w:t>
      </w:r>
    </w:p>
    <w:p>
      <w:pPr>
        <w:spacing w:after="100"/>
      </w:pPr>
      <w:r>
        <w:rPr>
          <w:b/>
        </w:rPr>
        <w:t xml:space="preserve">Qué cambiaría la decisión.</w:t>
      </w:r>
      <w:r>
        <w:t xml:space="preserve"> Comprar por debajo de 26,72 CNY y vender por encima de 34,14. La compra robusta (nivel A) no se alcanza a ningún precio mientras la sostenibilidad sea «en parte»; el nivel C llega hasta 25,23 CNY y el B2 hasta 24,13. Un 4T26 peor del −13 % o un lote de compras centralizadas para Dantonic nos llevarían a Mantener.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29,72 CNY</w:t>
      </w:r>
      <w:r>
        <w:t xml:space="preserve"> (rentabilidad +22,7 % (base +22,8 %)) · Valor intrínseco: 31,88 CNY (+27,3 % sobre 25,05) · con la prima implícita del mercado: 37,76 (+50,7 %)</w:t>
      </w:r>
    </w:p>
    <w:p>
      <w:pPr>
        <w:spacing w:after="100"/>
      </w:pPr>
      <w:r>
        <w:t xml:space="preserve">CR Sanjiu tiene la primera marca de medicamentos sin receta de China (999), con un margen bruto del 56,0 % en 9M26, un ROIC del 14,0 % y caja neta, y reparte más de la mitad del beneficio [1, 19, 21]. Desde 2023 compró el control de KPC y de Tasly con el 28 % de cada una: duplicó las ventas, pero el 72 % del beneficio de las filiales es de otros y KPC pierde dinero [1, 24].</w:t>
      </w:r>
    </w:p>
    <w:p>
      <w:pPr>
        <w:spacing w:after="100"/>
      </w:pPr>
      <w:r>
        <w:t xml:space="preserve">El precio de 25,05 CNY descuenta que las ventas caigan un 0,7 % al año hasta 2035 o que el margen EBITDA se quede en el 18,6 %: un declive permanente. A 12,6 veces nuestro BPA de 2027e, cotiza un 21 % por debajo de su mediana adelantada de cinco años (16,0 veces) y un 27 % por debajo de los comparables chinos [40, 42].</w:t>
      </w:r>
    </w:p>
    <w:p>
      <w:pPr>
        <w:spacing w:after="100"/>
      </w:pPr>
      <w:r>
        <w:t xml:space="preserve">El mercado acierta en que 2026 es un mal año (ventas del 3T26 −10,9 %, deterioros de 428 M) y se equivoca, creemos, en extrapolarlo: la caída es de gripe y del ajuste de canal de KPC, que ya casi no pierde en el 3T26, y el margen aguanta [19, 24]. Para invertir hay que creer que el BPA recurrente vuelve a 2,14 CNY en 2028e (era 1,88 en 2025) y que el PER se recupera a 13,9 veces. Con eso y el dividendo del 4 %, la rentabilidad a 12 meses es del 22,7 %.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1,87 = 20,76 · 13,9x × 2,14 = 29,75 · 16,5x × 2,34 = 38,61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33,73 (nuestro base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31,88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 /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37,76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frente a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31,3 %, asimetría de 7,18, bajista del -6,7 % y el precio descuenta 4,1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26,72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26,72 y 34,14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34,14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26,72 CNY: pasaríamos a Mantener; por encima de 34,14 CNY, a Vender.</w:t>
      </w:r>
    </w:p>
    <w:p>
      <w:pPr>
        <w:pStyle w:val="ListParagraph"/>
        <w:numPr>
          <w:ilvl w:val="0"/>
          <w:numId w:val="2"/>
        </w:numPr>
        <w:spacing w:after="60"/>
      </w:pPr>
      <w:r>
        <w:t xml:space="preserve">Ventas del 4T26 por debajo de 8.400 M (−13 %) o KPC con pérdidas de más de 100 M en un trimestre: bajaríamos el base y la recomendación a Mantener.</w:t>
      </w:r>
    </w:p>
    <w:p>
      <w:pPr>
        <w:pStyle w:val="ListParagraph"/>
        <w:numPr>
          <w:ilvl w:val="0"/>
          <w:numId w:val="2"/>
        </w:numPr>
        <w:spacing w:after="60"/>
      </w:pPr>
      <w:r>
        <w:t xml:space="preserve">Un 4T26 plano o mejor y un CHC que vuelve a crecer en el 1T27: la sostenibilidad pasaría a «Sí» y la compra podría ser robusta (nivel A).</w:t>
      </w:r>
    </w:p>
    <w:p>
      <w:pPr>
        <w:pStyle w:val="ListParagraph"/>
        <w:numPr>
          <w:ilvl w:val="0"/>
          <w:numId w:val="2"/>
        </w:numPr>
        <w:spacing w:after="60"/>
      </w:pPr>
      <w:r>
        <w:t xml:space="preserve">Compras centralizadas para Dantonic o una nueva compra grande con deuda: subiríamos la prima de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las ventas caen un 0,7 % al año en 2027-2035 o que el margen EBITDA se queda en el 18,6 %: que el CHC y KPC no se recuperan y que la receta se encoge con las compras centralizadas. Los analistas, en cambio, esperan +9 % de ventas en 2027e y un BPA de 2,31 CNY [23].</w:t>
      </w:r>
    </w:p>
    <w:p>
      <w:pPr>
        <w:keepNext/>
        <w:spacing w:after="100"/>
      </w:pPr>
      <w:r>
        <w:rPr>
          <w:b/>
          <w:bCs/>
        </w:rPr>
        <w:t xml:space="preserve">Lo que creemos nosotros.</w:t>
      </w:r>
    </w:p>
    <w:p>
      <w:pPr>
        <w:spacing w:after="100"/>
      </w:pPr>
      <w:r>
        <w:t xml:space="preserve">Entre los dos: 2026 es un mal año de gripe y de ajuste de KPC (BPA recurrente de 1,78 CNY), pero el negocio no está en declive permanente. Proyectamos +4,0-4,5 % de ventas en 2027-2029e con un margen EBITDA del 21 % y un BPA de 2,14 CNY en 2028e, un 17 % por debajo de la calle.</w:t>
      </w:r>
    </w:p>
    <w:p>
      <w:pPr>
        <w:keepNext/>
        <w:spacing w:after="100"/>
      </w:pPr>
      <w:r>
        <w:rPr>
          <w:b/>
          <w:bCs/>
        </w:rPr>
        <w:t xml:space="preserve">Por qué podemos tener razón.</w:t>
      </w:r>
    </w:p>
    <w:p>
      <w:pPr>
        <w:spacing w:after="100"/>
      </w:pPr>
      <w:r>
        <w:t xml:space="preserve">KPC pasa de perder 222 M en el 2T26 a 2 M en el 3T26, Tasly sube su beneficio un 12 % y el margen bruto del grupo sube 2,5 puntos en 9M26 [21, 24, 25]. Lo que no vemos todavía es que el CHC vuelva a crecer: por eso nuestro base queda por debajo del consenso y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25,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Marca líder del CHC</w:t>
      </w:r>
      <w:r>
        <w:t xml:space="preserve">: 999 es la primera marca sin receta de China; margen bruto del grupo del 56,0 % en 9M26 [1, 21].</w:t>
      </w:r>
    </w:p>
    <w:p>
      <w:pPr>
        <w:pStyle w:val="ListParagraph"/>
        <w:numPr>
          <w:ilvl w:val="0"/>
          <w:numId w:val="2"/>
        </w:numPr>
        <w:spacing w:after="60"/>
      </w:pPr>
      <w:r>
        <w:rPr>
          <w:b/>
        </w:rPr>
        <w:t xml:space="preserve">Barata frente a sí misma</w:t>
      </w:r>
      <w:r>
        <w:t xml:space="preserve">: 12,6 veces nuestro BPA de 2027e frente a una mediana adelantada de 16,0 veces [40].</w:t>
      </w:r>
    </w:p>
    <w:p>
      <w:pPr>
        <w:pStyle w:val="ListParagraph"/>
        <w:numPr>
          <w:ilvl w:val="0"/>
          <w:numId w:val="2"/>
        </w:numPr>
        <w:spacing w:after="60"/>
      </w:pPr>
      <w:r>
        <w:rPr>
          <w:b/>
        </w:rPr>
        <w:t xml:space="preserve">Dividendo y caja neta</w:t>
      </w:r>
      <w:r>
        <w:t xml:space="preserve">: reparte más del 50 % del beneficio (≈ 4 % de rentabilidad) y la caja (7.006 M) supera a la deuda [19, 21].</w:t>
      </w:r>
    </w:p>
    <w:p>
      <w:pPr>
        <w:pStyle w:val="ListParagraph"/>
        <w:numPr>
          <w:ilvl w:val="0"/>
          <w:numId w:val="2"/>
        </w:numPr>
        <w:spacing w:after="60"/>
      </w:pPr>
      <w:r>
        <w:rPr>
          <w:b/>
        </w:rPr>
        <w:t xml:space="preserve">KPC toca suelo</w:t>
      </w:r>
      <w:r>
        <w:t xml:space="preserve">: pérdida de 2 M en el 3T26 frente a 222 M en el 2T26 [24].</w:t>
      </w:r>
    </w:p>
    <w:p>
      <w:pPr>
        <w:pStyle w:val="ListParagraph"/>
        <w:numPr>
          <w:ilvl w:val="0"/>
          <w:numId w:val="2"/>
        </w:numPr>
        <w:spacing w:after="60"/>
      </w:pPr>
      <w:r>
        <w:rPr>
          <w:b/>
        </w:rPr>
        <w:t xml:space="preserve">Asimetría a largo plazo</w:t>
      </w:r>
      <w:r>
        <w:t xml:space="preserve">: el bajista del DCF vale 23,37 CNY (−6,7 %) y el alcista 37,10 (+48,1 %).</w:t>
      </w:r>
    </w:p>
    <w:p>
      <w:pPr>
        <w:pStyle w:val="Heading2"/>
      </w:pPr>
      <w:r>
        <w:t xml:space="preserve">En contra</w:t>
      </w:r>
    </w:p>
    <w:p>
      <w:pPr>
        <w:pStyle w:val="ListParagraph"/>
        <w:numPr>
          <w:ilvl w:val="0"/>
          <w:numId w:val="2"/>
        </w:numPr>
        <w:spacing w:after="60"/>
      </w:pPr>
      <w:r>
        <w:rPr>
          <w:b/>
        </w:rPr>
        <w:t xml:space="preserve">Ventas a la baja</w:t>
      </w:r>
      <w:r>
        <w:t xml:space="preserve">: −13,5 % en el 2T26 y −10,9 % en el 3T26 con el perímetro comparable [19].</w:t>
      </w:r>
    </w:p>
    <w:p>
      <w:pPr>
        <w:pStyle w:val="ListParagraph"/>
        <w:numPr>
          <w:ilvl w:val="0"/>
          <w:numId w:val="2"/>
        </w:numPr>
        <w:spacing w:after="60"/>
      </w:pPr>
      <w:r>
        <w:rPr>
          <w:b/>
        </w:rPr>
        <w:t xml:space="preserve">Deterioros</w:t>
      </w:r>
      <w:r>
        <w:t xml:space="preserve">: 428 M en 9M26 y 1.129 M de fondo de comercio de KPC sin deteriorar [19, 20].</w:t>
      </w:r>
    </w:p>
    <w:p>
      <w:pPr>
        <w:pStyle w:val="ListParagraph"/>
        <w:numPr>
          <w:ilvl w:val="0"/>
          <w:numId w:val="2"/>
        </w:numPr>
        <w:spacing w:after="60"/>
      </w:pPr>
      <w:r>
        <w:rPr>
          <w:b/>
        </w:rPr>
        <w:t xml:space="preserve">Compras centralizadas</w:t>
      </w:r>
      <w:r>
        <w:t xml:space="preserve">: presión de precios en la receta de Tasly y KPC [1].</w:t>
      </w:r>
    </w:p>
    <w:p>
      <w:pPr>
        <w:pStyle w:val="ListParagraph"/>
        <w:numPr>
          <w:ilvl w:val="0"/>
          <w:numId w:val="2"/>
        </w:numPr>
        <w:spacing w:after="60"/>
      </w:pPr>
      <w:r>
        <w:rPr>
          <w:b/>
        </w:rPr>
        <w:t xml:space="preserve">Compra frágil</w:t>
      </w:r>
      <w:r>
        <w:t xml:space="preserve">: no pasa la regla v2 (base 11,7 %) ni aguanta un BPA un 10 % peor; sostenibilidad «en parte».</w:t>
      </w:r>
    </w:p>
    <w:p>
      <w:pPr>
        <w:pStyle w:val="ListParagraph"/>
        <w:numPr>
          <w:ilvl w:val="0"/>
          <w:numId w:val="2"/>
        </w:numPr>
        <w:spacing w:after="60"/>
      </w:pPr>
      <w:r>
        <w:rPr>
          <w:b/>
        </w:rPr>
        <w:t xml:space="preserve">La calle recorta</w:t>
      </w:r>
      <w:r>
        <w:t xml:space="preserve">: UBS a neutral (27 CNY) y objetivo medio de 35,15 a 33,73 CNY en una semana [42, 48].</w:t>
      </w:r>
    </w:p>
    <w:p>
      <w:pPr>
        <w:pStyle w:val="Heading2"/>
      </w:pPr>
      <w:r>
        <w:t xml:space="preserve">Qué tiene que pasar para que la tesis funcione</w:t>
      </w:r>
    </w:p>
    <w:p>
      <w:pPr>
        <w:spacing w:after="100"/>
      </w:pPr>
      <w:r>
        <w:t xml:space="preserve">Las ventas del 4T26 frente a un 4T25 con ola de gripe (9.616 M): por encima de 8.850 M (−8 %) confirman el base; por debajo de 8.400 M (−13 %), el bajista. Que KPC no vuelva a perder más de 100 M en un trimestre. La lista nacional de reembolso y los lotes de compras centralizadas de diciembre, y la prueba de deterioro de KPC en el anual de marzo.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2026e supone un 4T −8 %.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KPC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M (3T26); −366 M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suelo del declive y decide el deterioro.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Tasly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que sostiene la receta.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(LTM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mezcla y gasto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M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circulante y de la I+D capitalizada.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del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es parte de la rentabilidad.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12,9x / 11,1x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Nació en 1985 como la fábrica Nanfang del Ejército en Shenzhen, creadora de Sanjiu Weitai y 999 Ganmaoling; Sanjiu Medical &amp; Pharmaceutical se constituyó en 1999 y salió a bolsa en Shenzhen en 2000 [1]. Tras la crisis de deuda del grupo Sanjiu, China Resources tomó el control en 2008. Desde entonces creció comprando marcas de CHC (Guilin Tianhe, Shunfeng, Aonuo, Zhongyi) y, con el plan de 2021-2025 de «duplicar ventas», dos cotizadas de medicina china: KPC en 2023 y Tasly en 2025 [1, 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Nanfang (南方制药厂) en Shenzhen: Sanjiu Weitai y 999 Ganmaoling.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Shenzhen (000999).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toma el control tras la reestructuración del grupo Sanjiu.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marcas de CHC: Zhongyi (众益) y Aonuo (澳诺)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KPC (昆药集团) con el 28 % por 2.902 M CNY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liberadas de 3 por 10 en junio de 2024 y junio de 2025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Tasly (天士力) con el 28 % por 6.212 M CNY (27-mar-2025)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KPC entra en pérdidas; nuevo prospecto obligatorio de Ganmaoling (NMPA, julio) [6, 27].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CR Sanjiu es el primer fabricante chino de medicamentos sin receta por ventas (líder del ranking de OTC durante años) y, desde 2025, un grupo de medicina china con tres cotizadas: la propia Sanjiu, KPC (28 %) y Tasly (28 %) [1, 6]. Vende tres cosas: marcas de farmacia (CHC: 999 Ganmaoling para el resfriado, número uno de los antigripales de medicina china doce años seguidos, con más de 2.000 M de ventas en farmacias urbanas en 2025; Sanjiu Weitai para el estómago; Piyanping para la piel; Aonuo, calcio infantil), medicamentos con receta (inyectables y granulados de medicina china, Dantonic de Tasly para el corazón, Xuesaitong de KPC) y distribución mayorista y farmacias en Yunnan y Tianjin [6, 14, 27]. Tiene unas 30.300 personas, fábricas en Shenzhen, Nanchang, Kunming y Tianjin, y casi todo lo vende en China (exterior 1,1 %) [1].</w:t>
      </w:r>
    </w:p>
    <w:p>
      <w:pPr>
        <w:pStyle w:val="Heading2"/>
      </w:pPr>
      <w:r>
        <w:t xml:space="preserve">Cómo gana dinero</w:t>
      </w:r>
    </w:p>
    <w:p>
      <w:pPr>
        <w:spacing w:after="100"/>
      </w:pPr>
      <w:r>
        <w:t xml:space="preserve">El CHC gana con marca y distribución: margen bruto del 61,7 % en 2025, a cambio de un gasto comercial y de publicidad del 28,8 % de las ventas del grupo [1]. Vende a mayoristas que surten a cadenas de farmacias; las ventas dependen de la temporada de gripe (el 1T y el 4T son los fuertes: 4T25 +22 % por la ola de gripe) y del tráfico en farmacias, que cae desde 2024 [1, 18]. La receta gana con productos protegidos o exclusivos de medicina china (Dantonic, Shenfu) que se venden a hospitales; aquí el precio lo deciden la lista de reembolso y las compras centralizadas (集采), que bajan precios a cambio de volumen [1]. El grupo cobra el 100 % de las ventas de Tasly y KPC pero solo se queda el 28 % de su beneficio. Apalancamiento operativo moderado: un tercio de los costes son de marketing ajustable.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CHC (sin receta y salud de consumo)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Medicamentos con receta (incluye Tasly y la medicina tradicional de KPC)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y farmacias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Envases e impresión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CHC (sin receta y salud de consumo)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Medicamentos con receta (incluye Tasly y la medicina tradicional de KPC)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y farmacias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Envases e impresión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grandes mayoristas (Sinopharm, Shanghai Pharma, China Resources Pharmaceutical Commerce, que es del mismo grupo) y cadenas de farmacias; los cinco primeros clientes no suelen pasar del 15 % de las ventas [1]. Las ventas a sociedades del grupo China Resources son operaciones vinculadas con límite anual aprobado por la junta [1]. Poder de precios: en CHC la marca permite precios de venta al público superiores a los genéricos (en farmacia, Ganmaoling no se paga con la tarjeta del seguro médico en muchas ciudades), pero la revisión de precios de los medicamentos en línea de 2025 y la caída del tráfico en farmacias lo limitan [1, 28]. En receta el poder de precios es bajo: las compras centralizadas de medicina china (tercer lote de Hubei y lotes de piezas de medicina tradicional de Shandong) se aplican en 2025-2026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trimestre comparable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perímetro (Tasly ya consolidaba en el 3T25); 2T26 −13,5 %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CHC (criterio nuevo)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CHC de KPC en ajuste de canal y la menor incidencia respiratoria; el 3T26 no desglosa por negocio [6,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receta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todo el semestre frente a un trimestre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Tasly y menos distribución [19,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KPC (filial)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frente a −51 % del 1S26; beneficio del 3T26 −2 M frente a −222 M en el 2T26 [23,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de Tasly (filial)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ventas −3,8 %: eficiencia, no volumen [25].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medicamentos de China en todos los canales (hospitales, farmacias y online), donde CR Sanjiu vende CHC sobre todo en farmacias y receta en hospitales [1, 6]. Usamos la cifra de 米内网 (Menet) del total del mercado y, como contraste, la de 中康CMH para farmacias (501.900 M CNY en 2024) [2]. Menet: 12.601.000 M CNY en 9M25 (−1,0 %), del que farmacias y B2C son 3.061.000 M (+5,5 %) y hospitales 8.290.000 M (−2,5 %) [1]. Anualizado, el mercado es de ≈ 1,68 billones (estimación propia: 9M25 ÷ 0,75).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1.680.000 M CNY en 2025 (estimación propia anualizando los 9M25 de Menet [1]); farmacias ≈ 502.000 M en 2024 (中康CMH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NY (estimación propia: 2025 anualizado; 2026e −1,3 %; después 1,7 % anual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(集采) y control del gasto del seguro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−2,5 % en 9M25 por compras centralizadas y genéricos a precio por volumen; lotes de medicina china de Hubei y Shandong en vigor en 2025-2026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enfermedades crónicas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 de la población con 60 años o más en 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Incidencia de gripe y enfermedades respiratorias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4T25 +22,1 % con la ola de gripe; CHC −23,3 % en el 1S26 con menos incidencia [15,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en farmacias y paso a la venta online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B2C +29,1 % y O2O +29,6 % en 9M25 frente a farmacias físicas casi planas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Apoyo a la medicina china y a la innovación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la industria de medicina china 2026-2030 (febrero de 2026); fórmulas clásicas con registro simplificado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fabricantes de medicina china; en antigripales compiten Baiyunshan, Yiling (Lianhua Qingwen) y genéricos regionales [27,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seguro médico estatal fija precios en hospitales con compras centralizadas; en farmacia, cadenas cada vez más grandes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Hierbas medicinales con precios volátiles pero proveedores fragmentados; Sanjiu tiene bases propias de cultivo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medicamentos lento y marcas de décadas; una marca nueva de OTC necesita años de publicidad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Genéricos químicos baratos (paracetamol) y productos de las compras centralizadas que llegan a los centros de salud de barrio [1].</w:t>
            </w:r>
          </w:p>
        </w:tc>
      </w:tr>
    </w:tbl>
    <w:p>
      <w:pPr>
        <w:spacing w:after="160" w:before="0"/>
      </w:pPr>
    </w:p>
    <w:p>
      <w:pPr>
        <w:pStyle w:val="Heading2"/>
      </w:pPr>
      <w:r>
        <w:t xml:space="preserve">Ciclo</w:t>
      </w:r>
    </w:p>
    <w:p>
      <w:pPr>
        <w:spacing w:after="100"/>
      </w:pPr>
      <w:r>
        <w:t xml:space="preserve">El mercado chino de medicamentos cae por primera vez en años (−1,0 % en 9M25, −1,3 % en el 1T26) por el control del gasto y los precios, e IQVIA rebaja su crecimiento al 1,7 % anual hasta 2030 [1, 6]. En la conferencia del 3T26 la propia dirección dice que el sector ha entrado en una «fase de bajo crecimiento», con una ola de cierres de farmacias y competencia por el mercado existente [21]. Las marcas de farmacia aguantan mejor que los hospitales, pero el tráfico en farmacias físicas cae. En 2020 la COVID hundió los antigripales de marca (beneficio de Sanjiu −24 %) y en 2022-2023 los disparó; en 2025 la gripe volvió a mover el 4T [1, 18].</w:t>
      </w:r>
    </w:p>
    <w:p>
      <w:pPr>
        <w:pStyle w:val="Heading2"/>
      </w:pPr>
      <w:r>
        <w:t xml:space="preserve">Regulación</w:t>
      </w:r>
    </w:p>
    <w:p>
      <w:pPr>
        <w:spacing w:after="100"/>
      </w:pPr>
      <w:r>
        <w:t xml:space="preserve">Tres frentes. Compras centralizadas de medicina china y genéricos (lotes interprovinciales de Hubei y Shandong aplicados en 2025-2026) y revisión de precios de los medicamentos en plataformas (2025) [1]. Lucha contra la corrupción en la promoción médica (guía de la SAMR de enero de 2025) [1]. Y el nuevo prospecto obligatorio de Ganmaoling (NMPA, anuncio n.º 66 de 20-jul-2026): advierte de no conducir ni beber y prohíbe su uso con insuficiencia grave de hígado o riñón; la empresa debía registrarlo antes del 15-oct-2026 y tiene 9 meses para cambiar el producto ya vendido [27]. No prohíbe la venta, pero puede restar demanda en la temporada 2026-2027.</w:t>
      </w:r>
    </w:p>
    <w:p>
      <w:pPr>
        <w:pStyle w:val="Heading2"/>
      </w:pPr>
      <w:r>
        <w:t xml:space="preserve">Tendencias y disrupción</w:t>
      </w:r>
    </w:p>
    <w:p>
      <w:pPr>
        <w:spacing w:after="100"/>
      </w:pPr>
      <w:r>
        <w:t xml:space="preserve">Las ventas se mueven a internet (B2C y O2O crecen ≈ 30 % al año) y a los centros de salud de barrio con los medicamentos de las compras centralizadas [1]. Las farmacias cierran y se especializan en productos fuera del seguro médico, que es donde está el CHC de Sanjiu; la empresa dice que su venta online «sigue creciendo deprisa» en 2026 [21]. Sanjiu gana en lo primero (marca conocida, presencia en plataformas) y pierde en lo segundo si sus productos de receta entran en las compras con rebajas de precio. Los grupos estatales concentran el sector comprando cotizadas (Tasly, KPC). La innovación (un GLP-1/GIP con la solicitud de registro admitida en China, una terapia celular de iPSC para la insuficiencia cardiaca en ensayo confirmatorio) es todavía pequeña en ventas [6,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OTC de China; ≈ 1,9 % del mercado total de medicamentos (estimación propia: 31.603 M ÷ ≈ 1.680.000 M) [1]; 999 Ganmaoling es el primer antigripal de medicina china en farmacias desde hace doce años [27]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Yunnan Baiyao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000538.SZ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farmacia y cuidado personal (pasta de dientes), más distribución; rival en CHC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Guangzhou Baiyunshan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600332.SS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Antigripales (incluido su propio Ganmaoling) y gran distribución; margen bajo por la distribución [27,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Beijing Tong Ren Tang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600085.SS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centenaria de medicina china, farmacias propias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Shijiazhuang Yiling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002603.SZ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Lianhua Qingwen (antigripal de medicina china) y cardiovasculares; rival directo en gripe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Jiangzhong Pharmaceutical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600750.SS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OTC digestivo (健胃消食片), del grupo China Resources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Zhangzhou Pien Tze Huang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600436.SS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de lujo de medicina china con precio al alza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Dong-E-E-Jiao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000423.SZ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Gelatina de burro, marca de salud de consumo, del grupo China Resources [29].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consumidor cambia de antigripal sin coste; en hospitales los productos exclusivos dan algo de permanencia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999 Ganmaoling número uno de su categoría doce años, 45 productos de más de 100 M, margen bruto del CHC del 61,7 %; registros de medicamentos exclusivos de Tasly [A1,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Bases propias de hierbas y escala en compras; margen EBIT del 14,7 % en 2025, por debajo de Jiangzhong o Dong-E-E-Jiao (28-31 %) [A1,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que llega a cientos de miles de farmacias, difícil de replicar; gasto comercial de 9.089 M al año [A1].</w:t>
            </w:r>
          </w:p>
        </w:tc>
      </w:tr>
    </w:tbl>
    <w:p>
      <w:pPr>
        <w:spacing w:after="160" w:before="0"/>
      </w:pPr>
    </w:p>
    <w:p>
      <w:pPr>
        <w:pStyle w:val="Heading2"/>
      </w:pPr>
      <w:r>
        <w:t xml:space="preserve">Amenazas</w:t>
      </w:r>
    </w:p>
    <w:p>
      <w:pPr>
        <w:spacing w:after="100"/>
      </w:pPr>
      <w:r>
        <w:t xml:space="preserve">Las amenazas son de política más que de rivales: compras centralizadas que extienden rebajas de precio a la medicina china de receta (Tasly y KPC, probabilidad alta), control del precio de los medicamentos en farmacia y online (media), nuevo prospecto de Ganmaoling que advierte de no conducir (media, efecto en la temporada 2026-27) y cierre de farmacias (alta, ya en curso) [1, 21, 27, 28]. Rivales como Yiling y Baiyunshan compiten en la ola de gripe con precio y publicidad. KPC ha perdido el 42,7 % de sus ventas en 9M26 por su ajuste de canal, tras perder ≈ 370 M en el 1S26 [24, 31]. La marca no se erosiona rápido, pero el margen EBIT del grupo (14,7 % en 2025) está muy por debajo de las marcas puras (28-31 %) por la receta y la distribución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2021-2025: ingresos </w:t>
      </w:r>
      <w:r>
        <w:rPr>
          <w:b/>
          <w:bCs/>
        </w:rPr>
        <w:t xml:space="preserve">19,4 %</w:t>
      </w:r>
      <w:r>
        <w:t xml:space="preserve">, EBITDA </w:t>
      </w:r>
      <w:r>
        <w:rPr>
          <w:b/>
          <w:bCs/>
        </w:rPr>
        <w:t xml:space="preserve">20,4 %</w:t>
      </w:r>
      <w:r>
        <w:t xml:space="preserve">, BPA </w:t>
      </w:r>
      <w:r>
        <w:rPr>
          <w:b/>
          <w:bCs/>
        </w:rPr>
        <w:t xml:space="preserve">13,5 %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15.544 M CNY en 2021 a 31.603 M en 2025, pero casi todo el crecimiento es comprado: KPC entró en 2023 (+4.087 M) y Tasly en 2025 (5.616 M en nueve meses) [1, 3]. Sin compras, el negocio de siempre creció poco: el CHC con el criterio anterior pasó de 9.276 M (2021) a 12.482 M (2024) y cayó un 6,75 % en 2025 [1, 2, 5]. El margen EBITDA se ha mantenido entre el 18 % y el 20 %: el margen bruto sube con la mezcla de Tasly (54,0 % en 2025; 56,0 % en 9M26, +2,5 puntos) y se lo come la red comercial (gasto comercial del 27,6 % de las ventas en 9M26) [1, 21]. Con el perímetro ya comparable (Tasly consolidaba en el 3T25), las ventas del 3T26 cayeron un 10,9 % (6.396 M) y el beneficio atribuido un 9,4 % (487 M), tras −13,5 % en ventas en el 2T26 [19]. Por partes (estimación propia con los trimestrales de las filiales): Tasly −7,4 %, KPC −22,9 % y el resto (CHC de Sanjiu, receta propia y distribución) ≈ −8 % [19, 24, 25]. En 9M26, ventas −2,6 % (21.410 M) y beneficio −8,3 % (2.158 M) [19].</w:t>
      </w:r>
    </w:p>
    <w:p>
      <w:pPr>
        <w:pStyle w:val="Heading2"/>
      </w:pPr>
      <w:r>
        <w:t xml:space="preserve">Ajustes y partidas no recurrentes</w:t>
      </w:r>
    </w:p>
    <w:p>
      <w:pPr>
        <w:spacing w:after="100"/>
      </w:pPr>
      <w:r>
        <w:t xml:space="preserve">Cifras publicadas (CAS). En el coste de ventas se suman los impuestos y recargos (税金及附加: 382 M en 2025) [1]. El EBIT excluye el resultado de las inversiones financieras y de las asociadas (pasan al financiero) e incluye las subvenciones (其他收益: 338 M en 2025 y 150 M en 9M26, −37 %) y los deterioros de cuentas a cobrar, existencias y desarrollo [1, 19]. Los deterioros se disparan en 2026: 428 M en 9M26 frente a 124 M en 9M25, de ellos 139 M por cancelar dos proyectos de I+D (QBH196 de Sanjiu y TSL-1502 de Tasly), 158 M de existencias y 142 M de cuentas a cobrar [19, 20]. Tratamos como no recurrente solo la I+D cancelada (139 M en el LTM); el resto se repite cada año y se queda. El beneficio sin extraordinarios (扣非) del 3T26 cae menos (−3,9 %) que el publicado (−9,4 %) por menos subvenciones y pérdidas de valor razonable [19]. En 2025 los deterioros netos fueron de 154 M (338 M dotados y 184 M revertidos) [13]. La serie trimestral sale de los informes del 1S25, 9M25, 1T26, del avance del 1S26 y del 3T26 [7, 8, 9, 17, 19]. BPA y DPA de 2021-2023 divididos entre 1,69 y 1,3 por las ampliaciones liberadas de 2024 y 2025 [11].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publica transcripciones, pero sí el acta de cada conferencia de resultados (投资者关系活动记录表) en CNINFO: las dos últimas son la del 1S26 (23-ago) y la del 3T26 (24-oct, con once brókeres) [21, 22]. En agosto el mensaje era de «presión» por la menor incidencia respiratoria y el ajuste de canal de KPC; en octubre la dirección reconoce que el sector «ha entrado en una fase de bajo crecimiento» con cierres de farmacias y competencia por el mercado existente, y que KPC «está más afectada por el ajuste del sector» [21]. Lo que vende: margen bruto de 9M26 del 56,0 % (+2,5 puntos), gasto comercial del 27,6 % (−0,3 puntos) pese a Tasly, Tasly con beneficio +12,0 % en 9M26 y KPC que pasa de perder 222 M en el 2T26 a −2 M en el 3T26 [21, 23, 24, 25]. Las preguntas se repiten entre las dos conferencias (CHC por categorías, receta, Tasly, GLP-1/GIP BGM0504 con la solicitud de registro admitida, dividendo, compras). La dirección no da ninguna cifra de guía para 2026 ni para el 4T, no cuantifica la caída de los antigripales y nadie pregunta (o el acta no recoge) por el fondo de comercio de KPC ni por los deterioros de 428 M [21]. Dividendo: «más del 50 % del beneficio anual y subiendo poco a poco»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KPC (昆药集团), 28 % comprado por 2.902 M CNY, consolidado desde enero de 2023: entra en cuenta y balance (ventas de medicina tradicional de 4.087 M en 2023) [3].; 2025: Tasly (天士力), 28 % comprado por 5.990 M CNY de coste de combinación, consolidado desde el 27-mar-2025: nueve meses en la cuenta (5.616 M de ventas) y el balance entero a diciembre; fondo de comercio de 1.939 M [1, 14].).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pasó de caja neta (5.550 M en 2024 con los productos de tesorería) a deuda neta pequeña tras pagar Tasly en efectivo (5.251 M netos en 2025) y ha vuelto a caja neta: la deuda bancaria baja de ≈ 6.160 M a fin de 2025 a ≈ 3.794 M a 30-sep-2026, frente a 7.006 M de caja y tesorería [1, 19]. En 9M26 devolvió 3.464 M de préstamos y pidió 1.091 M [19]. El circulante comercial sigue alto: existencias de 6.365 M y cuentas y efectos a cobrar de 10.259 M frente a proveedores de 3.276 M a 30-sep, un 43 % de las ventas de los últimos doce meses y un 40 % restando los anticipos de clientes (38 % a fin de 2025) [1, 19]. Parte se debe a Tasly y KPC, que venden a hospitales y cobran tarde, y parte al CHC, que llena el canal antes de la gripe. Los minoritarios del balance son 16.140 M, el 42 % de los fondos propios del grupo [19].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12.908</w:t>
      </w:r>
      <w:r>
        <w:t xml:space="preserve">, conversión </w:t>
      </w:r>
      <w:r>
        <w:rPr>
          <w:b/>
          <w:bCs/>
        </w:rPr>
        <w:t xml:space="preserve">91 %</w:t>
      </w:r>
      <w:r>
        <w:t xml:space="preserve"> del beneficio neto; adquisiciones 5.384, dividendos 7.251, recompras 0.</w:t>
      </w:r>
    </w:p>
    <w:p>
      <w:pPr>
        <w:spacing w:after="100"/>
      </w:pPr>
      <w:r>
        <w:t xml:space="preserve">La conversión en caja es buena en los ejercicios cerrados: flujo operativo de 5.513 M en 2025 (1,32 veces el beneficio consolidado) y entre 0,90 y 1,32 veces en 2021-2025 [1, 2, 3, 4, 5]. En 2026 empeora: 2.297 M en 9M26 (−21,5 %), por KPC, que consume 677 M de caja operativa en 9M26, mientras Tasly genera 1.330 M (+52 %) [19, 24, 25]. El capex fue bajo (1.271 M en 2025, el 4,0 % de las ventas; 853 M en 9M26), lejos de los ≈ 2.800 M que la empresa preveía para 2026 [1, 19]. No separa mantenimiento y crecimiento; estimamos el mantenimiento cerca de la amortización del inmovilizado material y los derechos de uso (≈ 1.080 M en 2025, el 3,4 % de las ventas): estimación propia [1]. Usos de la caja de 2021-2025: 8.670 M en compras, 7.252 M de dividendos a sus accionistas y 744 M a minoritarios [1, 2, 3, 4, 5]. En 9M26 la caja libre se fue a devolver deuda (2.373 M netos) [19].</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Huazhen (毕马威华振)</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cuestión clave de auditoría: el deterioro del fondo de comercio (7.557 M brutos, 495 M ya deteriorados)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CAS auditadas por KPMG Huazhen desde 2023 (antes Ernst &amp; Young Hua Ming), con opinión limpia y el fondo de comercio como cuestión clave [1]; el consejo renovó a KPMG para 2026 [26]. Tres puntos a vigilar. Primero, el fondo de comercio y los intangibles: 7.063 M de fondo de comercio y 8.121 M de intangibles y desarrollo a 30-sep frente a 22.625 M de fondos propios atribuidos; 1.129 M son de KPC, que pierde 366 M en 9M26 aunque casi cierra la pérdida en el 3T26, y no se ha deteriorado nada en 2026 [1, 19, 24]. Segundo, la I+D capitalizada: saldo de desarrollo de 2.110 M, y en 9M26 se dieron de baja 139 M de dos proyectos cancelados, la primera señal de que parte de lo capitalizado no vale [19, 20]. Tercero, los deterioros de cuentas a cobrar y existencias suben a 311 M dotados en 9M26, cuando en 9M25 todos los deterioros sumaron 124 M: canal sobrecargado, sobre todo en KPC [19, 20, 24]. No hay pagos en acciones relevantes. Los indicadores del motor deben leerse con los dos cambios de perímetro (2023 y 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KPC (1.129 M) con KPC en pérdidas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pierde 366 M en 9M26 con ventas −42,7 %; el 3T26 queda en −2 M. Un deterioro en el cierre de 2026 sigue siendo posible si la prueba anual usa el plan anterior [19,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capitalizada que se da de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 M de deterioro por dos proyectos cancelados en 9M26; saldo de desarrollo de 2.110 M [19,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cuentas a cobrar y existencias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142 M de cuentas a cobrar y 158 M de existencias dotados en 9M26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Subvenciones y plusvalías financieras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扣非 de 9M26 es 91 M menor que el publicado [19].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7.063 M en 2025 (el 21 % del capital invertido medio); ha subido más de un 5 % en 2 de 4 años: compra única grande. ROIC publicado 14,0 %; sin fondo de comercio, 17,8 %.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11,7 % · </w:t>
      </w:r>
      <w:r>
        <w:rPr>
          <w:b/>
          <w:bCs/>
        </w:rPr>
        <w:t xml:space="preserve">WACC</w:t>
      </w:r>
      <w:r>
        <w:t xml:space="preserve">: 7,8 %.</w:t>
      </w:r>
    </w:p>
    <w:p>
      <w:pPr>
        <w:spacing w:after="100"/>
      </w:pPr>
      <w:r>
        <w:t xml:space="preserve">CR Sanjiu crea valor: ROIC del 14,0 % en 2025 frente a un WACC del 7,76 %, y entre el 17,3 % y el 19,2 % en 2021-2024. El ROIC lo mueve el margen (margen EBIT del 14,7 % en 2025) más que la rotación (0,6-0,7 veces el activo), y cayó en 2025 porque el capital invertido subió de 19.446 M a 28.364 M con Tasly mientras su beneficio solo entraba nueve meses. Sin fondo de comercio el ROIC es del 17,8 %: el negocio de marcas rinde mucho y las compras lo diluyen. El ROIC incremental histórico es del 11,7 %, por encima del WACC pero por debajo del ROIC medio: cada compra rinde menos que el negocio original [1, 14]. En 2026 el ROIC bajará algo más: el beneficio de 9M26 cae un 8,3 % con un capital parecido [19]. Frente a sus comparables (ROIC mediano del 11,7 %) está bien; frente a las marcas puras como Jiangzhong (24,6 %) o Dong-E-E-Jiao (16,9 %), peor [42].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3.185 M + productos de tesorería 3.821 M a 30-sep-2026 (7.006 M), y además 488 M de depósitos a plazo con vencimiento en un año, frente a deuda bancaria de ≈ 3.794 M (corto 807 M, largo 2.799 M y parte corriente del largo) [19]. En el 3T26 devolvió 1.606 M de préstamos a corto. Los 949 M de dividendos por pagar del balance (690,65 M a los accionistas de Sanjiu y el resto a minoritarios de las filiales) se pagaron el 16-oct [12, 19]. El consejo del 23-oct aprobó 9.500 M de líneas bancarias sin garantía con ocho bancos [26].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 una filial registró en septiembre de 2026 un programa de pagarés y bonos en el mercado interbancario)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pensiones de prestación definida relevantes (105 M de prestaciones a largo plazo a empleados a 30-sep) [19]. Los pasivos que importan: el préstamo de compra de Tasly dentro de la deuda bancaria, avales a filiales de KPC y Tasly aprobados para 2026, la cesión de cuentas a cobrar sin recurso a la factoría del grupo China Resources (operación vinculada aprobada en agosto de 2026) y 949 M de dividendos por pagar a 30-sep, ya pagados [1, 6, 19]. Los anticipos de clientes (合同负债) bajan a 937 M (1.783 M a fin de 2025), lo normal antes de la temporada de gripe [19]. Fondo de comercio de 7.063 M sin cambios a 30-sep (1.939 M de Tasly y 1.129 M de KPC): es el pasivo contingente más relevante, como deterioro posible en el cierre anual [1, 19].</w:t>
      </w:r>
    </w:p>
    <w:p>
      <w:pPr>
        <w:pStyle w:val="Heading1"/>
      </w:pPr>
      <w:r>
        <w:t xml:space="preserve">12. Asignación de capital</w:t>
      </w:r>
    </w:p>
    <w:p>
      <w:pPr>
        <w:pStyle w:val="Confianza"/>
        <w:spacing w:after="100"/>
      </w:pPr>
      <w:r>
        <w:t xml:space="preserve">Confianza: Media</w:t>
      </w:r>
    </w:p>
    <w:p>
      <w:pPr>
        <w:spacing w:after="100"/>
      </w:pPr>
      <w:r>
        <w:t xml:space="preserve">Dividendo de más del 50 % del beneficio atribuido en dos pagos (a cuenta en octubre y final en mayo-junio): 1.731 M en 2025 (50,6 %), 0,45 + 0,59 CNY por acción; a cuenta del 1S26 0,415 CNY (690,65 M, el 41,3 % del beneficio del semestre), pagado el 16-oct-2026 [1, 12]. En la conferencia del 3T26 la dirección repite «más del 50 % anual y subiendo poco a poco», con Sanjiu como pagadora y Tasly y KPC reteniendo caja para crecer [21]. Sin recompras. La prioridad declarada para la caja es integrar Tasly y KPC, la I+D (GLP-1/GIP, iPSC) y comprar marcas de CHC y productos de receta [1,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(天士力), 28 % y control (cardiovascular y medicina china moderna: Dantonic/复方丹参滴丸)</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bancario de compra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Tasly −3,1 % en 2025 y −3,8 % en 9M26, pero beneficio +15,6 % y +12,0 % (扣非 +35,0 %); el BPA pro forma de 2024 subía un 7,9 % (2,63 → 2,84), y el de 2025 solo un 1,6 % por KPC y la deuda. Sin deterioros del fondo de comercio [1, 14, 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(昆药集团), 28 % y control (Xuesaitong, medicina tradicional de Yunnan)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Malo hasta hoy: ventas de medicina tradicional de 5.213 M en 2024 a 3.458 M en 2025 (−33,7 %); en 9M26 ventas −42,7 % y pérdida de 366 M, aunque el 3T26 casi se equilibra (−2 M); fondo de comercio de 1.129 M sin deteriorar [1, 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Aonuo (澳诺, calcio y vitaminas infantiles) y otras marcas de CHC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integrada en 999 (fondo de comercio de 926 M sin deterioro); «澳诺钙» segunda marca de minerales [5].</w:t>
            </w:r>
          </w:p>
        </w:tc>
      </w:tr>
    </w:tbl>
    <w:p>
      <w:pPr>
        <w:spacing w:after="160" w:before="0"/>
      </w:pPr>
    </w:p>
    <w:p>
      <w:pPr>
        <w:spacing w:after="100"/>
      </w:pPr>
      <w:r>
        <w:t xml:space="preserve">Asignación de capital mediocre en lo reciente. Entre 2021 y 2025 se gastaron 8.670 M en compras y 7.252 M en dividendos, con un flujo operativo acumulado de 19.000 M [1, 2, 3, 4, 5]. Las dos compras grandes dan control con solo el 28 % del capital: el grupo consolida el 100 % de las ventas pero se queda el 28 % del beneficio, y el 72 % va a minoritarios (745 M en 2025). El precio de Tasly (≈ 23 veces su beneficio de 2024) exige que la integración suba el beneficio de Tasly un 50 % para rendir el WACC sobre lo pagado; KPC, comprada a ≈ 27 veces, ha caído a pérdidas [3, 14]. Dilución nula: las ampliaciones de 2024 y 2025 son liberadas, no cambian el valor.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Qiu Huawei (邱华伟)</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secretario del Partido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carrera en Sanjiu: presidente de la comercializadora, vicepresidente sénior y presidente ejecutivo antes de presidir el consejo; antes, presidente de KPC. Bajo su mandato las ventas se duplicaron con compras y el BPA creció un 66 % de 2021 a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Wenduo (吴文多)</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 (总裁)</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China Resources Double-Crane y Jiangzhong; presidente de KPC y director general de Jiangzhong antes de llegar en septiembre de 2024 [1, 2]. En su etapa las ventas de KPC se desplomaron y Tasly se integró.</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Xing Jian (邢健)</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secretario del consejo; consejero desde 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Jiangzhong y de China Resources Network; propuesto como consejero por el accionista de control en septiembre de 2026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 Yi (麦毅)</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(producción y calidad)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 Sanjiu desde la etapa de Shenzhen Sanjiu: I+D y compras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Wang Liang (王亮)</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con funciones comerciales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«十四五»: duplicar las ventas (de 13.637 M en 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31.603 M en 2025 (×2,3), con KPC y Tasly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encima del crecimiento del sector y beneficio acorde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+14,4 % (con Tasly); beneficio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encima del sector y beneficio que acompañe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ventas −2,6 %, beneficio −8,3 %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carrera del grupo estatal China Resources, que rota directivos entre sus farmacéuticas (Double-Crane, Jiangzhong, KPC, Sanjiu) [1]. Credibilidad media: cumplió el plan de duplicar ventas, pero con compras que diluyen el beneficio por acción frente a lo prometido (pro forma 2,84 CNY en 2024 frente a 2,06 reales en 2025) [14]. La dirección no da guía numérica anual, ni siquiera en la conferencia del 3T26, y en 9M26 el beneficio cae un 8,3 % cuando prometía crecer por encima del sector [1, 21]. Ningún directivo tiene acciones relevantes y el variable depende de la evaluación del grupo estatal. Cambio de CEO en septiembre de 2024 y salida por jubilación de la vicepresidenta jurídica en julio de 2026, sustituida en el consejo por el director financiero [2, 19, 32].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Qiu Huawei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Xiaosong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Shutian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Liang Zhuqiang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Wenduo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Xianfeng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Xing 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 Zhendan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Mengjuan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 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Wang Yi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cuestión clave de auditoría: el deterioro del fondo de comercio (7.557 M brutos, 495 M ya deteriorados)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Resources Pharmaceutical Holdings (华润医药控股; grupo China Resources, SASAC)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(1.052,1 M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HKSCC (inversores de Hong Kong por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+0,13 puntos en el 3T26 (32,2 M acciones); había bajado en el 1S26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Shaoluan (persona física)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el 3T26 (13,57 M acciones, casi todas en cuenta de crédito)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 S&amp;P China A Large Cap Dividend Low Vol 50 ETF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los diez primeros en el 3T26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 Fund CSI 300 Health Care ETF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−0,14 puntos en el 3T26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baja para el tamaño, al estilo de las estatales: el presidente ejecutivo Wu Wenduo cobró 1,67 M CNY en 2025 y el presidente del consejo 3,15 M; el total de consejeros y directivos fue de 16,46 M [1]. La política de 2026 fija un variable anual de al menos el 60 % del salario anual, con una parte diferida y cláusulas de recuperación, pero las métricas son la evaluación anual del grupo estatal, no el ROIC ni el retorno al accionista [35]. No hay plan de acciones vigente (el de 2021 terminó en 2025). Los independientes cobran 0,18 M al año. En la junta de abril de 2026 el informe de remuneración logró un 99,86 % a favor, con un 3,07 % en contra entre los minoritarios [38].</w:t>
      </w:r>
    </w:p>
    <w:p>
      <w:pPr>
        <w:pStyle w:val="Heading2"/>
      </w:pPr>
      <w:r>
        <w:t xml:space="preserve">Operaciones vinculadas, estructura de control y defensas</w:t>
      </w:r>
    </w:p>
    <w:p>
      <w:pPr>
        <w:spacing w:after="100"/>
      </w:pPr>
      <w:r>
        <w:t xml:space="preserve">China Resources Pharmaceutical Holdings controla el 63,22 % y propone a casi todo el consejo; el grupo China Resources depende del SASAC central [6, 33]. Una acción, un voto, sin blindajes. Hay muchas operaciones vinculadas: ventas a la distribuidora del grupo, depósitos en el banco del grupo (Guangdong China Resources Bank), compras de energía, factoring con la sociedad de factoring del grupo (agosto de 2026), todas con límite anual aprobado por los minoritarios [36, 37]. Las dos compras grandes (KPC y Tasly) se hicieron a terceros, no al grupo. El riesgo para el minoritario es que el grupo use a Sanjiu como plataforma de compras de medicina china a precios de mercado más que el expolio directo.</w:t>
      </w:r>
    </w:p>
    <w:p>
      <w:pPr>
        <w:pStyle w:val="Heading2"/>
      </w:pPr>
      <w:r>
        <w:t xml:space="preserve">Señales de alerta</w:t>
      </w:r>
    </w:p>
    <w:p>
      <w:pPr>
        <w:pStyle w:val="ListParagraph"/>
        <w:numPr>
          <w:ilvl w:val="0"/>
          <w:numId w:val="2"/>
        </w:numPr>
        <w:spacing w:after="60"/>
      </w:pPr>
      <w:r>
        <w:t xml:space="preserve">Operaciones vinculadas recurrentes con el grupo China Resources (ventas, banco, factoring) [36, 37].</w:t>
      </w:r>
    </w:p>
    <w:p>
      <w:pPr>
        <w:pStyle w:val="ListParagraph"/>
        <w:numPr>
          <w:ilvl w:val="0"/>
          <w:numId w:val="2"/>
        </w:numPr>
        <w:spacing w:after="60"/>
      </w:pPr>
      <w:r>
        <w:t xml:space="preserve">Rotación en la cúpula: CEO nuevo en septiembre de 2024; un consejero sustituido en diciembre de 2025 [34]; la consejera y vicepresidenta jurídica sale por jubilación (julio de 2026) y entra el director financiero como consejero (junta de septiembre de 2026) [2, 19, 32,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numérica. En el anual 2025 la empresa preveía para 2026 ventas que crecieran «por encima de la media del sector» y un beneficio «acorde», con unos 2.800 M de capex [1]. En la conferencia del 3T26 (24-oct) no dio cifras: habló de un sector «en fase de bajo crecimiento», de la temporada de gripe del 4T y de una política de dividendo de más del 50 % del beneficio [21]. Con 9M26 en −2,6 % de ventas y −8,3 % de beneficio, la guía cualitativa de 2026 no se cumple en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Sinolink, 25-oct-2026 (tras el 3T26)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Sinolink, 25-oct-2026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25-oct-2026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 – 37,20</w:t>
            </w:r>
          </w:p>
        </w:tc>
      </w:tr>
    </w:tbl>
    <w:p>
      <w:pPr>
        <w:spacing w:after="160" w:before="0"/>
      </w:pPr>
    </w:p>
    <w:p>
      <w:pPr>
        <w:pStyle w:val="Heading2"/>
      </w:pPr>
      <w:r>
        <w:t xml:space="preserve">Revisiones de estimaciones</w:t>
      </w:r>
    </w:p>
    <w:p>
      <w:pPr>
        <w:spacing w:after="100"/>
      </w:pPr>
      <w:r>
        <w:t xml:space="preserve">Tras el 1S26 los brókeres recortaron (Sinolink bajó el BPA de 2026e de 2,27 a 2,06; Southwest quedó en 1,92 / 2,31 / 2,44; Orient en 2,26 / 2,48 / 2,76) [15, 16, 30]. Tras el 3T26 Sinolink mantiene 2,06 / 2,31 / 2,57 y «comprar» [23]. La media de Yahoo baja: 2026e de 2,25 hace 90 días a 2,10 hoy y 2027e de 2,44 a 2,30; su objetivo medio pasa de 35,15 CNY (20-oct) a 33,73 [42]. El 21-oct UBS bajó la recomendación a neutral con objetivo de 27 CNY [48]. Tendencia de 3 meses: recortes (lista de notas en Eastmoney [43]). Sinolink es la única nota posterior al 3T26 con cuenta completa; no publica EBITDA, por eso el consenso va con ventas, EBIT y BPA, y el BPA se contrasta con la media de Yahoo.</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cinco años la acción ha rentado un 12,5 % anual con dividendos frente al −1,7 % del CSI 300, porque las compras y la ola de gripe de 2022-2023 la subieron un 40 % al año en 2021 y 2022 [40]. Cotiza un 37,4 % por debajo de su máximo de cinco años y su peor caída fue del 40,4 % (de octubre de 2024 a junio de 2026): −14,6 % en 2025 con el CSI 300 a +20,8 %, por la caída del CHC, la deuda de Tasly y las pérdidas de KPC [6, 40]. En 2026 va algo mejor que el índice (−8,3 % frente a −9,8 %) y peor que el ETF de salud (+1,1 %). Subió nueve sesiones seguidas hasta el 19-oct (26,26 CNY) por la rotación a valores de dividendo con el bono al 1,6 %, y cedió un 5,6 % hasta el 23-oct con la rebaja de UBS; el día de los resultados del 3T26 abrió a la baja y cerró +1,1 % [41, 48, 51]. La beta mensual frente al CSI 300 sale negativa (−0,16) y la semanal de 5 años ajustada es 0,64: es una acción defensiva que se mueve por su propio ciclo [40].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+0,2 % / -8,8 % / -13,8 %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 / +13,0 %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−10,9 % y beneficio atribuido −9,4 %; deterioros de 428 M en 9M26 (139 M de I+D cancelada); KPC casi en equilibrio en el trimestre (−2 M) [19, 20, 24]. Es lo que motiva este informe y ya está en las cifras.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baja a neutral con objetivo de 27 CNY [48]. Antes del 3T26; la acción cedió un 3 % en dos sesiones. Es una opinión, no un hecho pendiente.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Sinolink mantiene «comprar» y su BPA de 2026-2028 (2,06 / 2,31 / 2,57) tras el 3T26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extraordinaria nombra consejero al director financiero (Xing Jian) en lugar de la vicepresidenta jubilada; sin compras ni ventas de directivos en 12 meses [33, 39,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NMPA obliga a cambiar el prospecto de Ganmaoling (advertencia de conducción y contraindicaciones), con plazo hasta el 15-oct-2026 y nueve meses para el producto ya vendido [27]. Afecta a la temporada de gripe 2026-27; está en el bajista.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Pharmaceutical Holdings mantiene el 63,22 % sin cambios ni anuncios de venta; no hay ampliaciones, colocaciones ni convertibles anunciados en 12 meses [19,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5,1 % en un mes y cae un 13,8 % en doce; cotiza un 4,4 % por debajo de su media de 200 sesiones (tendencia bajista, sin aviso P5) y un 13 % por encima del mínimo de 52 semanas [40]. No hay movimientos de más del 15 % en un mes en el último año ni caídas diarias de más del 5 % [40]. Lo que mueve el precio en octubre es la rotación a dividendo, la rebaja de UBS y unos resultados del 3T26 ya descontados (cierre +1,1 % el día siguiente) [41, 48]. No hay hechos pendientes ajenos al análisis (colocación del accionista de control, ampliación, oferta): los próximos resultados son los anuales de marzo de 2027 (estimación propia: el anual de 2025 salió el 21-mar-2026).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Cotiza por debajo de su historia: PER de los últimos 12 meses de 12,9 veces frente a una media de 16,9 veces en cinco años (−24 %) y un EV/EBITDA de 9,2 veces frente a 10,5 (−12 %) [40]. El descuento tiene causas: el beneficio no crece desde 2024 y en 9M26 cae un 8,3 %, KPC pierde dinero y la mitad del grupo ya es receta expuesta a las compras centralizadas, que el mercado valora menos que las marcas de farmacia [19]. Con el PER adelantado en base recurrente (cierre ÷ BPA sin extraordinarios del año siguiente, la misma base que nuestro BPA) la mediana de cinco años es de 16,0 veces y el mínimo de 15,2; hoy cotiza a 12,6 veces nuestro BPA de 2027e [40].</w:t>
      </w:r>
    </w:p>
    <w:p>
      <w:pPr>
        <w:pStyle w:val="Heading1"/>
      </w:pPr>
      <w:r>
        <w:t xml:space="preserve">18. Comparables cotizados</w:t>
      </w:r>
    </w:p>
    <w:p>
      <w:pPr>
        <w:pStyle w:val="Confianza"/>
        <w:spacing w:after="100"/>
      </w:pPr>
      <w:r>
        <w:t xml:space="preserve">Confianza: Media</w:t>
      </w:r>
    </w:p>
    <w:p>
      <w:pPr>
        <w:spacing w:after="100"/>
      </w:pPr>
      <w:r>
        <w:t xml:space="preserve">Nueve farmacéuticas chinas de medicina tradicional y marcas de farmacia cotizadas en Shanghái y Shenzhen, en CNY y con el mismo calendario de consenso (Yahoo, misma fecha) [42]. Fuera Tasly y KPC, que son filiales de Sanjiu (se citan aparte), y las multinacionales de OTC (Haleon, Kenvue), que cotizan en otro mercado con otros tipos de interés.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 Sanjiu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Yunnan Baiyao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Zhangzhou Pien Tze Huang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Beijing Tong Ren Tang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Guangzhou Baiyunshan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Jiangzhong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Shijiazhuang Yiling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Dong-E-E-Jiao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Taiji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Jiangsu Kanion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10,8x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15,1x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spacing w:after="100"/>
      </w:pPr>
      <w:r>
        <w:t xml:space="preserve">CR Sanjiu cotiza a 11,1 veces el beneficio de los próximos 12 meses del consenso, frente a una mediana de 15,1 veces de las nueve comparables, y a 9,2 veces el EBITDA de los últimos 12 meses frente a 10,8 [42]. Parte del descuento se justifica: sus ventas caen en 2026 (−2,6 % en 9M26) y el consenso de los próximos 12 meses (+9,0 %) nos parece optimista; su margen EBIT está muy por debajo de las marcas puras y el 72 % del beneficio de Tasly y KPC es de otros [19]. Pero su ROIC (14,0 %) supera la mediana (11,7 %) y tiene la marca de farmacia más fuerte del país. Los valores implícitos (31,00 CNY por EV/EBITDA y 34,20 por PER, este con el BPA del consenso) quedan por encima del precio; los usamos con un 20 % de peso porque el PER se aplica a un BPA de los analistas un 27 % mayor que el nuestro de 2026e y porque el sector chino cotiza alto frente a su crecimiento.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(天士力), 28 % con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 Sanjiu</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14,85 CNY por acción × 1.494 M acciones (valor del 100 % del capital; Tasly casi sin deuda neta); 23,2 veces el beneficio de 2024 (955,6 M) y 2,61 veces las ventas (8.498 M)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KPC (昆药集团), 28 % con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 Sanjiu (a Huali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2.902 M por el 28 % (valor del 100 % del capital 10.364 M); ventas de KPC de ≈ 8.282 M en 2022 [3, 28].</w:t>
            </w:r>
          </w:p>
        </w:tc>
      </w:tr>
    </w:tbl>
    <w:p>
      <w:pPr>
        <w:spacing w:after="160" w:before="0"/>
      </w:pPr>
    </w:p>
    <w:p>
      <w:pPr>
        <w:spacing w:after="160" w:before="0"/>
      </w:pPr>
    </w:p>
    <w:p>
      <w:pPr>
        <w:spacing w:after="100"/>
      </w:pPr>
      <w:r>
        <w:t xml:space="preserve">Las dos compras de control del sector que conocemos con cifras son las de la propia Sanjiu: Tasly a 23 veces su beneficio y 2,6 veces las ventas, y KPC a 1,25 veces las ventas [3, 14]. Pagaron una prima sobre su cotización por el control con el 28 %. Sanjiu no puede ser objeto de una oferta: el grupo estatal tiene el 63 % y la usa como plataforma de compras.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30.244 M (−4,3 %): 9M26 real (21.410 M, −2,6 %) y un 4T un 8 % por debajo del 4T25, en línea con el 3T26 (−10,9 %) y frente a un 4T25 inflado por la gripe (+22,1 %) [18, 19]. Después, +4,0 % en 2027e y +4,5 % en 2028e-2029e por la recuperación de KPC desde una base hundida (−42,7 % en 9M26) y por Tasly, bajando al 2 % en 2035e. Es menos que el consenso de Sinolink tras el 3T26 (31.653 / 34.555 / 37.508 M: +9,2 % y +8,5 % en 2027-2028e) [23], porque no suponemos que el CHC vuelva a su nivel de 2024 ni un 4T26 al alza.</w:t>
      </w:r>
    </w:p>
    <w:p>
      <w:pPr>
        <w:keepNext/>
        <w:spacing w:after="100"/>
      </w:pPr>
      <w:r>
        <w:rPr>
          <w:b/>
          <w:bCs/>
        </w:rPr>
        <w:t xml:space="preserve">Márgenes.</w:t>
      </w:r>
    </w:p>
    <w:p>
      <w:pPr>
        <w:spacing w:after="100"/>
      </w:pPr>
      <w:r>
        <w:t xml:space="preserve">Margen EBITDA del 19,6 % en 2026e: 9M26 con un margen EBIT del 15,3 % pese a 428 M de deterioros y un 4T con un margen EBIT del 12,5 % (13,4 % en el 4T25) [19]. 20,5 % en 2027e y 21,0 % desde 2028e. En 2021-2025 estuvo entre el 18,6 % y el 19,7 %; la subida viene de la mezcla de Tasly (margen bruto del grupo del 56,0 % en 9M26, +2,5 puntos), de menos deterioros extraordinarios y de que KPC deje de perder [21].</w:t>
      </w:r>
    </w:p>
    <w:p>
      <w:pPr>
        <w:keepNext/>
        <w:spacing w:after="100"/>
      </w:pPr>
      <w:r>
        <w:rPr>
          <w:b/>
          <w:bCs/>
        </w:rPr>
        <w:t xml:space="preserve">Inversión y circulante.</w:t>
      </w:r>
    </w:p>
    <w:p>
      <w:pPr>
        <w:spacing w:after="100"/>
      </w:pPr>
      <w:r>
        <w:t xml:space="preserve">Capex del 4,2 % de las ventas en 2026e (853 M en 9M26, la mitad del ritmo anunciado de ≈ 2.800 M) y del 4,8 % en 2027e-2028e, por si se recupera lo retrasado, bajando al 4,5 % (4,0 % en 2025) [1, 19]. Amortización del 5,1 % al 4,3 % de las ventas: incluye intangibles comprados de Tasly. Circulante comercial a su nivel real, el 39 % de las ventas constante (38,0 % a fin de 2025 y 40,0 % a 30-sep-2026 con la definición del motor, que resta los anticipos de clientes): no suponemos que se libere caja [19].</w:t>
      </w:r>
    </w:p>
    <w:p>
      <w:pPr>
        <w:keepNext/>
        <w:spacing w:after="100"/>
      </w:pPr>
      <w:r>
        <w:rPr>
          <w:b/>
          <w:bCs/>
        </w:rPr>
        <w:t xml:space="preserve">Coste del capital.</w:t>
      </w:r>
    </w:p>
    <w:p>
      <w:pPr>
        <w:spacing w:after="100"/>
      </w:pPr>
      <w:r>
        <w:t xml:space="preserve">Tasa libre del 1,64 % (bono chino a 10 años, 23-oct [44]); beta de 0,85 reapalancada con la deuda propia (D/E de mercado del 9,6 %): media de la sectorial de Damodaran de farmacéuticas de emergentes (0,97 desapalancada → 1,05) y de la propia (semanal de 5 años ajustada 0,64 → 0,66; la mensual frente al CSI 300 sale negativa y no sirve) [40, 55]. Prima de mercado del 5,5 % y prima adicional de 2,0 puntos por China, control estatal y precios regulados. Coste de la deuda del 2,6 % y un 9 % de deuda. WACC del 7,76 %. Con la prima implícita del mercado (4,2 %), el WACC baja al 6,76 % [45].</w:t>
      </w:r>
    </w:p>
    <w:p>
      <w:pPr>
        <w:keepNext/>
        <w:spacing w:after="100"/>
      </w:pPr>
      <w:r>
        <w:rPr>
          <w:b/>
          <w:bCs/>
        </w:rPr>
        <w:t xml:space="preserve">Valor terminal.</w:t>
      </w:r>
    </w:p>
    <w:p>
      <w:pPr>
        <w:spacing w:after="100"/>
      </w:pPr>
      <w:r>
        <w:t xml:space="preserve">Crecimiento terminal del 1,0 %, igual que la inflación china esperada y por debajo de la tasa libre menos medio punto (1,14 %): coherente con un bono al 1,64 %. El valor terminal pesa el 58 % del valor. El múltiplo de salida implícito (9,2 veces el EBITDA) está en línea con el EV/EBITDA actual (9,2) y por debajo de la mediana de los comparables (10,8) [42].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(reinvierte el 42 %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(histórico: 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frente al 2,7 %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(hoy: 1,9 %)</w:t>
            </w:r>
          </w:p>
        </w:tc>
      </w:tr>
    </w:tbl>
    <w:p>
      <w:pPr>
        <w:spacing w:after="160" w:before="0"/>
      </w:pPr>
    </w:p>
    <w:p>
      <w:pPr>
        <w:spacing w:after="100"/>
      </w:pPr>
      <w:r>
        <w:t xml:space="preserve">La proyección apenas necesita inversión neta de la amortización (reinversión acumulada de 3.971 M, el 8 % del NOPAT, con un capex bruto medio del 4,6 % de las ventas). En un negocio de activos ligeros, el crecimiento medio del 2,7 % tiene que salir de subir precios y de ganar volumen sin capital nuevo, y la prueba es el poder de precios y la cuota (2,0 % del mercado en 2030e, frente al 1,9 %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−10,0 %: KPC −42,7 % en 9M26 y menos gripe en el CHC; precio −1 % por compras centralizadas y revisión de precios; otros +6,7 % por el primer trimestre de Tasly, que no estaba en 2025 [19,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KPC sale de la base hundida y temporada de gripe normal; precio +0,5 % con la mezcla de Tasly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 productos nuevos (55 en desarrollo, 7 en registro, BPA del GLP-1/GIP en registro) y Tasly; precio +0,5 %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 por envejecimiento y medicamentos crónicos; precio +0,5 %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+0,5 % [1].</w:t>
            </w:r>
          </w:p>
        </w:tc>
      </w:tr>
    </w:tbl>
    <w:p>
      <w:pPr>
        <w:spacing w:after="160" w:before="0"/>
      </w:pPr>
    </w:p>
    <w:p>
      <w:pPr>
        <w:spacing w:after="100"/>
      </w:pPr>
      <w:r>
        <w:t xml:space="preserve">Las pruebas del motor pasan y su veredicto es «Sí»: crecimiento medio del 2,7 % con poca inversión neta (reinversión neta del 8 % del NOPAT, por debajo del 15 % en que el motor hace la prueba), cuota del 1,9 % al 2,0 %. A mano, con la reinversión bruta (42 % del NOPAT) el ROIC actual financia un 5,9 % anual y la proyección supone un rendimiento del 8,4 % para el capital nuevo, por debajo del incremental histórico (11,7 %): pasa. Aun así el veredicto es «En parte». La marca 999 y la red de farmacias sostienen el nivel de ventas, no el ritmo: proyectamos +4,0-4,5 % al año en 2027-2029 en un mercado que crece un 1,7 % [6], con un 3T26 a −10,9 % y una dirección que habla de «fase de bajo crecimiento» [19, 21]. El poder de precios no está demostrado: la receta va a compras centralizadas y el CHC compite en un canal que cierra farmacias. Un ROIC del 14,0 % frente a un WACC del 7,76 % da margen, pero el incremental baja con cada compra.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7,8 %)</w:t>
            </w:r>
          </w:p>
        </w:tc>
      </w:tr>
    </w:tbl>
    <w:p>
      <w:pPr>
        <w:spacing w:after="160" w:before="0"/>
      </w:pPr>
    </w:p>
    <w:p>
      <w:pPr>
        <w:spacing w:after="100"/>
      </w:pPr>
      <w:r>
        <w:t xml:space="preserve">El DCF da 31,54 CNY por acción (+25,9 %), con el valor terminal en el 58 % del total y un WACC del 7,76 %. El DCF inverso dice que el precio de 25,05 CNY descuenta que las ventas caigan un 0,7 % al año en 2027-2035 (frente al +3,4 % de nuestro caso base) o un margen EBITDA del 18,6 % en vez del 21 %, y ofrece una rentabilidad implícita del 9,0 % anual frente a un WACC del 7,76 %. Es una expectativa conservadora: supone que el CHC y KPC no se recuperan nunca y que la receta se encoge con las compras centralizadas. La historia reciente la apoya en parte (ventas del 2T26 y del 3T26 a −13,5 % y −10,9 % con el perímetro ya comparable), pero el margen aguanta (margen bruto +2,5 puntos en 9M26) y la marca sigue siendo la primera del país. El valor depende mucho del margen y del valor dado a los minoritarios: con los minoritarios a valor contable (16.140 M en vez de 20.430 M, el 72 % de Tasly y el 71,95 % de KPC a su cotización del 26-oct) el valor sube ≈ 2,6 CNY [49].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centralizadas alcanzan a Dantonic y a los inyectables de Shenfu, KPC vuelve a perder y el CHC pierde un 2-3 % al año con el cierre de farmacias: −2 puntos de crecimiento y −1,5 de margen cada año, crecimiento terminal del 0,5 %. Es lo que ya le pasó a KPC en 2025-2026 y al grupo en el 2T26 y el 3T26 [19, 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toca suelo en 2026, el CHC vuelve a crecer al 2-3 % con una gripe normal y Tasly crece al 5 %: ventas +4,0-4,5 % en 2027-2029e y margen EBITDA del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Ola de gripe fuerte, recuperación rápida de KPC y productos nuevos (GLP-1/GIP del socio, antigripales de fórmulas clásicas): +1,5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CNY) · precio actual 25,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30,89 CNY (+23,3 %).</w:t>
      </w:r>
    </w:p>
    <w:p>
      <w:pPr>
        <w:spacing w:after="100"/>
      </w:pPr>
      <w:r>
        <w:t xml:space="preserve">La asimetría del DCF es favorable: el bajista vale 23,37 CNY (−6,7 %) y el alcista 37,10 (+48,1 %), una asimetría de 7,18 veces. El bajista pierde poco porque el precio ya descuenta ventas en caída. A 12 meses el riesgo es mayor: con un PER de 11,1 veces y un BPA de 1,87 CNY en 2028e, el precio sería 20,76 CNY (−13,1 % sin dividendo). Compensa a largo plazo; a un año, depende de que el BPA de 2028e no baje de 2,0 CNY.</w:t>
      </w:r>
    </w:p>
    <w:p>
      <w:pPr>
        <w:pStyle w:val="Heading1"/>
      </w:pPr>
      <w:r>
        <w:t xml:space="preserve">22. Suma de partes</w:t>
      </w:r>
    </w:p>
    <w:p>
      <w:pPr>
        <w:pStyle w:val="Confianza"/>
        <w:spacing w:after="100"/>
      </w:pPr>
      <w:r>
        <w:t xml:space="preserve">Confianza: Media</w:t>
      </w:r>
    </w:p>
    <w:p>
      <w:pPr>
        <w:spacing w:after="100"/>
      </w:pPr>
      <w:r>
        <w:t xml:space="preserve">No aplica: los tres negocios (CHC, receta y distribución) se gestionan y cotizan juntos dentro del grupo; Tasly y KPC cotizan aparte y se reflejan con sus minoritarios a valor de mercado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CNY) · precio actual 25,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31,88 CNY (+27,3 % sobre 25,05).</w:t>
      </w:r>
    </w:p>
    <w:p>
      <w:pPr>
        <w:spacing w:after="100"/>
      </w:pPr>
      <w:r>
        <w:t xml:space="preserve">Pesamos el DCF al 50 %, los escenarios al 30 % y los comparables al 20 %. El DCF es el método más fiable porque recoge la estructura de minoritarios (72 % de Tasly y KPC) y el circulante alto; los comparables chinos cotizan a 15 veces beneficio con más crecimiento y sin esa estructura, y el PER se aplica al BPA del consenso, por eso dan valores mayores (31,00-34,20 CNY). Transacciones con peso cero: solo las dos compras de la propia Sanjiu, con prima de control. La dispersión es moderada: todos los métodos salvo el bajista dan más que el precio, y el bajista del DCF (23,37) pierde un 6,7 %. El valor objetivo es 31,88 CNY (+27,3 %).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(12.6x) × 1.1 (tope: la mediana de 5 años, 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bl>
    <w:p>
      <w:pPr>
        <w:spacing w:after="160" w:before="0"/>
      </w:pPr>
    </w:p>
    <w:p>
      <w:pPr>
        <w:spacing w:after="100"/>
      </w:pPr>
      <w:r>
        <w:rPr>
          <w:b/>
          <w:bCs/>
        </w:rPr>
        <w:t xml:space="preserve">Objetivo a 12 meses (ponderado):</w:t>
      </w:r>
      <w:r>
        <w:t xml:space="preserve"> 29,72 CNY · rentabilidad +22,7 % (base +22,8 %) · señal Comprar.</w:t>
      </w:r>
    </w:p>
    <w:p>
      <w:pPr>
        <w:spacing w:after="100"/>
      </w:pPr>
      <w:r>
        <w:t xml:space="preserve">Para comparar, con la regla v2 (historia al cierre, mismo precio): 10,7x / 12,6x / 16,4x, 16,1 % Mantener; con el tope anterior del base (×1,3, 14-oct mediodía): 24,5 %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(1,99 CNY) y 2028e (2,14) queda un 14 % y un 17 % por debajo de Sinolink tras el 3T26 (2,31 y 2,57) [23], y el de 2026e (1,78) un 14 % por debajo de Sinolink (2,06) y un 15 % de la media de Yahoo (2,10) [42]. Unos 2 puntos de la distancia son de base (nuestro BPA es recurrente; Sinolink parte del publicado); el resto es de ventas: proyectamos 31.453 M en 2027e frente a 34.555 M, porque no suponemos un 4T26 al alza ni que el CHC vuelva a crecer a doble dígito. Nuestro precio base (29,75 CNY) queda un 11,8 % por debajo del objetivo medio de 10 analistas (33,73) y por encima del de UBS (27) [42, 48]. Lo mantenemos: las ventas caen dos trimestres seguidos con el perímetro comparable y los recortes de la calle van en nuestra dirección.</w:t>
      </w:r>
    </w:p>
    <w:p>
      <w:pPr>
        <w:keepNext/>
        <w:spacing w:after="100"/>
      </w:pPr>
      <w:r>
        <w:rPr>
          <w:b/>
          <w:bCs/>
        </w:rPr>
        <w:t xml:space="preserve">Del valor intrínseco al objetivo a 12 meses.</w:t>
      </w:r>
    </w:p>
    <w:p>
      <w:pPr>
        <w:spacing w:after="100"/>
      </w:pPr>
      <w:r>
        <w:t xml:space="preserve">El objetivo a 12 meses (29,72 CNY, ponderado) queda un 7 % por debajo del valor intrínseco (31,88 CNY): la distancia es pequeña. La rentabilidad a 12 meses sale de tres cosas: el crecimiento de nuestro BPA de 1,99 a 2,14 CNY, un PER que pasa de 12,6 a 13,9 veces (el tope de la regla) y el dividendo (≈ 4 %). Cerrar la distancia exige ver en 2027 que KPC deja de perder y que el CHC vuelve a crecer tras la gripe; los resultados anuales (marzo de 2027; el de 2025 salió el 21-mar [56]) y el 1T27 (abril) son los catalizadores con fecha.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2026-27 con el nuevo prospecto de Ganmaoling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y el 1T son la mitad del beneficio del CHC; una ola fuerte (como el 4T25, ventas del grupo +22,1 %) lo mueve ±10 %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lista nacional de reembolso y lotes de compras centralizadas de medicina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los productos de receta de Tasly y KPC; Xuesaitong de KPC ya está en la lista de medicamentos básicos de 2026 y en dic-2025 otro producto entró por primera vez en la lista de reembolso [21,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2026 y prueba de deterioro del fondo de comercio de KPC (1.129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total restaría ≈ 0,68 CNY de BPA contable de una vez (no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primer trimestre con KPC comparando contra una base hundida (−48 % en el 1T26)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crecimiento vuelve; nuestro caso base necesita +4 % en 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del GLP-1/GIP BGM0504 para obesidad (solicitud admitida por la CDE) y de CMI1808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productos de receta para 2027-2028; pequeños en ventas al principio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final de 2026 (≈ 0,50-0,55 CNY con el 50 % de nuestro BPA)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 4 %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tráfico en farmacias y caída estructural del CHC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sobre el valor base (escenario bajista: −2 puntos de crecimiento al año y −1,5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online creciendo deprisa y marca líder; categorías de vitaminas y piel al alza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4T26 por debajo de 8.400 M (−13 %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y control de precios en la receta (Tasly, KPC, inyectables de medicina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(−1,5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CHC (sin receta) queda fuera de las compras; Tasly tiene productos exclusivos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Dantonic o Shenfu incluidos en un lote con rebaja &gt;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KPC no toca suelo: pérdidas en 2027 y deterioro de su fondo de comercio y marcas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(pérdida de KPC de 400 M más en 2027e: −0,07 CNY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28 % de la pérdida es de Sanjiu; el 3T26 casi se equilibró (−2 M)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vuelve a perder más de 100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prospecto de Ganmaoling (no conducir, no beber) que reste demanda en la temporada 2026-27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(−10 % de ventas de Ganmaoling, ≈ 2.000 M en farmacia)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 todos los fabricantes de Ganmaoling; no prohíbe la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4T26 por debajo del 4T24 más Tasly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de I+D capitalizada y de circulante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se dieron de baja 139 M en 9M26; el saldo de desarrollo (2.110 M) es sobre todo de Tasly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cancelaciones de proyectos en el anual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Tasly y rendimiento de lo pagado (6.212 M a 23 veces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sube beneficio un 12,0 % en 9M26 (扣非 +35,0 %)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Tasly de 2026 por debajo de 1.300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Operaciones vinculadas y uso de Sanjiu como plataforma de compras del grupo estatal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los minoritarios en las operaciones vinculadas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un activo del propio grupo China Resources a múltiplo alto</w:t>
            </w:r>
          </w:p>
        </w:tc>
      </w:tr>
    </w:tbl>
    <w:p>
      <w:pPr>
        <w:spacing w:after="160" w:before="0"/>
      </w:pPr>
    </w:p>
    <w:p>
      <w:pPr>
        <w:pStyle w:val="Heading2"/>
      </w:pPr>
      <w:r>
        <w:t xml:space="preserve">Pre-mortem</w:t>
      </w:r>
    </w:p>
    <w:p>
      <w:pPr>
        <w:spacing w:after="100"/>
      </w:pPr>
      <w:r>
        <w:t xml:space="preserve">Octubre de 2029: la acción ha perdido un 40 %, a 15 CNY. La historia más probable empieza en el CHC: el cierre de farmacias que la dirección ya describía en octubre de 2026 siguió, el nuevo prospecto de Ganmaoling restó demanda y dos inviernos de gripe flojos dejaron las ventas del CHC un 15 % por debajo de 2025. KPC no se recuperó tras el ajuste de canal: en 2027 el grupo deterioró su fondo de comercio (1.129 M) y sus marcas. Las compras centralizadas de medicina china de 2027 incluyeron Dantonic con rebajas del 40 % y Tasly pasó de ganar 1.400 M a 900 M. El BPA recurrente cayó de 1,88 a 1,50 CNY y el mercado lo pagó a 10 veces. Indicadores que lo habrían anticipado: las ventas del 4T26 frente al 4T25 sin gripe, el resultado de las listas de compras de diciembre de 2026 y los trimestres de KPC de 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+2 %</w:t>
      </w:r>
    </w:p>
    <w:p>
      <w:pPr>
        <w:spacing w:after="100"/>
      </w:pPr>
      <w:r>
        <w:t xml:space="preserve">El riesgo de IA es bajo. CR Sanjiu vende medicamentos físicos con marca y registro sanitario: la IA no sustituye un antigripal ni un medicamento para el corazón, y el canal (farmacias y hospitales) no se desintermedia por ella. Toca el lado del coste y de la I+D: la empresa usa IA en la fábrica (planta inteligente de Tasly) y en el descubrimiento de medicamentos, y su plan 2026-2030 incluye la digitalización con IA (智数化) [1, 21]. El riesgo indirecto es que los asistentes de IA en las plataformas de venta online recomienden genéricos más baratos que una marca: vigilarlo con la cuota de 999 en la venta online. Señal: ventas online del CHC creciendo menos que el mercado online (≈ 30 %).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la calidad y la seguridad de los medicamentos (el nuevo prospecto de Ganmaoling nace de la vigilancia de reacciones adversas) y el cumplimiento en la promoción médica, que el regulador persigue desde 2023 [1, 27]. En medio ambiente, la empresa declara emisiones dentro de límites y sin sanciones en el 1S26, con plantas solares en varias fábricas [6]. Informe de sostenibilidad y ESG de 2025 publicado con el anual [1].</w:t>
      </w:r>
    </w:p>
    <w:p>
      <w:pPr>
        <w:pStyle w:val="Heading2"/>
      </w:pPr>
      <w:r>
        <w:t xml:space="preserve">Controversias</w:t>
      </w:r>
    </w:p>
    <w:p>
      <w:pPr>
        <w:spacing w:after="100"/>
      </w:pPr>
      <w:r>
        <w:t xml:space="preserve">No encontramos sanciones relevantes a CR Sanjiu en tres años en los informes anuales y anuncios de CNINFO. La controversia de 2026 es el nuevo prospecto de Ganmaoling (NMPA, 20-jul-2026), que la prensa presentó como «no se puede tomar a la ligera» [27].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espera la dirección del 4T26 frente a un 4T25 con ola de gripe (+22,1 %), y cómo están los pedidos de antigripales con el nuevo prospecto?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2026e supone un 4T −8 %; el consenso de Sinolink, ≈ +6 %. Es la mayor diferencia con la calle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3T26 de KPC (−2 M) es el suelo o un trimestre con efectos puntuales? ¿Qué dice la prueba de deterioro de su fondo de comercio?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pierde 366 M en 9M26; el fondo de comercio es de 1.129 M [24].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cae el CHC sin KPC en 9M26 y cuánto de la caída es gripe frente a cierre de farmacias?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desglosa el 3T26 por negocio; la caída del resto del grupo es ≈ −8 %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dispararon los deterioros de cuentas a cobrar y existencias (311 M dotados en 9M26) y en qué filiales?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de 124 M a 428 M en total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productos de Tasly y KPC entran en lotes de compras centralizadas en 2026-2027 y con qué rebaja?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las ventas ya es receta.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capex de 2026 va a la mitad de lo anunciado (853 M en 9M26 frente a ≈ 2.800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retraso (más capex en 2027) o recorte de planes [1,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¿Subirá el grupo su participación en Tasly o KPC por encima del 28 %?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72 % del beneficio de las filiales es de minoritarios; comprarlos puede crear o destruir valor según el precio.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000999, tras 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Decepción con el 3T26 («ventas y beneficio a la baja, las dos alas aún no enganchan»), críticas a KPC y a la gestión de la integración; una minoría lo ve como «malas noticias ya descontadas» y compra para el 4T de gripe [51,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semana de la rebaja de UBS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 UBS a neutral (27 CNY) y la caída desde 26,26 CNY reavivan el pesimismo: muchos esperan otro tramo bajista de dos meses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semana del dividendo y del rebote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sesiones al alza hasta superar la media de 250 sesiones; alivio de quienes compraron a 28-30 CNY y valoración del dividendo frente al bono al 1,6 %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(Jiemian)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prospecto de Ganmaoling («no se puede tomar a la ligera»)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KPC y Tasly: ¿compras que lastran?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con KPC (−366 M en 9M26, 1.129 M de fondo de comercio), pero exageran con Tasly, cuyo beneficio sube un 12,0 % en 9M26 [24, 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refugio defensivo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 4,0 % (1,01 CNY en los últimos doce meses) con el bono a 10 años al 1,64 % [12,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Temporada de gripe del 4T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4T25 creció un 22,1 % con la gripe; repetirlo es difícil y el nuevo prospecto de Ganmaoling resta [18,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«el beneficio solo cae por las provisiones»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parte cierto: el 扣非 del 3T26 cae un 3,9 % y el EBIT del trimestre sube del 10,0 % al 11,0 % de las ventas, pero las ventas caen un 10,9 % [19].</w:t>
            </w:r>
          </w:p>
        </w:tc>
      </w:tr>
    </w:tbl>
    <w:p>
      <w:pPr>
        <w:spacing w:after="160" w:before="0"/>
      </w:pPr>
    </w:p>
    <w:p>
      <w:pPr>
        <w:spacing w:after="100"/>
      </w:pPr>
      <w:r>
        <w:t xml:space="preserve">El sentimiento del particular empeora con la rebaja de UBS y el 3T26: pasa del alivio por el rebote y el dividendo a la decepción con las ventas y KPC [51, 52, 53]. No es capitulación (no hay ventas en pánico; el día de los resultados la acción cerró al alza) ni euforia. Lo que preocupa (KPC, la integración) es lo mismo que señala el informe; lo que gusta (dividendo frente al bono) es real. Contrasta con el consenso de analistas, que sigue en «comprar» con objetivo medio de 33,73 CNY, pero se alinea con UBS. No aporta cifras nuevas.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57 (32 primarias); citas distintas en el texto: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2,0 % en 2030e frente al 1,9 %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39,0 % frente a 38,0 % real: genera una variación de circulante de -204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16,1 %: para comprar o ampliar hace falta motivo de negocio propio; para mantener basta la vigente. Explicación: La regla v2 (historia al cierre) da 16,1 % ponderada pero 11,7 % en el base, por debajo del 12 %: no hay compra robusta, y con un BPA un 10 % peor la v3 tampoco pasa. La acción robusta es Mantener. Se dice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31,3 %, asimetría de 7,18, bajista del -6,7 % y el precio descuenta 4,1 puntos menos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(32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de segmentos (la empresa da ventas, coste y margen bruto por producto, no resultado de explotación); 2) informe semestral 2026; 3) notas de Sinolink y Southwest (solo margen bruto)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bruto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préstamos del semestral 2026 (solo corto, largo y parte corriente); 2) anuncio del préstamo de compra de Tasly (sin calendario); 3)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3T26 (no publica amortizaciones trimestrales); 2) acta de la conferencia del 24-oct (sin cifras de EBITDA); 3) nota de Sinolink del 3T26 (solo EBIT anual estimado)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EBITDA LTM usa la amortización de los doce meses a jun-26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2024-2025 (solo cuotas de producto); 2) informes de Menet y 中康 citados por la empresa (sin cuota conjunta);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de la empresa; 2) página de MSCI ESG Ratings (no abre sin JavaScript); 3) búsqueda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CNINFO de 12 meses (sin compras ni ventas de directivos); 2) informe semestral 2026 (variación de acciones de directivos: ninguna); 3) base de Eastmoney de operaciones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(no hubo operaciones; no hemos podido confirmar en el registro de SZSE)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 3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compra de Tasly (su tabla de comparables es de cotizadas, no de transacciones) [14]; 2) anuarios de compras del sector (Yunnan Baiyao, Jiangzhong) en prensa; 3) compras de marcas de CHC de Sanjiu (precio sin beneficio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dos con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SZSE (préstamo de valores, sin dato de posición corta neta); 2) Eastmoney (solo saldo de financiación: 844 M); 3) Yahoo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normas chinas CAS): estados consolidados 2025 y 2024, ventas por producto y región (con el criterio nuevo y el anterior), fondo de comercio, compra de Tasly, minoritarios por filial, I+D,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http://static.cninfo.com.cn/finalpage/2026-03-21/1225023101.PDF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CAS): estados 2024 y 2023, segmentos CHC, receta y medicina tradicional (KPC), cambios en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http://static.cninfo.com.cn/finalpage/2025-03-13/1222778310.PDF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CAS): estados 2023 y 2022, compra del 28 % de KPC (2.902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http://static.cninfo.com.cn/finalpage/2024-03-23/1219390439.PDF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CAS): estados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http://static.cninfo.com.cn/finalpage/2023-03-29/1216247003.PDF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CAS): estados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http://static.cninfo.com.cn/finalpage/2022-03-26/1212687881.PDF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a 30-jun-2026, cuenta y flujos del 1S26, ventas por producto, Tasly y KPC, deuda por tipo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http://static.cninfo.com.cn/finalpage/2026-08-22/1225492182.PDF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 CAS): cuenta y flujos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http://static.cninfo.com.cn/finalpage/2025-08-16/1224498660.PDF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http://static.cninfo.com.cn/finalpage/2026-04-25/1225178865.PDF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2025年三季度报告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http://static.cninfo.com.cn/finalpage/2025-10-25/1224733660.PDF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estructurados de 000999 (利润表, 资产负债表, 现金流量表) 2018-3T26: copia de los CAS usada para no transcribir a mano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https://emweb.securities.eastmoney.com/PC_HSF10/NewFinanceAnalysis/Index?code=SZ000999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repartos de 000999 (dividendos y ampliaciones liberadas de 3 por 10 en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(datos de los anuncios de reparto)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https://data.eastmoney.com/yjfp/detail/000999.html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2026年半年度权益分派实施公告 (dividendo a cuenta del 1S26: 0,415 CNY por acción, 690,65 M, fecha ex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http://static.cninfo.com.cn/finalpage/2026-10-09/1225598051.PDF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关于2025年度计提各项资产减值准备的公告 (deterioros de 2025: 338 M dotados, 184 M revertidos)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http://static.cninfo.com.cn/finalpage/2026-03-21/1225023112.PDF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重大资产购买报告书（草案）（修订稿） (compra del 28 % de Tasly: 14,85 CNY por acción, 6.211,8 M; ventas y beneficio de Tasly 2023-2024; cuentas pro forma)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http://static.cninfo.com.cn/finalpage/2025-03-18/1222822415.PDF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1S26: «内生稳健，期待并购成效释放» (2T26, CHC y receta por separado,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https://pdf.dfcfw.com/pdf/H3_AP202608241828349107_1.pdf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1S26: «上半年利润承压» (supuestos por negocio y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Southwest Securities (西南证券),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https://pdf.dfcfw.com/pdf/H3_AP202609011828846588_1.pdf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2026年半年度业绩快报 (avance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http://static.cninfo.com.cn/finalpage/2026-07-15/1225424829.PDF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2025: «业绩表现韧性十足» (CHC con el criterio anterior, KPC y Tasly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https://pdf.dfcfw.com/pdf/H3_AP202603221820687960_1.pdf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2026年第三季度报告 (informe del 3T26, CAS, sin auditar): cuenta y flujos de 9M26, balance a 30-sep-2026,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http://static.cninfo.com.cn/finalpage/2026-10-24/1225619287.PDF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关于2026年前三季度计提各项资产减值准备的公告 (deterioros de 9M26: 450,1 M dotados, 22,3 M revertidos; 139,0 M por dos proyectos de I+D cancelados, QBH196 y TSL-1502)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http://static.cninfo.com.cn/finalpage/2026-10-24/1225619290.PDF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2026年10月24日投资者关系活动记录表 (conferencia de resultados del 3T26 con once brókeres: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http://static.cninfo.com.cn/finalpage/2026-10-25/1225621931.PDF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2026年8月23日投资者关系活动记录表 (conferencia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http://static.cninfo.com.cn/finalpage/2026-08-23/1225493951.PDF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del 3T26: «短期承压，静待旺季修复与并购整合成效» (Tasly y KPC en el 3T26; previsiones 2026-2028 sin cambios: BPA 2,06 / 2,31 / 2,57)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https://pdf.dfcfw.com/pdf/H3_AP202610251830892335_1.pdf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昆药集团2026年第三季度报告 (KPC: ventas 3T26 1.079 M, −22,9 %; beneficio −2,0 M; 9M26 −365,9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KPC Pharmaceuticals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http://static.cninfo.com.cn/finalpage/2026-10-24/1225620019.PDF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天士力2026年第三季度报告 (Tasly: ventas 3T26 1.873 M, −7,4 %; beneficio 209,9 M, +0,1 %; 9M26 1.102,6 M, +12,0 %)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Tasly Pharmaceutical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http://static.cninfo.com.cn/finalpage/2026-10-24/1225618771.PDF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董事会2026年第十次会议决议公告 (aprobación del 3T26, de los deterioros y de líneas de crédito bancario por 9.500 M sin garantía)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http://static.cninfo.com.cn/finalpage/2026-10-24/1225619289.PDF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«“国民感冒药”感冒灵不能随便吃了» (NMPA, anuncio n.º 66 de 2026: nuevo prospecto de Ganmaoling; ventas de 999 Ganmaoling en farmacias urbanas &gt; 2.000 M en 2025, 米内网)</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 (界面新闻)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https://www.jiemian.com/article/14844540.html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«华润三九营收...» (CHC presionado por farmacias y control del gasto sanitario; KPC con ventas del 1T26 −48 % y pérdidas)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Star (证券之星)</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https://stock.stockstar.com/SS2026072200022973.shtml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(ventas, EBIT, beneficio 2025) de Yunnan Baiyao, Pien Tze Huang, Tong Ren Tang, Baiyunshan, Jiangzhong, Yiling, Dong-E-E-Jiao, Tasly y KPC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https://finance.yahoo.com/quote/000538.SZ/financials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Orient Securities sobre el 1S26 (CHC −23,3 % «sobre todo por el ajuste de KPC»; objetivo 37,20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Orient Securities (东方证券),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https://m.gelonghui.com/news/5305913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2026年半年报 (蓝鲸新闻): KPC pierde ≈ 370 M en el 1S26; receta +42,1 %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Lanjing (蓝鲸财经)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https://www.lanjinger.com/d/1787320763170450820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关于董事、高级管理人员离任的公告 (dimisión por jubilación de la consejera y vicepresidenta Zhou Hui, 147.593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http://static.cninfo.com.cn/finalpage/2026-07-15/1225424830.PDF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董事会2026年第九次会议决议公告 (el accionista de control propone a Xing Jian, director financiero,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http://static.cninfo.com.cn/finalpage/2026-09-02/1225541165.PDF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关于变更董事的公告 (Cui Xingpin dimite; Huang Xianfeng consejero por los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http://static.cninfo.com.cn/finalpage/2025-12-27/1224901483.PDF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关于2026年度董事、高级管理人员薪酬方案的公告 (variable ≥ 60 % de la retribución anual, con diferimiento)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http://static.cninfo.com.cn/finalpage/2026-06-09/1225357642.PDF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2026年度日常关联交易预计金额的公告 (límites de operaciones con el grupo China Resources)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http://static.cninfo.com.cn/finalpage/2025-12-10/1224861970.PDF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关于子公司与华润商业保理开展应收账款保理业务暨关联交易的公告 (factoring con la sociedad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http://static.cninfo.com.cn/finalpage/2026-08-22/1225492186.PDF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2025年年度股东会决议公告 (resultados de las votaciones de la junta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http://static.cninfo.com.cn/finalpage/2026-04-17/1225111465.PDF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2026年第二次临时股东会决议公告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http://static.cninfo.com.cn/finalpage/2026-09-11/1225558080.PDF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000999.SZ, 510300.SS (CSI 300) y 512010.SS (CSI 300 salud) con `herramientas/bolsa.mjs`: precio, rango, volatilidad, betas y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https://finance.yahoo.com/quote/000999.SZ/history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000999 (cierre del 26-oct-2026: 25,05 CNY, 15:35:30 de Pekín; cierre anterior 24,78)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https://hq.sinajs.cn/list=sz000999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Yahoo Finance (earningsTrend: BPA 2026e 2,10 y 2027e 2,30, hace 90 días 2,25 y 2,44; objetivo medio de 10 analistas: 33,73 CNY) y fichas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https://finance.yahoo.com/quote/000999.SZ/analysis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informes de analistas de 000999 en 2026 (Sinolink 22-mar, 24-ago y 25-oct; Southwest 1-sep)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bonos del Estado chino (中债国债收益率曲线), 10 años: 1,64 %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https://yield.chinabond.com.cn/cbweb-mn/yield_main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SZSE Securities / China Connect Securities (comprables y vendibles): 000999, CCASS 70999, actualizada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Connect en IBKR (acceso de particulares a acciones A de Shanghái y Shenzhen)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(base de conocimiento)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https://ibkb.interactivebrokers.com/article/2267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«UBS将华润三九评级下调至中性 目标价27元人民币» (UBS baja a neutral con objetivo de 27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Cailian Press (财联社), reproducido en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https://guba.eastmoney.com/news,000999,1785492047.html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de Tasly (600535: 13,95 CNY) y KPC (600422: 8,95 CNY) al cierre del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https://hq.sinajs.cn/list=sh600535,sh600422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Anuncios de 000999 en CNINFO de los últimos 12 meses (resultados, consejo, juntas, repartos; sin colocaciones, ampliaciones ni operaciones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http://www.cninfo.com.cn/new/disclosure/stock?stockCode=000999&amp;orgId=gssz0000999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000999 en Guba (股吧), página 1 (≈ 100 mensajes del 23 al 26 de octubre de 2026, tras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https://guba.eastmoney.com/list,000999.html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000999 en Guba, página 2 (≈ 100 mensajes del 19 al 23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https://guba.eastmoney.com/list,000999_2.html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000999 en Guba, página 3 (≈ 100 mensajes del 13 al 19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https://guba.eastmoney.com/list,000999_3.html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de Guba «这合并两个中药公司是收购了个累赘吗？» (crítica a las compras de KPC y Tasly tras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https://guba.eastmoney.com/news,000999,1786734428.html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por sector de mercados emergentes (betaemerg.xls, actualización de enero de 2026): Drugs (Pharmaceutical), 753 empresas, beta desapalancada 0,97 (1,05 corregida por caja), D/E 10,6 %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https://pages.stern.nyu.edu/~adamodar/pc/datasets/betaemerg.xls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publicación de resultados (预约披露): el anual de 2025 se publicó el 21-mar-2026; el de 2026 aún no tiene fecha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(calendario de 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https://data.eastmoney.com/bbsj/yysj.html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关于公司产品通过谈判首次纳入国家医保目录的公告 (producto incluido por primera vez en la lista nacional de reembolso)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http://static.cninfo.com.cn/finalpage/2025-12-09/1224857271.PDF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gobierno</w:t>
      </w:r>
      <w:r>
        <w:t xml:space="preserve"> · Generado el 26 oct 2026.</w:t>
      </w:r>
    </w:p>
    <w:p>
      <w:pPr>
        <w:pStyle w:val="Nota"/>
        <w:spacing w:after="100"/>
      </w:pPr>
      <w:r>
        <w:t xml:space="preserve">Línea cotizada: acción A de Shenzhen (000999), en CNY; no tiene acciones H ni ADR; se compra desde el extranjero por el Stock Connect (Shenzhen-Hong Kong, lista de HKEX del 23-oct-2026, CCASS 70999; IBKR da acceso a particulares) [46, 47]. Cuentas en normas chinas (CAS) de los informes de CNINFO, leídas de la copia estructurada de Eastmoney y cotejadas con los PDF (el 3T26, cifra a cifra). No hay XBRL público de las cuentas chinas. Perímetro: KPC desde 2023 y Tasly desde el 27-mar-2025 (nueve meses en 2025): 2025 y 2026 no son comparables con los años anteriores; el 3T26 sí lo es con el 3T25. BPA, DPA y precios de cierre de 2018-2023 llevados a la base de acciones de hoy (ampliaciones liberadas de 3 por 10 en 2024 y 2025). La historia del PER usa el BPA recurrente (扣非), que es la base de nuestro BPA de escenarios. La empresa no publica resultado por segmento ni transcripciones; usamos las actas de las conferencias y las notas de los brókeres. La amortización del LTM a sep-26 es la de los doce meses a jun-26 (los trimestrales no la publican). Minoritarios del puente a valor de mercado de Tasly y KPC (20.430 M frente a 16.140 M contables). Precio: cierre del 26-oct-2026 (25,05 CNY, Sina 15:35:30 de Pekín; Yahoo igual).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China Resources Sanjiu Medical &amp; Pharmaceutical Co., Ltd. (000999)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25,05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(21,60 – 30,65)</c:v>
                </c:pt>
                <c:pt idx="1">
                  <c:v>Precio objetivo de los analistas (27,00 – 37,20)</c:v>
                </c:pt>
                <c:pt idx="2">
                  <c:v>Comparables: PER NTM (33,75 – 43,48)</c:v>
                </c:pt>
                <c:pt idx="3">
                  <c:v>DCF (WACC y g ± 0,5) (27,14 – 37,42)</c:v>
                </c:pt>
                <c:pt idx="4">
                  <c:v>Escenarios (bajista – alcista) (23,37 – 37,10)</c:v>
                </c:pt>
                <c:pt idx="5">
                  <c:v>DCF con la prima implícita del mercado (4,2 %)</c:v>
                </c:pt>
                <c:pt idx="6">
                  <c:v>Precio actual (25,05)</c:v>
                </c:pt>
              </c:strCache>
            </c:strRef>
          </c:cat>
          <c:val>
            <c:numRef>
              <c:f>Hoja1!$B$2:$B$8</c:f>
              <c:numCache>
                <c:formatCode>#,##0.0</c:formatCode>
                <c:ptCount val="7"/>
                <c:pt idx="0">
                  <c:v>21.6</c:v>
                </c:pt>
                <c:pt idx="1">
                  <c:v>27</c:v>
                </c:pt>
                <c:pt idx="2">
                  <c:v>33.75</c:v>
                </c:pt>
                <c:pt idx="3">
                  <c:v>27.14</c:v>
                </c:pt>
                <c:pt idx="4">
                  <c:v>23.37</c:v>
                </c:pt>
                <c:pt idx="5">
                  <c:v>34.98</c:v>
                </c:pt>
                <c:pt idx="6">
                  <c:v>24.92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(21,60 – 30,65)</c:v>
                </c:pt>
                <c:pt idx="1">
                  <c:v>Precio objetivo de los analistas (27,00 – 37,20)</c:v>
                </c:pt>
                <c:pt idx="2">
                  <c:v>Comparables: PER NTM (33,75 – 43,48)</c:v>
                </c:pt>
                <c:pt idx="3">
                  <c:v>DCF (WACC y g ± 0,5) (27,14 – 37,42)</c:v>
                </c:pt>
                <c:pt idx="4">
                  <c:v>Escenarios (bajista – alcista) (23,37 – 37,10)</c:v>
                </c:pt>
                <c:pt idx="5">
                  <c:v>DCF con la prima implícita del mercado (4,2 %)</c:v>
                </c:pt>
                <c:pt idx="6">
                  <c:v>Precio actual (25,05)</c:v>
                </c:pt>
              </c:strCache>
            </c:strRef>
          </c:cat>
          <c:val>
            <c:numRef>
              <c:f>Hoja1!$C$2:$C$8</c:f>
              <c:numCache>
                <c:formatCode>#,##0.0</c:formatCode>
                <c:ptCount val="7"/>
                <c:pt idx="0">
                  <c:v>9.049999999999997</c:v>
                </c:pt>
                <c:pt idx="1">
                  <c:v>10.200000000000003</c:v>
                </c:pt>
                <c:pt idx="2">
                  <c:v>9.729999999999997</c:v>
                </c:pt>
                <c:pt idx="3">
                  <c:v>10.280000000000001</c:v>
                </c:pt>
                <c:pt idx="4">
                  <c:v>13.73</c:v>
                </c:pt>
                <c:pt idx="5">
                  <c:v>8.780000000000001</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CHC (sin receta y salud de consumo)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17707.66</c:v>
                </c:pt>
                <c:pt idx="1">
                  <c:v>15110.57</c:v>
                </c:pt>
              </c:numCache>
            </c:numRef>
          </c:val>
        </c:ser>
        <c:ser>
          <c:idx val="1"/>
          <c:order val="1"/>
          <c:tx>
            <c:strRef>
              <c:f>Hoja1!$C$1</c:f>
              <c:strCache>
                <c:ptCount val="1"/>
                <c:pt idx="0">
                  <c:v>Medicamentos con receta (incluye Tasly y la medicina tradicional de KPC)</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6005.7</c:v>
                </c:pt>
                <c:pt idx="1">
                  <c:v>12094.04</c:v>
                </c:pt>
              </c:numCache>
            </c:numRef>
          </c:val>
        </c:ser>
        <c:ser>
          <c:idx val="2"/>
          <c:order val="2"/>
          <c:tx>
            <c:strRef>
              <c:f>Hoja1!$D$1</c:f>
              <c:strCache>
                <c:ptCount val="1"/>
                <c:pt idx="0">
                  <c:v>Distribución y farmacias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3372.54</c:v>
                </c:pt>
                <c:pt idx="1">
                  <c:v>3897.4</c:v>
                </c:pt>
              </c:numCache>
            </c:numRef>
          </c:val>
        </c:ser>
        <c:ser>
          <c:idx val="3"/>
          <c:order val="3"/>
          <c:tx>
            <c:strRef>
              <c:f>Hoja1!$E$1</c:f>
              <c:strCache>
                <c:ptCount val="1"/>
                <c:pt idx="0">
                  <c:v>Envases e impresión y otros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530.71</c:v>
                </c:pt>
                <c:pt idx="1">
                  <c:v>500.57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CHC (sin receta y salud de consumo)</c:v>
                </c:pt>
                <c:pt idx="1">
                  <c:v>Medicamentos con receta (incluye Tasly y la medicina tradicional de KPC)</c:v>
                </c:pt>
                <c:pt idx="2">
                  <c:v>Distribución y farmacias</c:v>
                </c:pt>
                <c:pt idx="3">
                  <c:v>Envases e impresión y otros</c:v>
                </c:pt>
              </c:strCache>
            </c:strRef>
          </c:cat>
          <c:val>
            <c:numRef>
              <c:f>Hoja1!$B$2:$B$5</c:f>
              <c:numCache>
                <c:formatCode>General</c:formatCode>
                <c:ptCount val="4"/>
                <c:pt idx="0">
                  <c:v>47.8</c:v>
                </c:pt>
                <c:pt idx="1">
                  <c:v>38.3</c:v>
                </c:pt>
                <c:pt idx="2">
                  <c:v>12.3</c:v>
                </c:pt>
                <c:pt idx="3">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Oeste de China</c:v>
                </c:pt>
                <c:pt idx="1">
                  <c:v>Este de China</c:v>
                </c:pt>
                <c:pt idx="2">
                  <c:v>Sur de China</c:v>
                </c:pt>
                <c:pt idx="3">
                  <c:v>Norte de China</c:v>
                </c:pt>
                <c:pt idx="4">
                  <c:v>Exterior</c:v>
                </c:pt>
              </c:strCache>
            </c:strRef>
          </c:cat>
          <c:val>
            <c:numRef>
              <c:f>Hoja1!$B$2:$B$6</c:f>
              <c:numCache>
                <c:formatCode>0"%"</c:formatCode>
                <c:ptCount val="5"/>
                <c:pt idx="0">
                  <c:v>28.93</c:v>
                </c:pt>
                <c:pt idx="1">
                  <c:v>27.44</c:v>
                </c:pt>
                <c:pt idx="2">
                  <c:v>22.85</c:v>
                </c:pt>
                <c:pt idx="3">
                  <c:v>19.64</c:v>
                </c:pt>
                <c:pt idx="4">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CNY (estimación propia: 2025 anualizado; 2026e −1,3 %; después 1,7 % anual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1680000</c:v>
                </c:pt>
                <c:pt idx="1">
                  <c:v>1658000</c:v>
                </c:pt>
                <c:pt idx="2">
                  <c:v>1686000</c:v>
                </c:pt>
                <c:pt idx="3">
                  <c:v>1715000</c:v>
                </c:pt>
                <c:pt idx="4">
                  <c:v>1744000</c:v>
                </c:pt>
                <c:pt idx="5">
                  <c:v>1774000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CR Sanjiu</c:v>
                </c:pt>
                <c:pt idx="1">
                  <c:v>Yunnan Baiyao</c:v>
                </c:pt>
                <c:pt idx="2">
                  <c:v>Guangzhou Baiyunshan</c:v>
                </c:pt>
                <c:pt idx="3">
                  <c:v>Beijing Tong Ren Tang</c:v>
                </c:pt>
                <c:pt idx="4">
                  <c:v>Shijiazhuang Yiling</c:v>
                </c:pt>
                <c:pt idx="5">
                  <c:v>Jiangzhong Pharmaceutical</c:v>
                </c:pt>
                <c:pt idx="6">
                  <c:v>Zhangzhou Pien Tze Huang</c:v>
                </c:pt>
                <c:pt idx="7">
                  <c:v>Dong-E-E-Jiao</c:v>
                </c:pt>
              </c:strCache>
            </c:strRef>
          </c:cat>
          <c:val>
            <c:numRef>
              <c:f>Hoja1!$B$2:$B$9</c:f>
              <c:numCache>
                <c:formatCode>0.0"%"</c:formatCode>
                <c:ptCount val="8"/>
                <c:pt idx="0">
                  <c:v>14.7</c:v>
                </c:pt>
                <c:pt idx="1">
                  <c:v>14.7</c:v>
                </c:pt>
                <c:pt idx="2">
                  <c:v>5.3</c:v>
                </c:pt>
                <c:pt idx="3">
                  <c:v>12.5</c:v>
                </c:pt>
                <c:pt idx="4">
                  <c:v>20.3</c:v>
                </c:pt>
                <c:pt idx="5">
                  <c:v>28.8</c:v>
                </c:pt>
                <c:pt idx="6">
                  <c:v>28.5</c:v>
                </c:pt>
                <c:pt idx="7">
                  <c:v>30.8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15544.4</c:v>
                </c:pt>
                <c:pt idx="1">
                  <c:v>18079.46</c:v>
                </c:pt>
                <c:pt idx="2">
                  <c:v>24738.96</c:v>
                </c:pt>
                <c:pt idx="3">
                  <c:v>27616.61</c:v>
                </c:pt>
                <c:pt idx="4">
                  <c:v>31602.58</c:v>
                </c:pt>
                <c:pt idx="5">
                  <c:v>30244</c:v>
                </c:pt>
                <c:pt idx="6">
                  <c:v>31453</c:v>
                </c:pt>
                <c:pt idx="7">
                  <c:v>32869</c:v>
                </c:pt>
                <c:pt idx="8">
                  <c:v>34348</c:v>
                </c:pt>
                <c:pt idx="9">
                  <c:v>35722</c:v>
                </c:pt>
                <c:pt idx="10">
                  <c:v>36972</c:v>
                </c:pt>
                <c:pt idx="11">
                  <c:v>38081</c:v>
                </c:pt>
                <c:pt idx="12">
                  <c:v>39224</c:v>
                </c:pt>
                <c:pt idx="13">
                  <c:v>40204</c:v>
                </c:pt>
                <c:pt idx="14">
                  <c:v>41008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2891.89</c:v>
                </c:pt>
                <c:pt idx="1">
                  <c:v>3493.15</c:v>
                </c:pt>
                <c:pt idx="2">
                  <c:v>4594.37</c:v>
                </c:pt>
                <c:pt idx="3">
                  <c:v>5429.17</c:v>
                </c:pt>
                <c:pt idx="4">
                  <c:v>6070.69</c:v>
                </c:pt>
                <c:pt idx="5">
                  <c:v>5928</c:v>
                </c:pt>
                <c:pt idx="6">
                  <c:v>6448</c:v>
                </c:pt>
                <c:pt idx="7">
                  <c:v>6902</c:v>
                </c:pt>
                <c:pt idx="8">
                  <c:v>7213</c:v>
                </c:pt>
                <c:pt idx="9">
                  <c:v>7502</c:v>
                </c:pt>
                <c:pt idx="10">
                  <c:v>7764</c:v>
                </c:pt>
                <c:pt idx="11">
                  <c:v>7997</c:v>
                </c:pt>
                <c:pt idx="12">
                  <c:v>8237</c:v>
                </c:pt>
                <c:pt idx="13">
                  <c:v>8443</c:v>
                </c:pt>
                <c:pt idx="14">
                  <c:v>8612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57.8</c:v>
                </c:pt>
                <c:pt idx="1">
                  <c:v>52.9</c:v>
                </c:pt>
                <c:pt idx="2">
                  <c:v>52.1</c:v>
                </c:pt>
                <c:pt idx="3">
                  <c:v>50.8</c:v>
                </c:pt>
                <c:pt idx="4">
                  <c:v>52.8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19.3</c:v>
                </c:pt>
                <c:pt idx="2">
                  <c:v>18.6</c:v>
                </c:pt>
                <c:pt idx="3">
                  <c:v>19.7</c:v>
                </c:pt>
                <c:pt idx="4">
                  <c:v>19.2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15.2</c:v>
                </c:pt>
                <c:pt idx="1">
                  <c:v>16.2</c:v>
                </c:pt>
                <c:pt idx="2">
                  <c:v>15.1</c:v>
                </c:pt>
                <c:pt idx="3">
                  <c:v>16.4</c:v>
                </c:pt>
                <c:pt idx="4">
                  <c:v>14.7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13.2</c:v>
                </c:pt>
                <c:pt idx="1">
                  <c:v>13.5</c:v>
                </c:pt>
                <c:pt idx="2">
                  <c:v>11.5</c:v>
                </c:pt>
                <c:pt idx="3">
                  <c:v>12.2</c:v>
                </c:pt>
                <c:pt idx="4">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28.5</c:v>
                </c:pt>
                <c:pt idx="1">
                  <c:v>-6</c:v>
                </c:pt>
                <c:pt idx="2">
                  <c:v>16.8</c:v>
                </c:pt>
                <c:pt idx="3">
                  <c:v>27.4</c:v>
                </c:pt>
                <c:pt idx="4">
                  <c:v>22.1</c:v>
                </c:pt>
                <c:pt idx="5">
                  <c:v>18.6</c:v>
                </c:pt>
                <c:pt idx="6">
                  <c:v>-13.5</c:v>
                </c:pt>
                <c:pt idx="7">
                  <c:v>-10.9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127</c:v>
                </c:pt>
                <c:pt idx="1">
                  <c:v>114</c:v>
                </c:pt>
                <c:pt idx="2">
                  <c:v>117</c:v>
                </c:pt>
                <c:pt idx="3">
                  <c:v>117</c:v>
                </c:pt>
                <c:pt idx="4">
                  <c:v>126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132</c:v>
                </c:pt>
                <c:pt idx="1">
                  <c:v>107</c:v>
                </c:pt>
                <c:pt idx="2">
                  <c:v>158</c:v>
                </c:pt>
                <c:pt idx="3">
                  <c:v>132</c:v>
                </c:pt>
                <c:pt idx="4">
                  <c:v>153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77</c:v>
                </c:pt>
                <c:pt idx="2">
                  <c:v>95</c:v>
                </c:pt>
                <c:pt idx="3">
                  <c:v>85</c:v>
                </c:pt>
                <c:pt idx="4">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749.6500000000001</c:v>
                </c:pt>
                <c:pt idx="1">
                  <c:v>1931.86</c:v>
                </c:pt>
                <c:pt idx="2">
                  <c:v>3217.0899999999997</c:v>
                </c:pt>
                <c:pt idx="3">
                  <c:v>3506.6099999999997</c:v>
                </c:pt>
                <c:pt idx="4">
                  <c:v>3502.69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2055.1</c:v>
                </c:pt>
                <c:pt idx="1">
                  <c:v>2448.8</c:v>
                </c:pt>
                <c:pt idx="2">
                  <c:v>2852.93</c:v>
                </c:pt>
                <c:pt idx="3">
                  <c:v>3367.89</c:v>
                </c:pt>
                <c:pt idx="4">
                  <c:v>3421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17.3</c:v>
                </c:pt>
                <c:pt idx="1">
                  <c:v>18.6</c:v>
                </c:pt>
                <c:pt idx="2">
                  <c:v>18.7</c:v>
                </c:pt>
                <c:pt idx="3">
                  <c:v>19.2</c:v>
                </c:pt>
                <c:pt idx="4">
                  <c:v>14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7.8</c:v>
                </c:pt>
                <c:pt idx="1">
                  <c:v>7.8</c:v>
                </c:pt>
                <c:pt idx="2">
                  <c:v>7.8</c:v>
                </c:pt>
                <c:pt idx="3">
                  <c:v>7.8</c:v>
                </c:pt>
                <c:pt idx="4">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13.4</c:v>
                </c:pt>
                <c:pt idx="1">
                  <c:v>15.2</c:v>
                </c:pt>
                <c:pt idx="2">
                  <c:v>15.9</c:v>
                </c:pt>
                <c:pt idx="3">
                  <c:v>17.3</c:v>
                </c:pt>
                <c:pt idx="4">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c:v>
                </c:pt>
                <c:pt idx="1">
                  <c:v>-0.79</c:v>
                </c:pt>
                <c:pt idx="2">
                  <c:v>-1.14</c:v>
                </c:pt>
                <c:pt idx="3">
                  <c:v>-0.99</c:v>
                </c:pt>
                <c:pt idx="4">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120.63</c:v>
                </c:pt>
                <c:pt idx="1">
                  <c:v>11.76</c:v>
                </c:pt>
                <c:pt idx="2">
                  <c:v>0.05</c:v>
                </c:pt>
                <c:pt idx="3">
                  <c:v>0</c:v>
                </c:pt>
                <c:pt idx="4">
                  <c:v>5251.06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538.51</c:v>
                </c:pt>
                <c:pt idx="1">
                  <c:v>900.02</c:v>
                </c:pt>
                <c:pt idx="2">
                  <c:v>1184.35</c:v>
                </c:pt>
                <c:pt idx="3">
                  <c:v>2960.01</c:v>
                </c:pt>
                <c:pt idx="4">
                  <c:v>1668.6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4</c:v>
                </c:pt>
                <c:pt idx="1">
                  <c:v>3</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China Resources Pharmaceutical Holdings (华润医药控股; grupo China Resources, SASAC)</c:v>
                </c:pt>
                <c:pt idx="1">
                  <c:v>HKSCC (inversores de Hong Kong por Stock Connect)</c:v>
                </c:pt>
                <c:pt idx="2">
                  <c:v>Liu Shaoluan (persona física)</c:v>
                </c:pt>
                <c:pt idx="3">
                  <c:v>Southern S&amp;P China A Large Cap Dividend Low Vol 50 ETF</c:v>
                </c:pt>
                <c:pt idx="4">
                  <c:v>E Fund CSI 300 Health Care ETF</c:v>
                </c:pt>
              </c:strCache>
            </c:strRef>
          </c:cat>
          <c:val>
            <c:numRef>
              <c:f>Hoja1!$B$2:$B$6</c:f>
              <c:numCache>
                <c:formatCode>0.0"%"</c:formatCode>
                <c:ptCount val="5"/>
                <c:pt idx="0">
                  <c:v>63.22</c:v>
                </c:pt>
                <c:pt idx="1">
                  <c:v>1.94</c:v>
                </c:pt>
                <c:pt idx="2">
                  <c:v>0.82</c:v>
                </c:pt>
                <c:pt idx="3">
                  <c:v>0.55</c:v>
                </c:pt>
                <c:pt idx="4">
                  <c:v>0.51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-8.9</c:v>
                </c:pt>
                <c:pt idx="1">
                  <c:v>10.6</c:v>
                </c:pt>
                <c:pt idx="2">
                  <c:v>-7.1</c:v>
                </c:pt>
                <c:pt idx="3">
                  <c:v>29.2</c:v>
                </c:pt>
                <c:pt idx="4">
                  <c:v>-20.2</c:v>
                </c:pt>
                <c:pt idx="5">
                  <c:v>40</c:v>
                </c:pt>
                <c:pt idx="6">
                  <c:v>39.8</c:v>
                </c:pt>
                <c:pt idx="7">
                  <c:v>8</c:v>
                </c:pt>
                <c:pt idx="8">
                  <c:v>22.4</c:v>
                </c:pt>
                <c:pt idx="9">
                  <c:v>-14.6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23.4</c:v>
                </c:pt>
                <c:pt idx="2">
                  <c:v>-24.2</c:v>
                </c:pt>
                <c:pt idx="3">
                  <c:v>38.6</c:v>
                </c:pt>
                <c:pt idx="4">
                  <c:v>29.1</c:v>
                </c:pt>
                <c:pt idx="5">
                  <c:v>-4</c:v>
                </c:pt>
                <c:pt idx="6">
                  <c:v>-20.1</c:v>
                </c:pt>
                <c:pt idx="7">
                  <c:v>-9.8</c:v>
                </c:pt>
                <c:pt idx="8">
                  <c:v>17.4</c:v>
                </c:pt>
                <c:pt idx="9">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10.3</c:v>
                </c:pt>
                <c:pt idx="1">
                  <c:v>12.6</c:v>
                </c:pt>
                <c:pt idx="2">
                  <c:v>10.7</c:v>
                </c:pt>
                <c:pt idx="3">
                  <c:v>10.5</c:v>
                </c:pt>
                <c:pt idx="4">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10.5</c:v>
                </c:pt>
                <c:pt idx="1">
                  <c:v>10.5</c:v>
                </c:pt>
                <c:pt idx="2">
                  <c:v>10.5</c:v>
                </c:pt>
                <c:pt idx="3">
                  <c:v>10.5</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4094</c:v>
                </c:pt>
                <c:pt idx="1">
                  <c:v>3632</c:v>
                </c:pt>
                <c:pt idx="2">
                  <c:v>3868</c:v>
                </c:pt>
                <c:pt idx="3">
                  <c:v>4070</c:v>
                </c:pt>
                <c:pt idx="4">
                  <c:v>4327</c:v>
                </c:pt>
                <c:pt idx="5">
                  <c:v>4576</c:v>
                </c:pt>
                <c:pt idx="6">
                  <c:v>4776</c:v>
                </c:pt>
                <c:pt idx="7">
                  <c:v>4913</c:v>
                </c:pt>
                <c:pt idx="8">
                  <c:v>5110</c:v>
                </c:pt>
                <c:pt idx="9">
                  <c:v>5289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29171</c:v>
                </c:pt>
                <c:pt idx="1">
                  <c:v>39780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25,05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23.37</c:v>
                </c:pt>
                <c:pt idx="1">
                  <c:v>31.54</c:v>
                </c:pt>
                <c:pt idx="2">
                  <c:v>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25,05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(21,60 – 30,65)</c:v>
                </c:pt>
                <c:pt idx="1">
                  <c:v>Precio objetivo de los analistas (27,00 – 37,20)</c:v>
                </c:pt>
                <c:pt idx="2">
                  <c:v>Comparables: PER NTM (33,75 – 43,48)</c:v>
                </c:pt>
                <c:pt idx="3">
                  <c:v>DCF (WACC y g ± 0,5) (27,14 – 37,42)</c:v>
                </c:pt>
                <c:pt idx="4">
                  <c:v>Escenarios (bajista – alcista) (23,37 – 37,10)</c:v>
                </c:pt>
                <c:pt idx="5">
                  <c:v>DCF con la prima implícita del mercado (4,2 %)</c:v>
                </c:pt>
                <c:pt idx="6">
                  <c:v>Precio actual (25,05)</c:v>
                </c:pt>
              </c:strCache>
            </c:strRef>
          </c:cat>
          <c:val>
            <c:numRef>
              <c:f>Hoja1!$B$2:$B$8</c:f>
              <c:numCache>
                <c:formatCode>#,##0.0</c:formatCode>
                <c:ptCount val="7"/>
                <c:pt idx="0">
                  <c:v>21.6</c:v>
                </c:pt>
                <c:pt idx="1">
                  <c:v>27</c:v>
                </c:pt>
                <c:pt idx="2">
                  <c:v>33.75</c:v>
                </c:pt>
                <c:pt idx="3">
                  <c:v>27.14</c:v>
                </c:pt>
                <c:pt idx="4">
                  <c:v>23.37</c:v>
                </c:pt>
                <c:pt idx="5">
                  <c:v>34.98</c:v>
                </c:pt>
                <c:pt idx="6">
                  <c:v>24.92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(21,60 – 30,65)</c:v>
                </c:pt>
                <c:pt idx="1">
                  <c:v>Precio objetivo de los analistas (27,00 – 37,20)</c:v>
                </c:pt>
                <c:pt idx="2">
                  <c:v>Comparables: PER NTM (33,75 – 43,48)</c:v>
                </c:pt>
                <c:pt idx="3">
                  <c:v>DCF (WACC y g ± 0,5) (27,14 – 37,42)</c:v>
                </c:pt>
                <c:pt idx="4">
                  <c:v>Escenarios (bajista – alcista) (23,37 – 37,10)</c:v>
                </c:pt>
                <c:pt idx="5">
                  <c:v>DCF con la prima implícita del mercado (4,2 %)</c:v>
                </c:pt>
                <c:pt idx="6">
                  <c:v>Precio actual (25,05)</c:v>
                </c:pt>
              </c:strCache>
            </c:strRef>
          </c:cat>
          <c:val>
            <c:numRef>
              <c:f>Hoja1!$C$2:$C$8</c:f>
              <c:numCache>
                <c:formatCode>#,##0.0</c:formatCode>
                <c:ptCount val="7"/>
                <c:pt idx="0">
                  <c:v>9.049999999999997</c:v>
                </c:pt>
                <c:pt idx="1">
                  <c:v>10.200000000000003</c:v>
                </c:pt>
                <c:pt idx="2">
                  <c:v>9.729999999999997</c:v>
                </c:pt>
                <c:pt idx="3">
                  <c:v>10.280000000000001</c:v>
                </c:pt>
                <c:pt idx="4">
                  <c:v>13.73</c:v>
                </c:pt>
                <c:pt idx="5">
                  <c:v>8.780000000000001</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