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Canadian Pacific Kansas City Limited</w:t>
      </w:r>
    </w:p>
    <w:p>
      <w:pPr>
        <w:spacing w:after="60"/>
        <w:rPr>
          <w:color w:val="52514E"/>
          <w:sz w:val="22"/>
          <w:szCs w:val="22"/>
        </w:rPr>
      </w:pPr>
      <w:r>
        <w:rPr>
          <w:color w:val="52514E"/>
          <w:sz w:val="22"/>
          <w:szCs w:val="22"/>
        </w:rPr>
        <w:t xml:space="preserve">CP · Bolsa de Toronto (TSX: CP) y NYSE (CP) · ISIN CA13646K1084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CAD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122,70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133,17 CAD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+9,3 % (base +14,5 %)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101,19 CAD · mercado 115,01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107.951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Canadian Pacific Kansas City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CP / CA13646K1084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Toronto (TSX: CP) y NYSE (CP)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terrestre (ferrocarril)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Calgary (Alberta) · 1881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https://www.cpkcr.com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122,70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96,50 – 133,38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107.951 M CAD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133.551 M CAD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CAD/día en Toronto (3 meses), más la negociación en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133,17 CAD</w:t>
      </w:r>
      <w:r>
        <w:t xml:space="preserve"> frente a 122,70 · Rentabilidad a 12 meses </w:t>
      </w:r>
      <w:r>
        <w:rPr>
          <w:b/>
          <w:bCs/>
        </w:rPr>
        <w:t xml:space="preserve">+9,3 % (base +14,5 %)</w:t>
      </w:r>
      <w:r>
        <w:t xml:space="preserve"> · Valor intrínseco 101,19 CAD · con la prima implícita del mercado: 115,01 (-6,3 %) · Alcista / bajista -4,9 % / -52,4 %</w:t>
      </w:r>
    </w:p>
    <w:p>
      <w:pPr>
        <w:spacing w:after="100"/>
      </w:pPr>
      <w:r>
        <w:rPr>
          <w:b/>
        </w:rPr>
        <w:t xml:space="preserve">La recomendación y por qué.</w:t>
      </w:r>
      <w:r>
        <w:t xml:space="preserve"> Mantener, con convicción media. El objetivo a 12 meses es 133,17 CAD (nuestro BPA normalizado de 2028e por el PER de la regla común, ponderado 25/50/25), una rentabilidad del 9,3 % con dividendo y del 14,5 % en el caso base, frente a un precio de 122,70 CAD (86,13 USD en Nueva York). El valor intrínseco, 101,19 CAD, queda un 17,5 % por debajo del precio, y el objetivo medio de los analistas (139,74) coincide con nuestro base. La razón: CPKC es un activo único que crecerá a doble dígito, pero el precio ya paga ese crecimiento y el capital invertido no rinde aún su coste. La convicción es media porque las dos reglas dan lo mismo y lejos de los umbrales; subiría con un 3T26 (28-oct) por encima de 1,35 CAD de BPA core y bajaría con uno por debajo de 1,25.</w:t>
      </w:r>
    </w:p>
    <w:p>
      <w:pPr>
        <w:spacing w:after="100"/>
      </w:pPr>
      <w:r>
        <w:rPr>
          <w:b/>
        </w:rPr>
        <w:t xml:space="preserve">El negocio.</w:t>
      </w:r>
      <w:r>
        <w:t xml:space="preserve"> Única red de Canadá, EE. UU. y México, con un foso amplio (vía que no se replica, cargadores cautivos) y el ratio operativo core más bajo de su historia (59,9 % en 2025) [1]. Pero la compra de Kansas City Southern dejó 18.436 M de fondo de comercio: el ROIC publicado es del 6,0 % frente a un WACC del 8,02 %, 2 puntos por debajo; sin fondo de comercio ni intangibles sería del 8,6 %. Veredicto de calidad: No. La sostenibilidad del crecimiento es «En parte»: el precio (+3 %) lo sostiene el foso, pero el volumen depende de sinergias y de un T-MEC en revisión anual.</w:t>
      </w:r>
    </w:p>
    <w:p>
      <w:pPr>
        <w:spacing w:after="100"/>
      </w:pPr>
      <w:r>
        <w:rPr>
          <w:b/>
        </w:rPr>
        <w:t xml:space="preserve">Sector y ciclo.</w:t>
      </w:r>
      <w:r>
        <w:t xml:space="preserve"> El transporte ferroviario sale de dos años de volumen plano; el diésel caro y una cosecha récord ayudan en 2026. Dos cambios estructurales: la fusión Union Pacific-Norfolk Southern (decisión del STB en 2027) y el acuerdo UP-CN, que dan a CN acceso a México por Memphis [10, 20].</w:t>
      </w:r>
    </w:p>
    <w:p>
      <w:pPr>
        <w:spacing w:after="100"/>
      </w:pPr>
      <w:r>
        <w:rPr>
          <w:b/>
        </w:rPr>
        <w:t xml:space="preserve">Finanzas.</w:t>
      </w:r>
      <w:r>
        <w:t xml:space="preserve"> Ingresos de 15.078 M en 2025 (+4 %) y BPA core de 4,61 (+8 %, por debajo de la guía del 12-18 %) [1, 12]. En el primer semestre de 2026, BPA core +5,5 %; la guía «low double-digit» exige un segundo semestre +15 %. La caja va a recompras (3.942 M en 2025) con deuda: deuda neta ajustada de 3,2 veces el EBITDA, con rating BBB+ positivo [5].</w:t>
      </w:r>
    </w:p>
    <w:p>
      <w:pPr>
        <w:spacing w:after="100"/>
      </w:pPr>
      <w:r>
        <w:rPr>
          <w:b/>
        </w:rPr>
        <w:t xml:space="preserve">Equipo y gobierno.</w:t>
      </w:r>
      <w:r>
        <w:t xml:space="preserve"> Equipo ferroviario estable desde 2017, consejo con el 92 % de independientes y sin accionista de control (TCI, 6,19 %) [24]. Resta la dependencia de Keith Creel, sin sucesor público, y una retribución de 25,66 M CAD.</w:t>
      </w:r>
    </w:p>
    <w:p>
      <w:pPr>
        <w:spacing w:after="100"/>
      </w:pPr>
      <w:r>
        <w:rPr>
          <w:b/>
        </w:rPr>
        <w:t xml:space="preserve">Valoración.</w:t>
      </w:r>
      <w:r>
        <w:t xml:space="preserve"> El DCF da 98,50 CAD (WACC 8,02 %); con la prima de riesgo del mercado, 118,85. El DCF inverso pide un crecimiento del 6,9 % anual en 2027-2035 o un margen EBITDA del 61 %, frente al 4,5 % y el 53 % de nuestro base: es exigente. Por comparables valdría 110-116 CAD (PER de 20,7 veces de mediana). Discrepamos del mercado en el coste de capital, no en el BPA del próximo año.</w:t>
      </w:r>
    </w:p>
    <w:p>
      <w:pPr>
        <w:spacing w:after="100"/>
      </w:pPr>
      <w:r>
        <w:rPr>
          <w:b/>
        </w:rPr>
        <w:t xml:space="preserve">Riesgos y catalizadores.</w:t>
      </w:r>
      <w:r>
        <w:t xml:space="preserve"> La fusión UP-NS sin remedios (−10 %), los aranceles y el T-MEC (−15 %) y una recesión industrial (bajista a 12 meses de 100,23, −17,5 %). El riesgo de que la IA se coma el negocio es bajo: la vía y el granel pesado no se sustituyen y la IA abarata la operación; el riesgo real es el camión autónomo frente al intermodal (18 % de los ingresos), a más de cinco años. Catalizadores: resultados del 28-oct-2026 y guía de 2027 a finales de enero. En los foros el tono es dividido: «buen activo, precio justo».</w:t>
      </w:r>
    </w:p>
    <w:p>
      <w:pPr>
        <w:spacing w:after="100"/>
      </w:pPr>
      <w:r>
        <w:rPr>
          <w:b/>
        </w:rPr>
        <w:t xml:space="preserve">Qué cambiaría la decisión.</w:t>
      </w:r>
      <w:r>
        <w:t xml:space="preserve"> Compraríamos por debajo de 101,19 CAD y venderíamos por encima de 149,03. Un BPA core de 2026 por debajo de 4,95 o una aprobación de UP-NS sin condiciones nos llevaría a recortar el base.</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Media · Horizonte: 12 meses · Objetivo a 12 meses: </w:t>
      </w:r>
      <w:r>
        <w:rPr>
          <w:b/>
          <w:bCs/>
        </w:rPr>
        <w:t xml:space="preserve">133,17 CAD</w:t>
      </w:r>
      <w:r>
        <w:t xml:space="preserve"> (rentabilidad +9,3 % (base +14,5 %)) · Valor intrínseco: 101,19 CAD (-17,5 % sobre 122,70) · con la prima implícita del mercado: 115,01 (-6,3 %)</w:t>
      </w:r>
    </w:p>
    <w:p>
      <w:pPr>
        <w:spacing w:after="100"/>
      </w:pPr>
      <w:r>
        <w:t xml:space="preserve">CPKC es la única red ferroviaria que une Canadá, Estados Unidos y México: 20.000 millas, 15.078 M CAD de ingresos en 2025, un ratio operativo core récord del 59,9 % y unas sinergias de la compra de Kansas City Southern de 1.400-1.500 M USD de ritmo anual, por encima del plan [1, 10]. El foso es amplio: nadie construye una vía nueva y la red de tres países no se replica.</w:t>
      </w:r>
    </w:p>
    <w:p>
      <w:pPr>
        <w:spacing w:after="100"/>
      </w:pPr>
      <w:r>
        <w:t xml:space="preserve">El precio, 122,70 CAD, descuenta mucho: 23,6 veces nuestro BPA normalizado de 2027 y, en el DCF inverso, un crecimiento del 6,9 % anual en 2027-2035 o un margen EBITDA del 61 %, frente al 4,5 % y el 53 % de nuestro caso base. La rentabilidad implícita (6,9 %) está por debajo de nuestro WACC (8,02 %).</w:t>
      </w:r>
    </w:p>
    <w:p>
      <w:pPr>
        <w:spacing w:after="100"/>
      </w:pPr>
      <w:r>
        <w:t xml:space="preserve">El mercado acierta en la calidad del activo y paga por ella; se equivoca, a nuestro juicio, en el retorno del capital: el ROIC publicado (6,0 %) no cubre el coste de capital por la prima pagada por KCS, y lo hará solo si el beneficio crece a doble dígito varios años más. Para invertir hay que creer que el crecimiento de doble dígito del BPA dura hasta 2030 y que ni la fusión UP-NS ni el T-MEC lo interrumpen.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133,17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5,14 = 100,23 · 24,4x × 5,72 = 139,57 · 25,3x × 6,06 = 153,32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 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139,74 (nuestro base -0,1 %)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101,19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-52,4 %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8,0 %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115,01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101,19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101,19 y 149,03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149,03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101,19 CAD pasaríamos a Comprar (ponderada ≥ 15 %, base ≥ 12 % y precio ≤ valor intrínseco); por encima de 149,03, a Vender.</w:t>
      </w:r>
    </w:p>
    <w:p>
      <w:pPr>
        <w:pStyle w:val="ListParagraph"/>
        <w:numPr>
          <w:ilvl w:val="0"/>
          <w:numId w:val="2"/>
        </w:numPr>
        <w:spacing w:after="60"/>
      </w:pPr>
      <w:r>
        <w:t xml:space="preserve">Si el BPA core de 2026 queda por debajo de 4,95 CAD (+7 %), rebajaríamos el BPA de 2028e un 5 % y el objetivo a unos 127 CAD.</w:t>
      </w:r>
    </w:p>
    <w:p>
      <w:pPr>
        <w:pStyle w:val="ListParagraph"/>
        <w:numPr>
          <w:ilvl w:val="0"/>
          <w:numId w:val="2"/>
        </w:numPr>
        <w:spacing w:after="60"/>
      </w:pPr>
      <w:r>
        <w:t xml:space="preserve">Si el STB aprueba UP-NS sin remedios para CPKC, bajaríamos el crecimiento del base 1 punto.</w:t>
      </w:r>
    </w:p>
    <w:p>
      <w:pPr>
        <w:pStyle w:val="ListParagraph"/>
        <w:numPr>
          <w:ilvl w:val="0"/>
          <w:numId w:val="2"/>
        </w:numPr>
        <w:spacing w:after="60"/>
      </w:pPr>
      <w:r>
        <w:t xml:space="preserve">Si la revisión del T-MEC de julio de 2027 impone aranceles al automóvil mexicano, pasaríamos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ferrocarril con crecimiento de doble dígito del BPA durante años, por sinergias de KCS, nearshoring y recompras, al que se paga 22 veces el beneficio del consenso de los próximos 12 meses (frente a 20,7 veces de los comparables) y un objetivo medio de 139,74 CAD.</w:t>
      </w:r>
    </w:p>
    <w:p>
      <w:pPr>
        <w:keepNext/>
        <w:spacing w:after="100"/>
      </w:pPr>
      <w:r>
        <w:rPr>
          <w:b/>
          <w:bCs/>
        </w:rPr>
        <w:t xml:space="preserve">Lo que creemos nosotros.</w:t>
      </w:r>
    </w:p>
    <w:p>
      <w:pPr>
        <w:spacing w:after="100"/>
      </w:pPr>
      <w:r>
        <w:t xml:space="preserve">El crecimiento es real (BPA normalizado +10 % al año en 2027-2028 en nuestro base), pero el precio ya lo recoge: nuestro objetivo a 12 meses es 133,17 CAD (+9,3 % con dividendo) y el valor intrínseco 101,19 CAD. La compra de KCS no ha devuelto aún su coste de capital.</w:t>
      </w:r>
    </w:p>
    <w:p>
      <w:pPr>
        <w:keepNext/>
        <w:spacing w:after="100"/>
      </w:pPr>
      <w:r>
        <w:rPr>
          <w:b/>
          <w:bCs/>
        </w:rPr>
        <w:t xml:space="preserve">Por qué podemos tener razón.</w:t>
      </w:r>
    </w:p>
    <w:p>
      <w:pPr>
        <w:spacing w:after="100"/>
      </w:pPr>
      <w:r>
        <w:t xml:space="preserve">Porque la diferencia es de coste de capital y de duración del crecimiento, no de cifras del próximo año: nuestro BPA de 2027 está cerca del consenso una vez se quita la amortización de la compra. Si el mercado volviera a pedir un 8 % a los ferrocarriles (como con tipos al 4 %), el PER bajaría a 18-20 veces.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AD) · precio actual 12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Red única de tres países</w:t>
      </w:r>
      <w:r>
        <w:t xml:space="preserve">: puente terrestre Canadá-México de 100 M en 2023 a 600 M en 2026, camino de 1.000 M [10].</w:t>
      </w:r>
    </w:p>
    <w:p>
      <w:pPr>
        <w:pStyle w:val="ListParagraph"/>
        <w:numPr>
          <w:ilvl w:val="0"/>
          <w:numId w:val="2"/>
        </w:numPr>
        <w:spacing w:after="60"/>
      </w:pPr>
      <w:r>
        <w:rPr>
          <w:b/>
        </w:rPr>
        <w:t xml:space="preserve">Sinergias por encima del plan</w:t>
      </w:r>
      <w:r>
        <w:t xml:space="preserve">: 1.400-1.500 M USD de ritmo anual a final de 2026 [10].</w:t>
      </w:r>
    </w:p>
    <w:p>
      <w:pPr>
        <w:pStyle w:val="ListParagraph"/>
        <w:numPr>
          <w:ilvl w:val="0"/>
          <w:numId w:val="2"/>
        </w:numPr>
        <w:spacing w:after="60"/>
      </w:pPr>
      <w:r>
        <w:rPr>
          <w:b/>
        </w:rPr>
        <w:t xml:space="preserve">Eficiencia</w:t>
      </w:r>
      <w:r>
        <w:t xml:space="preserve">: ratio operativo core del 59,9 % en 2025 y 55,9 % en el 4T25, récords [7].</w:t>
      </w:r>
    </w:p>
    <w:p>
      <w:pPr>
        <w:pStyle w:val="ListParagraph"/>
        <w:numPr>
          <w:ilvl w:val="0"/>
          <w:numId w:val="2"/>
        </w:numPr>
        <w:spacing w:after="60"/>
      </w:pPr>
      <w:r>
        <w:rPr>
          <w:b/>
        </w:rPr>
        <w:t xml:space="preserve">Recompras</w:t>
      </w:r>
      <w:r>
        <w:t xml:space="preserve">: 51 M de acciones menos (−5,5 %) en 18 meses [1, 5].</w:t>
      </w:r>
    </w:p>
    <w:p>
      <w:pPr>
        <w:pStyle w:val="ListParagraph"/>
        <w:numPr>
          <w:ilvl w:val="0"/>
          <w:numId w:val="2"/>
        </w:numPr>
        <w:spacing w:after="60"/>
      </w:pPr>
      <w:r>
        <w:rPr>
          <w:b/>
        </w:rPr>
        <w:t xml:space="preserve">Volumen en recuperación</w:t>
      </w:r>
      <w:r>
        <w:t xml:space="preserve">: RTM +4 % y grano +24 % en el 2T26 [5].</w:t>
      </w:r>
    </w:p>
    <w:p>
      <w:pPr>
        <w:pStyle w:val="Heading2"/>
      </w:pPr>
      <w:r>
        <w:t xml:space="preserve">En contra</w:t>
      </w:r>
    </w:p>
    <w:p>
      <w:pPr>
        <w:pStyle w:val="ListParagraph"/>
        <w:numPr>
          <w:ilvl w:val="0"/>
          <w:numId w:val="2"/>
        </w:numPr>
        <w:spacing w:after="60"/>
      </w:pPr>
      <w:r>
        <w:rPr>
          <w:b/>
        </w:rPr>
        <w:t xml:space="preserve">ROIC por debajo del WACC</w:t>
      </w:r>
      <w:r>
        <w:t xml:space="preserve">: 6,0 % frente a 8,02 % por el fondo de comercio de KCS.</w:t>
      </w:r>
    </w:p>
    <w:p>
      <w:pPr>
        <w:pStyle w:val="ListParagraph"/>
        <w:numPr>
          <w:ilvl w:val="0"/>
          <w:numId w:val="2"/>
        </w:numPr>
        <w:spacing w:after="60"/>
      </w:pPr>
      <w:r>
        <w:rPr>
          <w:b/>
        </w:rPr>
        <w:t xml:space="preserve">Valor intrínseco por debajo del precio</w:t>
      </w:r>
      <w:r>
        <w:t xml:space="preserve">: 101,19 CAD, un 17,5 % menos.</w:t>
      </w:r>
    </w:p>
    <w:p>
      <w:pPr>
        <w:pStyle w:val="ListParagraph"/>
        <w:numPr>
          <w:ilvl w:val="0"/>
          <w:numId w:val="2"/>
        </w:numPr>
        <w:spacing w:after="60"/>
      </w:pPr>
      <w:r>
        <w:rPr>
          <w:b/>
        </w:rPr>
        <w:t xml:space="preserve">Guía exigente</w:t>
      </w:r>
      <w:r>
        <w:t xml:space="preserve">: el 2S26 necesita un BPA core +15 % tras +5,5 % en el 1S26 [5, 7].</w:t>
      </w:r>
    </w:p>
    <w:p>
      <w:pPr>
        <w:pStyle w:val="ListParagraph"/>
        <w:numPr>
          <w:ilvl w:val="0"/>
          <w:numId w:val="2"/>
        </w:numPr>
        <w:spacing w:after="60"/>
      </w:pPr>
      <w:r>
        <w:rPr>
          <w:b/>
        </w:rPr>
        <w:t xml:space="preserve">Fusión UP-NS y acuerdo UP-CN</w:t>
      </w:r>
      <w:r>
        <w:t xml:space="preserve">: competencia en México y en Kansas City desde 2027 [10, 20].</w:t>
      </w:r>
    </w:p>
    <w:p>
      <w:pPr>
        <w:pStyle w:val="ListParagraph"/>
        <w:numPr>
          <w:ilvl w:val="0"/>
          <w:numId w:val="2"/>
        </w:numPr>
        <w:spacing w:after="60"/>
      </w:pPr>
      <w:r>
        <w:rPr>
          <w:b/>
        </w:rPr>
        <w:t xml:space="preserve">T-MEC en revisión anual</w:t>
      </w:r>
      <w:r>
        <w:t xml:space="preserve">: 18 % de ingresos en México [21].</w:t>
      </w:r>
    </w:p>
    <w:p>
      <w:pPr>
        <w:pStyle w:val="Heading2"/>
      </w:pPr>
      <w:r>
        <w:t xml:space="preserve">Qué tiene que pasar para que la tesis funcione</w:t>
      </w:r>
    </w:p>
    <w:p>
      <w:pPr>
        <w:spacing w:after="100"/>
      </w:pPr>
      <w:r>
        <w:t xml:space="preserve">La tesis depende de que el BPA crezca a doble dígito en 2026-2028. La señal de que no se cumple: un BPA core del 3T26 (28-oct) por debajo de 1,25 CAD o una guía de 2027 por debajo del +10 %, y unos RTM semanales planos con el grano ya exportado. En el lado competitivo, una aprobación de UP-NS sin condiciones sobre Kansas City y Memphis.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 la guía 2026.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RTM (toneladas-milla)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palanca operativa.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62 %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Sinergias de ingresos de KCS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1.400-1.500 M USD (ritmo)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crecimiento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volumen.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 / 22,0x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Canadian Pacific se fundó en 1881 para unir Canadá de costa a costa y terminó la línea en 1885. Tras décadas como conglomerado (navieras, hoteles, minas), en 2001 se separó como ferrocarril puro. En 2012 el fondo Pershing Square forzó la entrada de Hunter Harrison, que aplicó el ferrocarril programado (PSR) y bajó el ratio operativo del 81 % al 60 %; Keith Creel le sucedió en 2017. En 2021 CP ganó a CN la puja por Kansas City Southern (31.000 M USD de valor empresa) y, tras la aprobación del STB, la integró el 14-abr-2023 como CPKC, la única red de Canadá, EE. UU. y México [1,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clavo del ferrocarril transcontinental canadiense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del conglomerado Canadian Pacific Limited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Pershing Square gana la batalla por el consejo; entra Hunter Harrison (PSR)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Keith Creel,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KCS por 31.000 M USD tras superar la oferta de CN; 845 M de comisión de ruptura cobrados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STB aprueba la fusión (15-mar) y nace CPKC el 14-abr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operativo core récord (59,9 %); recompras de 3.942 M; UP anuncia la compra de 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Huelga de señalistas (31-may a 24-ago) y arbitraje; Gordon Trafton, presidente del consejo</w:t>
            </w:r>
          </w:p>
        </w:tc>
      </w:tr>
    </w:tbl>
    <w:p>
      <w:pPr>
        <w:spacing w:after="160" w:before="0"/>
      </w:pPr>
    </w:p>
    <w:p>
      <w:pPr>
        <w:pStyle w:val="Heading1"/>
      </w:pPr>
      <w:r>
        <w:t xml:space="preserve">2. Modelo de negocio</w:t>
      </w:r>
    </w:p>
    <w:p>
      <w:pPr>
        <w:spacing w:after="100"/>
      </w:pPr>
      <w:r>
        <w:t xml:space="preserve">CPKC opera unas 20.000 millas de vía (3.300 con derechos de paso) entre Vancouver y Saint John en Canadá, el Medio Oeste y el Golfo de EE. UU., y el noreste de México hasta Lázaro Cárdenas y Veracruz. Transporta granel (grano, carbón, potasa: un tercio de los ingresos), mercancía industrial (químicos, plásticos, productos petrolíferos, metales, madera), automóviles e intermodal. Tiene 19.479 empleados y vende a cargadores industriales, agrícolas y navieras; ningún cliente supera el 10 % de los ingresos [1].</w:t>
      </w:r>
    </w:p>
    <w:p>
      <w:pPr>
        <w:pStyle w:val="Heading2"/>
      </w:pPr>
      <w:r>
        <w:t xml:space="preserve">Cómo gana dinero</w:t>
      </w:r>
    </w:p>
    <w:p>
      <w:pPr>
        <w:spacing w:after="100"/>
      </w:pPr>
      <w:r>
        <w:t xml:space="preserve">Cobra por tonelada y distancia (6,73 céntimos por tonelada-milla en 2025) más un recargo por combustible que repercute el gasóleo con unos meses de retraso [1]. El coste es casi todo fijo (vía, locomotoras, plantilla): cada punto de volumen adicional sube el beneficio operativo más que proporcionalmente, y por eso el ratio operativo core bajó del 61,3 % al 59,9 % con volumen +4 % [1]. Los contratos suelen ser de uno a tres años con subidas del 3-4 % [10]. El primer trimestre es el más débil por el invierno; el cuarto, el más fuerte por la cosecha de grano [1]. La compra de KCS añadió tráfico de largo recorrido (Canadá-México) con más ingreso por vagón.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Carbón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Potasa, fertilizantes y azufre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forestales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químicos y plásticos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Metales, minerales y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Automóvil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Intermodal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Carbón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Potasa, fertilizantes y azufre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forestales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químicos y plásticos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Metales, minerales y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Automóvil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Intermodal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ningún cliente supera el 10 % de los ingresos [1]. Los cargadores de granel (grano, potasa, carbón) están cautivos en buena parte de sus orígenes, lo que da poder de precio: el ingreso por vagón subió un 1 % en 2025 pese a un recargo de combustible menor y la dirección dice estar «en el alto» de su guía de precios del 3-4 % [1, 10]. En Canadá el ingreso máximo del grano lo fija la Agencia del Transporte (MRE). Los contratos con navieras (intermodal) son de varios años y se renegocian con competencia de CN.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Toneladas-milla (RTM,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219.420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frente a 2024 [1]; 1S26 +3 % (2T26 +4 %)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Vagones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vagón (CAD)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mezcla, con el recargo de combustible a la baja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1S26 62,3 % por combustible y huelga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Productividad con volumen al alza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Sinergias de ingresos de KCS (ritmo anual,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1.100-1.200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1.400-1.500 M (fin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la dirección en el 2T26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Transporte de mercancías por ferrocarril de clase I en Norteamérica: las seis grandes redes de EE. UU. y Canadá (Union Pacific, BNSF, CSX, Norfolk Southern, Canadian National y CPKC), con la red mexicana de CPKC incluida y sin GMéxico Transportes (sin datos comparables) ni los ferrocarriles regionales [1, 14, 15, 16, 17, 18]. Es el mercado en el que CPKC compite por los mismos clientes y el perímetro de la prueba de cuota. Tamaño = suma de los ingresos publicados de las seis (estimación propia), en CAD al tipo medio de 2025 (1,398) para las de EE. UU. Fuente alternativa: la AAR publica solo EE. UU.; las cuotas son estables porque cada red es un monopolio local en buena parte de su trazado.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136.000 M CAD en 2025 (suma de ingresos de las seis redes de clase I; estimación propia) [1, 14, 15, 16, 17,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A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real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CPKC sube tarifas un 3-4 % al año (guía del día del inversor) [10]; el sector lleva dos décadas con precio &gt; inflación por la escasez de alternativas.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Canadá-EE. UU.-México (T-MEC)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18 % de los ingresos de CPKC es México y buena parte del tráfico cruza fronteras; la revisión de julio de 2026 no renovó el tratado y pasó a revisiones anuales, con aranceles de la sección 232 en acero, aluminio, coches y madera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y cosechas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Grano de CPKC +24 % en el 2T26 por cosecha récord; carbón −18 % por problemas en las minas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del camión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capacidad de camión sobrante (2023-2025) el intermodal pierde precio; con el diésel +70 % en 2026 el tren gana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(fusión UP-NS)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red transcontinental si el STB la aprueba en 2027; CPKC se opone y teme perder tráfico de enlace en Kansas City y Memphis [10,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redes, con duopolios regionales (CN-CPKC en Canadá, UP-BNSF en el oeste, CSX-NS en el este) y márgenes EBITDA del 45-53 % [14, 15, 16,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Cargadores cautivos (grano, potasa, químicos) con poca alternativa, pero con regulación de tarifas del STB y de la Agencia del Transporte de Canadá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Sindicatos fuertes (75 % de la plantilla de CPKC sindicada, huelgas de señalistas en 2026) y pocos fabricantes de locomotoras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Nadie construye una red nueva: derechos de paso y 20.000 millas de vía no se replican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camión compite en intermodal y distancias cortas; el gasoducto en crudo; la tubería y el barco en granel [1].</w:t>
            </w:r>
          </w:p>
        </w:tc>
      </w:tr>
    </w:tbl>
    <w:p>
      <w:pPr>
        <w:spacing w:after="160" w:before="0"/>
      </w:pPr>
    </w:p>
    <w:p>
      <w:pPr>
        <w:pStyle w:val="Heading2"/>
      </w:pPr>
      <w:r>
        <w:t xml:space="preserve">Ciclo</w:t>
      </w:r>
    </w:p>
    <w:p>
      <w:pPr>
        <w:spacing w:after="100"/>
      </w:pPr>
      <w:r>
        <w:t xml:space="preserve">Los volúmenes de carga ferroviaria de Norteamérica cayeron en 2009 (−15 % en EE. UU.), en 2020 (−8 %) y se estancaron en 2023-2025 por la recesión del transporte de mercancías; el precio aguantó en las tres. En 2026 hay recuperación del volumen (CPKC RTM +4 % en el 2T26; tráfico canadiense +7,6 % interanual en septiembre según los datos semanales) con cosecha récord y diésel caro que favorece al tren [10]. El riesgo cíclico es industrial y de comercio exterior (aranceles).</w:t>
      </w:r>
    </w:p>
    <w:p>
      <w:pPr>
        <w:pStyle w:val="Heading2"/>
      </w:pPr>
      <w:r>
        <w:t xml:space="preserve">Regulación</w:t>
      </w:r>
    </w:p>
    <w:p>
      <w:pPr>
        <w:spacing w:after="100"/>
      </w:pPr>
      <w:r>
        <w:t xml:space="preserve">EE. UU.: el STB regula tarifas a cargadores cautivos, servicio y fusiones; su decisión sobre UP-NS (solicitud aceptada el 28-may-2026) se espera en 2027 [20], y fiscales generales de varios estados han objetado [22]. Canadá: la Agencia del Transporte regula el ingreso máximo del grano (MRE) y el intercambio obligatorio; las huelgas pueden acabar en arbitraje forzoso. México: concesión de KCSM (CPKC de México) hasta 2047, con la ARTF como regulador y la reforma de 2024 que permite trenes de pasajeros en las vías de mercancías [1]. T-MEC: en revisión anual desde julio de 2026 [21].</w:t>
      </w:r>
    </w:p>
    <w:p>
      <w:pPr>
        <w:pStyle w:val="Heading2"/>
      </w:pPr>
      <w:r>
        <w:t xml:space="preserve">Tendencias y disrupción</w:t>
      </w:r>
    </w:p>
    <w:p>
      <w:pPr>
        <w:spacing w:after="100"/>
      </w:pPr>
      <w:r>
        <w:t xml:space="preserve">Tres tendencias: (1) sinergias de redes de largo recorrido (CPKC Canadá-México; UP-NS costa a costa si se aprueba) que quitan camión de las carreteras; (2) PSR (ferrocarril programado) y automatización de inspecciones, que bajan el ratio operativo; (3) relocalización de la industria en México (nearshoring), que CPKC capta con sus servicios MMX y SMX [10]. CPKC gana con (1) y (3) mientras no se apruebe UP-NS; la IA sirve para planificación y mantenimiento predictivo, no sustituye la vía.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6.º de los seis ferrocarriles de clase I por ingresos y el único con red en Canadá, EE. UU. y México; 2.º en Canadá (frente a CN) y único en el corredor de Kansas City a México por Laredo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 Pacific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red del oeste; puerta de Eagle Pass a México; compra pendiente de Norfolk Southern [15,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BNSF (Berkshire Hathaway)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Oeste de EE. UU.; no cotiza; se opone a la fusión UP-NS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Canadian 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Canadá (grano, potasa, intermodal de Vancouver y Prince Rupert); acuerdo con UP para llegar a México por Memphis [10,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Este de EE. UU.; socio de CPKC en el servicio SMX (sureste-México) [10,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Norfolk Southern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de EE. UU.; objetivo de UP [17,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red sencilla de tres países: el puente terrestre Canadá-México pasó de 100 M en 2023 a unos 600 M en 2026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con apartaderos propios y plantas junto a la vía; el 75 % de la carga es granel o industrial cautivo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de paso y concesión mexicana hasta 2047, imposibles de replicar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operativo core del 59,9 % en 2025, entre los mejores del sector (BNSF 65,5 %)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que solo admiten una o dos redes; nadie construye una vía nueva desde hace un siglo [1].</w:t>
            </w:r>
          </w:p>
        </w:tc>
      </w:tr>
    </w:tbl>
    <w:p>
      <w:pPr>
        <w:spacing w:after="160" w:before="0"/>
      </w:pPr>
    </w:p>
    <w:p>
      <w:pPr>
        <w:pStyle w:val="Heading2"/>
      </w:pPr>
      <w:r>
        <w:t xml:space="preserve">Amenazas</w:t>
      </w:r>
    </w:p>
    <w:p>
      <w:pPr>
        <w:spacing w:after="100"/>
      </w:pPr>
      <w:r>
        <w:t xml:space="preserve">Tres amenazas: (1) la fusión UP-NS (decisión del STB en 2027) crearía una red costa a costa que puede desviar tráfico de enlace que hoy pasa por CPKC en Kansas City, Chicago y Memphis; con el acuerdo UP-CN, CN llega también a México por Memphis y Eagle Pass [10, 20] (probabilidad de aprobación media; efecto acotado según la dirección, que no lo cuantifica); (2) el T-MEC en revisión anual y los aranceles de la sección 232 sobre coches, acero y madera, que tocan el 18 % de ingresos mexicanos y el tráfico transfronterizo [21]; (3) a largo plazo, el camión autónomo, que abarataría el transporte por carretera y competiría con el intermodal (18 % de los ingresos de CPKC)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11,6 %</w:t>
      </w:r>
      <w:r>
        <w:t xml:space="preserve">, EBITDA </w:t>
      </w:r>
      <w:r>
        <w:rPr>
          <w:b/>
          <w:bCs/>
        </w:rPr>
        <w:t xml:space="preserve">12,2 %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A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7.792 M en 2019 a 15.078 M en 2025 [1, 3]: casi todo el salto es inorgánico (KCS consolidada desde abril de 2023 [2]). En perímetro constante, 2024 creció un 16 % por el año completo de KCS y 2025 un 4 %, con las toneladas-milla (RTM) +4 % y el ingreso por RTM plano (6,73 céntimos) [1]. El margen EBITDA publicado sube del 47,2 % de 2023 al 50,6 % de 2025: el ratio operativo core baja del 61,3 % al 59,9 %, récord de la compañía, por productividad (velocidad de la red, trenes más pesados, plantilla −2 %) [1, 7]. La amortización salta de 853 M a 2.019 M por la revalorización de los activos de KCS (373 M al año de amortización de la contabilidad de compra en 2025) [1]. En el primer semestre de 2026 los ingresos suben un 5 % y el BPA core un 5,5 % (2,30 frente a 2,18), con el combustible (+21 % en gasto; diésel +70 % por la guerra con Irán) y la huelga de señalistas como lastres; el 2T26 ya creció un 13 % en ingresos y en BPA core [5, 6, 10].</w:t>
      </w:r>
    </w:p>
    <w:p>
      <w:pPr>
        <w:pStyle w:val="Heading2"/>
      </w:pPr>
      <w:r>
        <w:t xml:space="preserve">Ajustes y partidas no recurrentes</w:t>
      </w:r>
    </w:p>
    <w:p>
      <w:pPr>
        <w:spacing w:after="100"/>
      </w:pPr>
      <w:r>
        <w:t xml:space="preserve">Usamos las cifras publicadas (US GAAP). La empresa da un «BPA core ajustado» que excluye partidas no recurrentes y la amortización de la contabilidad de compra de KCS: 3,77 (2022), 3,84 (2023), 4,25 (2024) y 4,61 (2025) frente a 3,77, 4,21, 3,98 y 4,51 publicados [1, 2]. Las partidas no recurrentes: 2021, comisión de ruptura cobrada a KCS (+845 M, +1,24 por acción) y costes de la compra [3]; 2023, pérdida de revaloración de KCS (−7.175 M) compensada por la liberación de impuestos diferidos (−8,42 por acción) [2]; 2024, bajadas de tipos estatales (+0,09) [1]; 2025, plusvalía por la venta de una participada (+333 M, +0,27 neto) y costes de integración (72 M) [1]; 2026, costes de integración y de asesoría sobre la fusión UP-NS (63 M en el semestre) [5]. Para la rentabilidad a 12 meses usamos un BPA normalizado que quita esas partidas pero deja la amortización de la compra (es amortización real de activos que hay que reponer): 3,60 (2022), 3,60 (2023), 3,98 (2024) y 4,30 (2025), unos 0,31 por acción por debajo del core [1, 2,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(29-jul-2026) la dirección repitió que espera «otro año de crecimiento de doble dígito del beneficio» en 2026 y un segundo semestre de aceleración del volumen [10]; la guía de enero era un BPA core «low double-digit» sobre 4,61, RTM +mid-single digit e inversión de 2.650 M [7]. El trimestre batió: BPA core 1,27 frente a 1,12 (+13 %), con récords en grano (+24 % de ingresos), químicos y automóvil, y el carbón −18 % por problemas en las minas de los clientes [5, 10]. El director comercial cifró las sinergias de ingresos de KCS en 1.400-1.500 M USD de ritmo anual al cierre de 2026 (+300 M en el año) y el «puente terrestre» Canadá-México en 600 M a final de año con camino a 1.000 M [10]. Los costes de siniestros y la remuneración en acciones restaron un 4 % al BPA y el combustible 130 pb al ratio operativo [10]. Las preguntas se centraron en la fusión Union Pacific-Norfolk Southern y en el acuerdo de UP con CN (Memphis, EJ&amp;E): el consejero delegado se opuso con dureza («si se aprueba, la consolidación es imparable») y no cuantificó el efecto en CPKC; tampoco actualizó cifras de la guía, solo la reafirmó de palabra [10]. El consenso previo esperaba un BPA core de 1,24 según la prensa financiera.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 de Kansas City Southern (14-dic-2021): CP paga 12.299 M en caja y emite acciones; KCS queda en un fideicomiso de voto y entra por puesta en equivalencia (inversión de 42.309 M en el balance, sin ingresos en la cuenta). Acciones diluidas de 682,8 M (media) a 933 M.; 2023: Toma de control de KCS el 14-abr-2023 tras la aprobación del STB: consolidada desde esa fecha (ingresos de 8.814 M en 2022 a 12.555 M); revaloración de la participación con pérdida de 7.175 M y recuperación de impuestos diferidos de 7.885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8.757 M en 2019 a 20.127 M en 2021 por la compra de KCS y queda en 23.188 M a cierre de 2025 y 25.147 M en junio de 2026 [1, 3, 5]: la empresa la sube para recomprar acciones (3.942 M en 2025 y 1.963 M en el primer semestre de 2026) en vez de reducirla [1, 5]. La deuda neta ajustada que publica la empresa (con arrendamientos y déficit de pensiones) es de 25.787 M, 3,2 veces el EBITDA ajustado, frente a 3,0 un año antes [5]; la agencia la tolera porque S&amp;P subió la nota a BBB+ positiva. El circulante es negativo: clientes y existencias (2.531 M) por debajo de proveedores (2.751 M) [1]. La deuda a corto (3.240 M en 2025) incluye el papel comercial; el XBRL de la SEC solo recoge el papel comercial en 2023-2025 y lo hemos corregido con el balance [1,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13.341</w:t>
      </w:r>
      <w:r>
        <w:t xml:space="preserve">, conversión </w:t>
      </w:r>
      <w:r>
        <w:rPr>
          <w:b/>
          <w:bCs/>
        </w:rPr>
        <w:t xml:space="preserve">58 %</w:t>
      </w:r>
      <w:r>
        <w:t xml:space="preserve"> del beneficio neto; adquisiciones 12.852, dividendos 4.305, recompras 6.585.</w:t>
      </w:r>
    </w:p>
    <w:p>
      <w:pPr>
        <w:spacing w:after="100"/>
      </w:pPr>
      <w:r>
        <w:t xml:space="preserve">El flujo operativo crece de 2.990 M (2019) a 5.309 M (2025) y la conversión del beneficio core en caja libre es baja en 2023-2025 porque la inversión subió al 19-21 % de las ventas (2.499-3.102 M) para integrar KCS: vía de Laredo, apartaderos, sistemas y locomotoras [1, 2]. La guía de 2026 baja la inversión a 2.650 M (−15 %) [7] y la caja libre ajustada del semestre sube un 25 %, a 1.300 M [10]. Estimación propia: el mantenimiento de un ferrocarril de clase I ronda 1,1-1,2 veces la amortización sin la contabilidad de compra (unos 1.650 M en 2025); el resto, 1.000-1.400 M, es crecimiento e integración. 2021 lleva la compra de KCS (12.299 M en caja) y 2023 la caja adquirida al tomar el control (298 M, como desinversión) [2, 3]. Desde 2025 la caja va a recompras: 3.942 M en 2025, más que la caja libre (2.207 M), con deuda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en US GAAP y en CAD. Tres hechos que distorsionan los ratios: (1) KCS por puesta en equivalencia en 2021-2022 (42.309-45.091 M de inversión sin ingresos en la cuenta) y consolidada desde abril de 2023 [2]; (2) la revalorización de la participación al tomar el control dejó un fondo de comercio de 17.729 M, intangibles de 2.974 M y activos materiales revalorizados, que se amortizan a 373-391 M al año [1, 2]; (3) los impuestos de 2023 son negativos (−6.976 M) por la liberación del impuesto diferido sobre la inversión en KCS, de una vez [2]. La remuneración en acciones es pequeña (unos 70 M de PSU al año frente a 4.141 M de beneficio) [5]. El superávit de pensiones aporta 441 M de ingreso contable no monetario al año (unos 0,37 por acción después de impuestos), dentro del beneficio y del BPA core [7]. Altman, Piotroski y Beneish del motor: el Beneish de 2023 se distorsiona por la consolidación de KCS y el Altman es bajo por el tamaño del activo (no por riesgo: rating BBB+ positivo).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contable de pensiones dentro del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441 M en 2026 (expected return sobre el superávit), sin entrada de caja; forma parte del BPA core y del nuestro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excluye amortización recurrente de la compra de KCS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0,31 por acción al año durante décadas: el «core» infla el BPA un 7 % respecto al publicado normalizado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integración que se repiten desde 2021</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M en 2025 y 36 M en el 1S26, a la baja; se excluyen del core [1,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3,3 % · </w:t>
      </w:r>
      <w:r>
        <w:rPr>
          <w:b/>
          <w:bCs/>
        </w:rPr>
        <w:t xml:space="preserve">WACC</w:t>
      </w:r>
      <w:r>
        <w:t xml:space="preserve">: 8,0 %.</w:t>
      </w:r>
    </w:p>
    <w:p>
      <w:pPr>
        <w:spacing w:after="100"/>
      </w:pPr>
      <w:r>
        <w:t xml:space="preserve">CPKC no cubre hoy su coste de capital con las cifras publicadas: el ROIC del motor es del 6,0 % en 2024 y 2025 frente a un WACC del 8,02 %, unos 2 puntos por debajo. La causa es la compra de KCS: el capital invertido pasó de unos 16.000 M en 2019 a 70.302 M en 2025, con 18.436 M de fondo de comercio y 2.911 M de intangibles [1]; el ROIC incremental histórico es del 3,3 %. Sin fondo de comercio ni intangibles de la compra, el ROIC es del 8,6 % (4.233 M de NOPAT sobre unos 48.955 M), apenas 0,6 puntos sobre el WACC; sin el superávit de pensiones (5.129 M, no operativo), en torno al 9,7 %. Lo que mueve el ROIC es la rotación (0,17 veces): el margen operativo es de los mejores del sector (EBIT del 37 % frente al 33-40 % de los comparables [14, 15, 16, 17]). La CP anterior a KCS ganaba más del 15 % (NOPAT de unos 2.400 M sobre 15.700 M en 2019). Decide la cifra publicada: la calidad, medida como ROIC − WACC, no pasa.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366 M (30-jun-2026) + línea de crédito de 2.200 M USD (dos tramos de 1.100 M, a 2027 y 2030), que respalda un programa de papel comercial de hasta 1.500 M USD; papel comercial vivo de 850 M USD a cierre de 2025 [1, 5]. En octubre de 2026 colocó 1.800 M CAD en cuatro bonos (4,20 % a 2030 a 5,40 % a 2056) para refinanciar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positiva, subida en el 4T25); Moody's Baa1 estable (subida en el 1T25)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4.543 M a cierre de 2025 (activo de 5.129 M y planes con déficit de 155 M, más 431 M de otros beneficios) [1]; genera una «recuperación» contable de 441 M al año en la cuenta (por debajo del EBIT) [7]. No lo sumamos al puente (no se puede retirar), y lo decimos como potencial. Arrendamientos operativos de 437 M (US GAAP: su gasto ya está en el EBITDA, no van a la deuda) [1]. Provisiones medioambientales y litigios: el accidente de Lac-Mégantic (2013) sigue con reclamaciones residuales (6 M USD en Dakota del Norte) y hay un litigio fiscal en México (amparo de CPKCM) [5]. Compromisos de inversión y servicios de 1.758 M a 12 meses [1]. Impuestos diferidos de 12.165 M, sobre todo por la revalorización de KCS [5]. Recompras pendientes de cancelar e impuesto del 2 % sobre recompras en Canadá (36 M en el semestre) [9].</w:t>
      </w:r>
    </w:p>
    <w:p>
      <w:pPr>
        <w:pStyle w:val="Heading1"/>
      </w:pPr>
      <w:r>
        <w:t xml:space="preserve">12. Asignación de capital</w:t>
      </w:r>
    </w:p>
    <w:p>
      <w:pPr>
        <w:pStyle w:val="Confianza"/>
        <w:spacing w:after="100"/>
      </w:pPr>
      <w:r>
        <w:t xml:space="preserve">Confianza: Alta</w:t>
      </w:r>
    </w:p>
    <w:p>
      <w:pPr>
        <w:spacing w:after="100"/>
      </w:pPr>
      <w:r>
        <w:t xml:space="preserve">Dividendo trimestral de 0,268 CAD desde el 2T26 (+18 % sobre 0,228), con un pago del 20 % del beneficio core [5]. Recompra (NCIB) de hasta 44,9 M de acciones (5 %) entre el 2-feb-2026 y el 1-feb-2027, tras completar la de 37,3 M en octubre de 2025 [9]. Prioridades declaradas: inversión en la red (2.650 M en 2026), dividendo y recompras «oportunistas»; mantener el rating BBB+ con deuda neta ajustada de unas 3 veces el EBITDA [5,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Kansas City Southern (control efectivo desde abr-2023)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(2,884 por acción de KCS) y 90 USD en caja; deuda de 3.800 M USD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sinergias de ingresos de 1.400-1.500 M USD de ritmo anual a final de 2026 y ratio operativo core récord; pero el ROIC del grupo cae por debajo del WACC por la prima pagada (fondo de comercio de 17.729 M)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Detroit River Tunnel Partnership (50 %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Central Maine &amp; Québec Railway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la red del este, sin deterioros [3].</w:t>
            </w:r>
          </w:p>
        </w:tc>
      </w:tr>
    </w:tbl>
    <w:p>
      <w:pPr>
        <w:spacing w:after="160" w:before="0"/>
      </w:pPr>
    </w:p>
    <w:p>
      <w:pPr>
        <w:spacing w:after="100"/>
      </w:pPr>
      <w:r>
        <w:t xml:space="preserve">La asignación de capital de la última década se juzga por KCS: CP pagó unos 31.000 M USD de valor empresa, 19,4 veces el EBITDA ajustado de KCS según el folleto de la operación, y a cambio tiene la única red de Canadá a México y un ROIC que hoy no cubre el coste de capital en cifras publicadas. Las sinergias superan el plan (1.400-1.500 M USD de ingresos frente a 1.000 M del caso de la compra) [10], pero el ROIC incremental es bajo porque el capital invertido se multiplicó por 2,5. Desde 2025 la caja libre y deuda nueva van a recompras: 3.942 M en 2025 y 1.963 M en el 1S26, 51 M de acciones menos (−5,5 %) [1, 5]. Recomprar a 23-25 veces el beneficio con deuda al 4-5 % es razonable si el crecimiento de doble dígito se cumple.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Creel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de carrera (Burlington Northern, Illinois Central, CN) y mano derecha de Hunter Harrison; COO de CP desde 2013 y CEO desde 2017. Bajó el ratio operativo y cerró la compra de KCS; 1,63 M de acciones y opciones ejercitables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Nadeem Velani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&amp;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CP desde 2015 (relación con inversores, planificación); CFO desde 2017. Financió la compra de KCS manteniendo el grado de inversión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Redd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(EVP &amp;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CP desde 2013; vicepresidente ejecutivo de operaciones desde 2019; responsable de la integración operativa de KCS y de la seguridad (menor frecuencia de accidentes de clase I)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Brooks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(EVP &amp; CMO)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 en CP desde 2014; responsable de las sinergias de ingresos de KCS (1.400-1.500 M USD a final de 2026) [1,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Gordon Trafton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(desde el 29-jul-2026)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años en ferrocarriles (CN, Illinois Central, Burlington Northern); vicepresidente de compras e integración de CN hasta 2009; consejero de CP desde 2017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combinado +doble dígito sobre 3,84; inversión 2.750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4,25 (+10,7 %); inversión 2.825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+12-18 % sobre 4,25; RTM +mid-single digit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4,61 (+8 %); RTM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core +low double-digit sobre 4,61; RTM +mid-single digit; inversión 2.650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BPA core 2,30 (+5,5 %); RTM +3 %; inversión 1.400 M; guía reafirmada el 29-jul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ferroviario: Creel, Velani y Brooks llevan nueve años juntos y el COO desde 2019 [24]. La credibilidad de la guía es mixta: cumplió 2024 y falló 2025 por 4-10 puntos (aranceles, Canadá débil) [7, 12, 29], y 2026 exige un segundo semestre +15 % de BPA core tras +5,5 % en el primero. La sucesión del consejero delegado no está anunciada: Creel tiene 57 años y no hay número dos designado públicamente; el consejo renovó la presidencia en 2026 (Courville por Trafton) siguiendo un plan anunciado en enero [26, 27].</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Trafton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y sostenibilidad;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Creel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 John Baird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 Antonio Garza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Gutiérrez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 Edward Hamberger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Janet Kennedy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Maier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Parent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Paull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Peverett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Robertson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Katharine Stevenson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TCI Fund Management (Christopher Hohn)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de largo plazo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desde el 13G/A de feb-2024 (55,5 M de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de acciones incluidas opciones ejercitables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25,66 M CAD en 2025: 1,89 de fijo, 3,76 de variable anual y 18,80 en acciones y opciones (valor de concesión), más 0,88 de pensión [24]. El variable anual pesa ratio operativo core (35 %), beneficio operativo core (35 %) y seguridad; el corporativo pagó el 121 % y el consejo limitó el individual de Creel al 100 % [24]. El variable a largo plazo (PSU) mide caja libre acumulada a tres años (60 %) y rentabilidad para el accionista frente al S&amp;P/TSX 60 y al S&amp;P 500 Industrials (20 % cada uno) [24]: premia caja y no crecimiento a cualquier precio, aunque no mide el ROIC. Para 2026 el consejo subió su objetivo de retribución en 950.000 USD [24]. Ratio con el empleado medio de 183 a 1 [24]. El voto consultivo sobre retribución (say on pay) obtuvo el 87,48 % a favor en 2026 [25].</w:t>
      </w:r>
    </w:p>
    <w:p>
      <w:pPr>
        <w:pStyle w:val="Heading2"/>
      </w:pPr>
      <w:r>
        <w:t xml:space="preserve">Operaciones vinculadas, estructura de control y defensas</w:t>
      </w:r>
    </w:p>
    <w:p>
      <w:pPr>
        <w:spacing w:after="100"/>
      </w:pPr>
      <w:r>
        <w:t xml:space="preserve">Sin accionista de control: el mayor es TCI con el 6,19 % [24]. Una acción, un voto; sin clases de acciones ni blindajes estatutarios. Como sociedad canadiense, no hay consejero independiente coordinador porque el presidente ya es independiente. La ley canadiense de transporte limita la propiedad extranjera de algunas aerolíneas, no de ferrocarriles. Plan de derechos de accionistas: no consta en el 10-K/A. Todos los consejeros fueron elegidos con más del 95,8 % de los votos en abril de 2026 [25].</w:t>
      </w:r>
    </w:p>
    <w:p>
      <w:pPr>
        <w:pStyle w:val="Heading2"/>
      </w:pPr>
      <w:r>
        <w:t xml:space="preserve">Señales de alerta</w:t>
      </w:r>
    </w:p>
    <w:p>
      <w:pPr>
        <w:pStyle w:val="ListParagraph"/>
        <w:numPr>
          <w:ilvl w:val="0"/>
          <w:numId w:val="2"/>
        </w:numPr>
        <w:spacing w:after="60"/>
      </w:pPr>
      <w:r>
        <w:t xml:space="preserve">El consejero delegado, Keith Creel (57 años), no tiene sucesor público y es la persona clave de la tesis; la presidenta del consejo, Isabelle Courville, se retiró en julio de 2026 tres meses después de ser reelegida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(28-ene-2026): BPA core con crecimiento «low double-digit» sobre 4,61 (≈ 5,07-5,16), toneladas-milla +mid-single digit, inversión de 2.650 M (−15 %), tipo impositivo core del 24,75 % y recuperación de pensiones de 441 M [7]. Reafirmada de palabra el 29-jul-2026 («otro año de crecimiento de doble dígito del beneficio») [10]. A medio plazo, la guía del día del inversor de 2023 (precio +3-4 % al año) y la meta de sinergias de ingresos de KCS, ya superada [10]. Próximos resultados: 28-oct-2026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14-oct-2026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 156,00</w:t>
            </w:r>
          </w:p>
        </w:tc>
      </w:tr>
    </w:tbl>
    <w:p>
      <w:pPr>
        <w:spacing w:after="160" w:before="0"/>
      </w:pPr>
    </w:p>
    <w:p>
      <w:pPr>
        <w:pStyle w:val="Heading2"/>
      </w:pPr>
      <w:r>
        <w:t xml:space="preserve">Revisiones de estimaciones</w:t>
      </w:r>
    </w:p>
    <w:p>
      <w:pPr>
        <w:spacing w:after="100"/>
      </w:pPr>
      <w:r>
        <w:t xml:space="preserve">Los objetivos suben en 3 meses: RBC de 139 a 145 (30-jul) y a 146 CAD (24-sep), BMO a 142 y CIBC a 140 en junio [31]. El consenso de MarketScreener mezcla bases: el BPA 2026e de 4,85 parece publicado (el core de la guía sería 5,07-5,16) y el de 2027e-2028e (5,79 y 6,47) se acerca al core, que excluye unos 0,31 por acción de amortización de la compra de KCS [7, 32]. Solo hay una fuente gratuita con estimaciones completas; el objetivo medio se contrasta con los objetivos publicados por RBC, BMO y CIBC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quedó plana de 2021 a 2025 (90,98 a 101,05 CAD) mientras el S&amp;P/TSX subía con fuerza: el mercado ya había pagado la compra de KCS en 2021 y el beneficio por acción tardó cuatro años en crecer por la dilución y la recesión del transporte [30]. En 2026 sube un 21,4 % (máximo de 133,38 el 21-ago) con la vuelta del volumen, el diésel caro que favorece al tren y el primer trimestre de crecimiento de doble dígito; corrigió un 8 % desde agosto con la huelga de señalistas y las dudas sobre la fusión UP-NS [10, 30]. CN (índice sectorial usado) sube aún más en el año. Sector: CNR.TO como aproximación (no hay índice ferroviario canadiense). Beta mensual de 5 años 1,16 frente al TSX, pero 0,78 semanal de 5 años y 0,68 semanal de 2 años [30].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PER de los últimos 12 meses publicado, CPKC cotiza a 28,5 veces, por encima de su media de cinco años (24,6 veces), pero ese BPA lleva la amortización de la compra y la plusvalía de 2025; con el BPA normalizado adelantado (nuestro 2027e de 5,20) el PER es de 23,6 veces, por debajo de la mediana de cinco años (25,3 veces) y por encima del mínimo (21,5 veces en el cierre de 2025). El EV/EBITDA LTM de 17,3 veces está en su media. Excluimos 2021 y 2022 del EV/EBITDA y del PER de los últimos 12 meses porque KCS no estaba consolidada (el valor empresa incluía la inversión de 42.000-45.000 M sin su EBITDA). El cambio estructural es la tasa libre: el bono canadiense a 10 años está en el 3,87 % frente al 1-2 % de 2019-2021 [33], y la empresa crece más rápido que antes de la compra.</w:t>
      </w:r>
    </w:p>
    <w:p>
      <w:pPr>
        <w:pStyle w:val="Heading1"/>
      </w:pPr>
      <w:r>
        <w:t xml:space="preserve">18. Comparables cotizados</w:t>
      </w:r>
    </w:p>
    <w:p>
      <w:pPr>
        <w:pStyle w:val="Confianza"/>
        <w:spacing w:after="100"/>
      </w:pPr>
      <w:r>
        <w:t xml:space="preserve">Confianza: Media</w:t>
      </w:r>
    </w:p>
    <w:p>
      <w:pPr>
        <w:spacing w:after="100"/>
      </w:pPr>
      <w:r>
        <w:t xml:space="preserve">Las otras cuatro redes de clase I que cotizan (CN, Union Pacific, CSX y Norfolk Southern: mismo negocio, márgenes y regulación) y Aurizon, el mayor ferrocarril de mercancías cotizado de Australia, como quinto (carbón y red regulada: crece y cotiza menos, y baja la mediana). BNSF no cotiza (es de Berkshire) y GMéxico Transportes no tiene datos abiertos. Cifras de MarketScreener del 14-oct-2026 para todos (misma fuente para LTM y NTM; LTM ≈ media de 2025 y 2026e) y precios de Yahoo del 14-oct [15, 35]; capitalización en CAD al cambio del BCE [34]. NS cotiza ya con la oferta de UP dentro.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CPKC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Canadian 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 Pacific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Norfolk Southern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Aurizon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13,9x / 14,0x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15,2x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20,7x / 21,7x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 / 7,0x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5,8 + 1,00 × crecimiento; R² = 0,98. Para el crecimiento esperado de la empresa (8,8 %), el múltiplo ajustado es 14,5x y el valor por acción, 116,22.</w:t>
      </w:r>
    </w:p>
    <w:p>
      <w:pPr>
        <w:spacing w:after="100"/>
      </w:pPr>
      <w:r>
        <w:t xml:space="preserve">CPKC cotiza con prima: 22,0 veces el beneficio de los próximos 12 meses del consenso y 15,1 veces el EBITDA, frente a medianas de 20,7 y 13,9 veces de los comparables, y su ROIC publicado es menor. La prima se explica por el crecimiento: el consenso le da un 6-9 % de ventas al año, como UNP, CSX y NS, pero un BPA de doble dígito por sinergias y recompras, y es la única red de tres países. Aurizon baja las medianas (14,9 veces el PER, red australiana de carbón regulada): sin ella, el PER mediano sube a 21,2 veces. Norfolk Southern cotiza con la oferta de UP dentro. Por comparables, CPKC valdría 110-116 CAD (EV/EBITDA y PER de los próximos 12 meses): un 6-10 % menos que hoy. Usamos el PER como múltiplo principal porque el EBITDA del consenso es ajustado y el deudor más grande del sector (CPKC) tiene más deuda relativa.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Norfolk Southern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Union Pacific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del STB (decisión en 2027). Múltiplos sobre ventas y EBITDA de 2024 de NS (12.123 y 5.499 M USD) [15,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Kansas City Southern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Canadian Pacific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el EBITDA LTM ajustado de KCS a jun-2021 (1.600 M USD, con 128 M de ajuste COVID)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Kansas City Southern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Canadian National (oferta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el STB rechazó el fideicomiso de voto; se excluye.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Genesee &amp; Wyoming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Brookfield Infrastructure y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Ferrocarriles regionales de EE. UU., Australia y Reino Unido [36,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Florida East Coast Railway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GMéxico Transportes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Regional de Florida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Pacific National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(CPP, GIP, CIC, GIC, BCI)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Mercancías en Australia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2009-11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BNSF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plazo de 5-7 años; referencia histórica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(13,4x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88,67 – 107,12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ferrocarriles se pagan a 10-15 veces el EBITDA de los últimos 12 meses (mediana de los precedentes del folleto de KCS: 11,4 veces [36]); la de KCS por CP (19,4 veces) y la oferta de CN (21,1 veces) fueron excepciones por la escasez de redes, y UP paga por NS unas 15,5 veces el EBITDA de 2024 con un 25 % de prima [19]. CPKC no es objetivo realista: es la más pequeña de las seis, pero una compra por UP, BNSF o CSX exigiría otra revisión del STB, y la regla de fusiones de 2001 pide «mejorar la competencia». Si UP-NS se aprueba, BNSF y CSX podrían mirar a CPKC: es una opción, no la tesis. Por transacciones, el valor sería de 88-107 CAD por acción: no pesa en la síntesis.</w:t>
      </w:r>
    </w:p>
    <w:p>
      <w:pPr>
        <w:pStyle w:val="Heading1"/>
      </w:pPr>
      <w:r>
        <w:t xml:space="preserve">20. Descuento de flujos de caja (DCF)</w:t>
      </w:r>
    </w:p>
    <w:p>
      <w:pPr>
        <w:pStyle w:val="Confianza"/>
        <w:spacing w:after="100"/>
      </w:pPr>
      <w:r>
        <w:t xml:space="preserve">Confianza: Alta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+7,5 % en 2026 (fijo: el 1S26 creció un 5 % y el 2T26 un 13 % con volumen +4 % y recargo de combustible alto [5]; la guía pide RTM +mid-single digit [7]), +6 % en 2027-2028 (volumen +3-3,5 % con sinergias de KCS y puente terrestre de 600 M camino de 1.000 M [10], precio +3 % dentro de la guía de 3-4 % [10]), y bajando al 3 % en 2034-2035. Media del 4,8 %, por encima del 3 % anual de 2019-2025 en perímetro constante y por debajo del consenso de 2027-2028 (+6,1 % y +6,5 % [32]).</w:t>
      </w:r>
    </w:p>
    <w:p>
      <w:pPr>
        <w:keepNext/>
        <w:spacing w:after="100"/>
      </w:pPr>
      <w:r>
        <w:rPr>
          <w:b/>
          <w:bCs/>
        </w:rPr>
        <w:t xml:space="preserve">Márgenes.</w:t>
      </w:r>
    </w:p>
    <w:p>
      <w:pPr>
        <w:spacing w:after="100"/>
      </w:pPr>
      <w:r>
        <w:t xml:space="preserve">Margen EBITDA publicado del 50,0 % en 2026 (1S26: 47,8 %, con combustible y huelga; 2S25: 52,4 %) [1, 5], 51,5 % en 2027, 52,5 % en 2028 y 53,0 % desde 2029, equivalente a un ratio operativo core de unos 57-58 %. CP lo tuvo en 2019-2020 (EBITDA del 49-53 %) y CPKC hizo un 55,9 % core en el 4T25 [7]. Es el supuesto más exigente.</w:t>
      </w:r>
    </w:p>
    <w:p>
      <w:pPr>
        <w:keepNext/>
        <w:spacing w:after="100"/>
      </w:pPr>
      <w:r>
        <w:rPr>
          <w:b/>
          <w:bCs/>
        </w:rPr>
        <w:t xml:space="preserve">Inversión y circulante.</w:t>
      </w:r>
    </w:p>
    <w:p>
      <w:pPr>
        <w:spacing w:after="100"/>
      </w:pPr>
      <w:r>
        <w:t xml:space="preserve">Capex de 2.650 M en 2026 (guía, 16,4 % de las ventas [7]) y del 16,5 % hasta 2030, bajando al 14 % en 2035, frente a una amortización publicada del 12,8 % que incluye unos 2,3 puntos de amortización de la compra de KCS: la inversión neta económica es del 4-5 % de las ventas, suficiente para crecer en volumen un 3 %. Circulante negativo (−1,5 % de las ventas, como en 2025 [1]).</w:t>
      </w:r>
    </w:p>
    <w:p>
      <w:pPr>
        <w:keepNext/>
        <w:spacing w:after="100"/>
      </w:pPr>
      <w:r>
        <w:rPr>
          <w:b/>
          <w:bCs/>
        </w:rPr>
        <w:t xml:space="preserve">Coste del capital.</w:t>
      </w:r>
    </w:p>
    <w:p>
      <w:pPr>
        <w:spacing w:after="100"/>
      </w:pPr>
      <w:r>
        <w:t xml:space="preserve">Tasa libre del 3,87 % (bono canadiense a 10 años, 13-oct-2026 [33]); beta de 0,95, entre la mensual de 5 años ajustada (1,11) y la semanal ajustada (0,85) frente al TSX [30]; prima de mercado del 5,5 %; coste de la deuda antes de impuestos del 4,6 % (bonos colocados en sept-2026 al 4,20-5,40 % [13]); peso de la deuda del 19 % a valor de mercado (25.147 M sobre 133.000 M). WACC del 8,02 %.</w:t>
      </w:r>
    </w:p>
    <w:p>
      <w:pPr>
        <w:keepNext/>
        <w:spacing w:after="100"/>
      </w:pPr>
      <w:r>
        <w:rPr>
          <w:b/>
          <w:bCs/>
        </w:rPr>
        <w:t xml:space="preserve">Valor terminal.</w:t>
      </w:r>
    </w:p>
    <w:p>
      <w:pPr>
        <w:spacing w:after="100"/>
      </w:pPr>
      <w:r>
        <w:t xml:space="preserve">Media de Gordon al 3 % (inflación canadiense del 2 % más crecimiento real del 1 %, por debajo de la tasa libre menos medio punto) y de un múltiplo de salida de 13 veces el EBITDA, en la parte baja de los comparables de hoy (13,2-14,1 veces el NTM) y de las transacciones (10-15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(hoy: 11,1 %)</w:t>
            </w:r>
          </w:p>
        </w:tc>
      </w:tr>
    </w:tbl>
    <w:p>
      <w:pPr>
        <w:spacing w:after="160" w:before="0"/>
      </w:pPr>
    </w:p>
    <w:p>
      <w:pPr>
        <w:spacing w:after="100"/>
      </w:pPr>
      <w:r>
        <w:t xml:space="preserve">La proyección apenas necesita inversión neta de la amortización (reinversión acumulada de 5.624 M, el 9 % del NOPAT, con un capex bruto medio del 15,7 % de las ventas). En un negocio de activos ligeros, el crecimiento medio del 4,8 % tiene que salir de subir precios y de ganar volumen sin capital nuevo, y la prueba es el poder de precios y la cuota (11,9 % del mercado en 2030e, frente al 11,1 %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(RTM del 2T26 +4 %, cosecha récord, sinergias), precio +3 % (guía 3-4 %), otros +0,5 % (recargo de combustible con el diésel +70 % y dólar) [5,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(puente terrestre, MMX/SMX, grano a México), precio +3 %, otros −0,5 % (normalización del recargo de combustible)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+3 %, en línea con el día del inversor de 2023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+2,5 %: crecimiento del mercado (4,5 %) más algo de cuota por sinergias.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precio +2,5 % cada uno: convergencia hacia el PIB nominal.</w:t>
            </w:r>
          </w:p>
        </w:tc>
      </w:tr>
    </w:tbl>
    <w:p>
      <w:pPr>
        <w:spacing w:after="160" w:before="0"/>
      </w:pPr>
    </w:p>
    <w:p>
      <w:pPr>
        <w:spacing w:after="100"/>
      </w:pPr>
      <w:r>
        <w:t xml:space="preserve">En parte. El precio (+3 % al año) se apoya en un foso amplio: redes que no se replican, cargadores cautivos y un ingreso por vagón que sube pese al recargo de combustible a la baja [1]. El volumen (+3-4 %) depende de las sinergias de KCS, que superan el plan (1.400-1.500 M USD de ritmo anual [10]), y de un comercio Canadá-EE. UU.-México hoy en revisión anual. La prueba de reinversión del motor no aplica (la amortización publicada incluye la de la compra): hecha a mano, la inversión neta económica es de unos 900 M al año, el 18 % del NOPAT, que al ROIC sin fondo de comercio (8,6 %) financia un 1,5 % de crecimiento real; con el precio, un 4,5 %, cerca del 4,8 % proyectado. La cuota pasa del 11,1 % al 11,9 % en 2030 (1,07 veces). No rebajamos el base, pero el margen del 53 % es exigente.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8,0 %)</w:t>
            </w:r>
          </w:p>
        </w:tc>
      </w:tr>
    </w:tbl>
    <w:p>
      <w:pPr>
        <w:spacing w:after="160" w:before="0"/>
      </w:pPr>
    </w:p>
    <w:p>
      <w:pPr>
        <w:spacing w:after="100"/>
      </w:pPr>
      <w:r>
        <w:t xml:space="preserve">El DCF da 98,50 CAD por acción, un 19,7 % por debajo del precio, con el 68 % del valor en el valor terminal. El DCF inverso dice que a 122,70 el mercado descuenta un crecimiento de los ingresos del 6,9 % anual en 2027-2035 con nuestros márgenes (frente al 4,5 % de nuestro caso base en ese periodo), o un margen EBITDA del 61 % (frente al 53 %): la rentabilidad implícita en el precio es del 6,9 %, por debajo de nuestro WACC del 8,02 % y casi igual al 7,02 % que pide hoy el mercado con su prima implícita. Es exigente: ningún ferrocarril de clase I ha crecido un 7 % anual durante una década sin compras, y el margen del 61 % no lo tiene nadie del sector. Con la prima de riesgo del mercado (4,2 %), el DCF sube a 118,85: el precio solo se sostiene si se acepta un coste de capital de mercado y el crecimiento de doble dígito del BPA de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industrial en 2027 con el T-MEC en revisión anual y aranceles sobre coches y acero; el STB aprueba UP-NS y CPKC pierde tráfico de enlace en Kansas City; el volumen crece un 1 % y el margen no pasa del 50 %, como en 2023-2024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por poco, las sinergias de KCS siguen sumando 200-300 M USD al año, el precio sube un 3 % y el ratio operativo core baja hacia el 57 %; el BPA normalizado crece un 10 % al año en 2027-2028 [7, 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Nearshoring en México y puente terrestre de 1.000 M en 2028; el STB rechaza o condiciona UP-NS; volumen +5 % y ratio operativo core del 55-56 %, como el 4T25 [7,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AD) · precio actual 12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93,00 CAD (-24,2 %).</w:t>
      </w:r>
    </w:p>
    <w:p>
      <w:pPr>
        <w:spacing w:after="100"/>
      </w:pPr>
      <w:r>
        <w:t xml:space="preserve">La asimetría del valor intrínseco es mala: el alcista (116,66) queda un 4,9 % por debajo del precio y el bajista (58,35) un 52,4 %. A 12 meses, con la regla de múltiplos, la asimetría es mejor (alcista 153,32, +25,7 %; bajista 100,23, −17,5 %; 1,36 veces), porque el mercado paga hoy 23-25 veces el beneficio de un ferrocarril y nuestro DCF descuenta al 8 %. El bajista es verosímil: es 2023-2024 (volumen plano, margen bajo) con aranceles.</w:t>
      </w:r>
    </w:p>
    <w:p>
      <w:pPr>
        <w:pStyle w:val="Heading1"/>
      </w:pPr>
      <w:r>
        <w:t xml:space="preserve">22. Suma de partes</w:t>
      </w:r>
    </w:p>
    <w:p>
      <w:pPr>
        <w:pStyle w:val="Confianza"/>
        <w:spacing w:after="100"/>
      </w:pPr>
      <w:r>
        <w:t xml:space="preserve">Confianza: Alta</w:t>
      </w:r>
    </w:p>
    <w:p>
      <w:pPr>
        <w:spacing w:after="100"/>
      </w:pPr>
      <w:r>
        <w:t xml:space="preserve">No aplica: un solo segmento (ferrocarril) con la misma red, plantilla y clientes en los tres países; la empresa no da resultados por país ni por línea de negocio.</w:t>
      </w:r>
    </w:p>
    <w:p>
      <w:pPr>
        <w:spacing w:after="160" w:before="0"/>
      </w:pPr>
    </w:p>
    <w:p>
      <w:pPr>
        <w:pStyle w:val="Heading1"/>
      </w:pPr>
      <w:r>
        <w:t xml:space="preserve">23. Síntesis de valoración</w:t>
      </w:r>
    </w:p>
    <w:p>
      <w:pPr>
        <w:pStyle w:val="Confianza"/>
        <w:spacing w:after="100"/>
      </w:pPr>
      <w:r>
        <w:t xml:space="preserve">Confianza: Alta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AD) · precio actual 12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101,19 CAD (-17,5 % sobre 122,70).</w:t>
      </w:r>
    </w:p>
    <w:p>
      <w:pPr>
        <w:spacing w:after="100"/>
      </w:pPr>
      <w:r>
        <w:t xml:space="preserve">Pesos: DCF 40 %, comparables 30 % y escenarios 30 %; sin transacciones (prima de control y una compra de CPKC no es realista). El DCF es el método más fiable para un negocio de vida tan larga, pero con una tasa libre del 3,87 % y beta 0,95 su WACC (8,02 %) está por encima de lo que pide el mercado (7,02 %): por eso el valor intrínseco, 101,19 CAD, queda un 17,5 % por debajo del precio, y con la prima del mercado sube a 115,01. Los comparables dan 110-116 CAD y las transacciones 88-107. La dispersión es baja y todos los métodos quedan por debajo de 122,70; solo el objetivo a 12 meses por múltiplos (133,17) y el objetivo medio de los analistas (139,74) están por encima, porque el mercado paga a los ferrocarriles una rentabilidad implícita del 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(23.6x) a mitad de camino hacia la mediana de 5 años (25.3x)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bl>
    <w:p>
      <w:pPr>
        <w:spacing w:after="160" w:before="0"/>
      </w:pPr>
    </w:p>
    <w:p>
      <w:pPr>
        <w:spacing w:after="100"/>
      </w:pPr>
      <w:r>
        <w:rPr>
          <w:b/>
          <w:bCs/>
        </w:rPr>
        <w:t xml:space="preserve">Objetivo a 12 meses (ponderado):</w:t>
      </w:r>
      <w:r>
        <w:t xml:space="preserve"> 133,17 CAD · rentabilidad +9,3 % (base +14,5 %) · señal Mantener.</w:t>
      </w:r>
    </w:p>
    <w:p>
      <w:pPr>
        <w:spacing w:after="100"/>
      </w:pPr>
      <w:r>
        <w:t xml:space="preserve">Para comparar, con la regla v2 (historia al cierre, mismo precio): 23,5x / 23,6x / 24,1x, 10,2 %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(5,72) está un 11,6 % por debajo del consenso de MarketScreener (6,47) y el de 2027e (5,20) un 10,2 % por debajo de 5,79 [32]. Unos 0,31 por acción son de base: el consenso se acerca al BPA core, que excluye la amortización de la compra de KCS, y el nuestro la incluye. El resto (≈ 0,40 en 2028e) es que no contamos recompras futuras (el consenso supone unos 30 M de acciones menos) y que nuestro margen EBITDA de 2028e (52,5 %) queda por debajo del suyo (54,0 %). Nuestro precio base (139,57) coincide con el objetivo medio de los analistas (139,74), porque el PER que aplicamos sobre un BPA más bajo es mayor.</w:t>
      </w:r>
    </w:p>
    <w:p>
      <w:pPr>
        <w:keepNext/>
        <w:spacing w:after="100"/>
      </w:pPr>
      <w:r>
        <w:rPr>
          <w:b/>
          <w:bCs/>
        </w:rPr>
        <w:t xml:space="preserve">Del valor intrínseco al objetivo a 12 meses.</w:t>
      </w:r>
    </w:p>
    <w:p>
      <w:pPr>
        <w:spacing w:after="100"/>
      </w:pPr>
      <w:r>
        <w:t xml:space="preserve">El objetivo a 12 meses (133,17 CAD, ponderado) está un 31,6 % por encima del valor intrínseco (101,19): el mercado paga 23-25 veces el beneficio de un ferrocarril y nuestro DCF al 8 % no lo justifica. Para cerrar la distancia haría falta que el coste de capital bajara (tipos) o que el crecimiento de doble dígito se mantuviera más allá de 2028; ninguna de las dos cosas tiene fecha. La tesis de valor no es a 12 meses: a 12 meses la acción puede seguir el BPA (el PER no tiene que bajar), pero no hay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del «segundo semestre de aceleración»: hace falta un BPA core de unos 1,30-1,35 para cumplir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crecimiento de doble dígito; renovación de la recompra (NCIB) en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STB sobre la fusión UP-NS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aprobación sin condiciones para CPKC restaría tráfico de enlace; un rechazo quitaría el mayor riesgo competitivo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revisión anual del T-MEC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normas de origen del automóvil; 18 % de ingresos en México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 del arbitraje con los señalistas (IBEW)</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salarial; efecto pequeño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Exportaciones de una cosecha canadiense récord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Grano: récords de agosto de CN y CPKC; apoyo al 4T26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Union Pacific-Norfolk Southern aprobada sin remedios para CPKC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CPKC es la única red sencilla Canadá-México; puede pactar con BNSF y CSX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STB y condiciones sobre las puertas de Kansas City y Memphis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T-MEC en revisión anual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(cerca del bajista a 12 meses: 100,23)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tratado sigue en vigor hasta 2036; grano y potasa no dependen de él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transfronterizo de automóvil y acero; aranceles de la sección 232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industrial con margen estancado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a 12 meses; −52 % en el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 positivo y costes variables del 30-40 %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RTM semanales en negativo dos meses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2026 incumplida (segundo año seguido)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sinergias dan base al BPA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del 3T26 por debajo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Huelgas y conflictos laborales en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Arbitraje vinculante con IBEW y acuerdo con los maquinistas (oct-2026)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huelga y laudos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Accidente con mercancías peligrosas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frecuencia de accidentes de clase I (0,85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Frecuencia de accidentes de la FRA (0,93 en el 1T26)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 financiadas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positivo; vencimientos de solo 7 M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 EBITDA por encima de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automatización: camión autónomo frente al intermodal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tren mueve granel pesado que el camión no puede; la IA también baja costes ferroviarios (inspección y mantenimiento predictivo)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Rutas comerciales de camiones sin conductor en corredores de más de 800 km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 clave: Keith Creel sin sucesor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estable desde 2017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CEO o del COO</w:t>
            </w:r>
          </w:p>
        </w:tc>
      </w:tr>
    </w:tbl>
    <w:p>
      <w:pPr>
        <w:spacing w:after="160" w:before="0"/>
      </w:pPr>
    </w:p>
    <w:p>
      <w:pPr>
        <w:pStyle w:val="Heading2"/>
      </w:pPr>
      <w:r>
        <w:t xml:space="preserve">Pre-mortem</w:t>
      </w:r>
    </w:p>
    <w:p>
      <w:pPr>
        <w:spacing w:after="100"/>
      </w:pPr>
      <w:r>
        <w:t xml:space="preserve">Octubre de 2029: CPKC vale un 40 % menos, unos 74 CAD. Lo más probable: en 2027 Estados Unidos endurece las normas de origen del automóvil en la revisión del T-MEC y sube los aranceles a México; el tráfico de automóvil y acero que cruza Laredo cae un 15 % y el puente terrestre Canadá-México se estanca en 600 M. Ese mismo año el STB aprueba UP-NS con remedios que no tocan Kansas City, y UP y CN capturan parte del tráfico de enlace hacia México por Memphis y Eagle Pass. La recesión industrial de 2027-2028 deja el volumen plano dos años, el margen EBITDA vuelve al 49-50 % y el BPA normalizado se queda en 5,0 en lugar de 5,7. El mercado, que pagaba 24 veces por un crecimiento de doble dígito, pasa a pagar 17-18 veces, como en 2018-2019. Las recompras con deuda suben el apalancamiento a 3,5 veces y la agencia retira la perspectiva positiva. Los indicadores que lo habrían anticipado: el BPA core del 3T26 y del 4T26 por debajo de la guía, los RTM semanales de automóvil y metales en negativo y el tono de la revisión del T-MEC de julio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en cifras: (1) seguridad: CPKC tiene la menor frecuencia de accidentes de tren reportables a la FRA de las clase I por tercer año (0,85 por millón de trenes-milla en 2025), aunque el 1T26 subió a 0,93 [1]; un descarrilamiento con mercancías peligrosas puede costar miles de millones (Lac-Mégantic 2013; East Palestine para NS en 2023); (2) emisiones: el tren emite unas 3-4 veces menos CO₂ por tonelada que el camión, y el precio del carbono en Canadá encarece el gasóleo; (3) relaciones laborales: 75 % de plantilla sindicada y huelgas en 2024 y 2026 [1].</w:t>
      </w:r>
    </w:p>
    <w:p>
      <w:pPr>
        <w:pStyle w:val="Heading2"/>
      </w:pPr>
      <w:r>
        <w:t xml:space="preserve">Controversias</w:t>
      </w:r>
    </w:p>
    <w:p>
      <w:pPr>
        <w:spacing w:after="100"/>
      </w:pPr>
      <w:r>
        <w:t xml:space="preserve">Huelga de unos 300 señalistas (IBEW) del 31-may al 24-ago-2026, terminada con arbitraje vinculante, con 19 quejas ante el CIRB por uso de sustitutos [22]; paro nacional de CN y CPKC en agosto de 2024 por arbitraje del Gobierno. Sin sanciones relevantes en los últimos tres años según el 10-K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BPA core del segundo semestre da por seguro la dirección y cuánto depende del recargo de combustible?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creció un 5,5 % y la guía pide «low double-digit»: el 2S debe crecer un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UP-NS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de enlace en Kansas City, Chicago y Memphis estarían en riesgo si se aprueba sin remedios?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opone con dureza pero no cuantifica el efecto: es el mayor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 la dirección en 2028 y cuándo superará el coste de capital con el fondo de comercio de KCS?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publicado es del 6,0 % frente a un WACC del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con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deuda neta ajustada / EBITDA está dispuesta a recomprar?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3,0 a 3,2 veces en un año con 1.963 M de recompras en el semestre.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T-MEC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cruza la frontera de México y qué parte depende de las normas de origen del automóvil?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 es el 18 % de los ingresos y la revisión anual introduce incertidumbre cada julio.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usar el superávit de 4.543 M (vacaciones de aportaciones u otros planes)?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441 M de ingreso contable no monetario al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del consejero delegado y quién es el candidato interno?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Keith Creel es la persona clave de la tesis y no hay número dos público.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seguimiento de tendencia y de opciones: máximos de 52 semanas en julio y agosto, «ruptura» de los transportes; algún mensaje negativo por la huelga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alcistas (crecimiento de doble dígito del BPA, activo único) y tres prudentes: «el precio ya lo refleja», «Wall Street dice comprar, yo espero» (7-oct) y peor evolución que el mercado pese a los resultados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(datos de tráfico y diésel)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comenta el tráfico ferroviario canadiense de CPKC (+7,6 % interanual en septiembre frente al +0,7 % de CN) y el diésel +70 % por la guerra con Irán como ventaja del tren frente al camión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CBC (comentarios de lectores sobre la huelga)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Críticas a la empresa por la huelga de señalistas y el uso de sustitutos; preocupación por la seguridad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«buena empresa, precio justo»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análisis: el PER adelantado (unas 24 veces nuestro BPA de 2027) está cerca de su mediana de cinco años y la rentabilidad a 12 meses sale moderada.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Union Pacific-Norfolk Southern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lejano: decisión del STB en 2027 y CPKC no cuantifica el tráfico en juego; lo recogemos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y diésel caro (ventaja frente al camión)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2T26 (RTM +4 %, ingresos +13 %), pero el recargo de combustible infla los ingresos y no tanto el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Huelgas y relaciones laborales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huelga de señalistas terminó en arbitraje el 24-ago y hubo acuerdo con el sindicato de maquinistas en octubre: el efecto en cuentas es pequeño [42].</w:t>
            </w:r>
          </w:p>
        </w:tc>
      </w:tr>
    </w:tbl>
    <w:p>
      <w:pPr>
        <w:spacing w:after="160" w:before="0"/>
      </w:pPr>
    </w:p>
    <w:p>
      <w:pPr>
        <w:spacing w:after="100"/>
      </w:pPr>
      <w:r>
        <w:t xml:space="preserve">El sentimiento acompaña al precio (máximos en agosto) pero no es eufórico: los artículos más recientes piden esperar por valoración, en línea con el consenso de analistas (objetivo medio 139,74 CAD, un 14 % sobre el precio) y con nuestras cifras. No anticipa un riesgo que el informe no recoja; confirma que la fusión UP-NS es la preocupación principal y que la tesis depende del segundo semestre de 2026 (resultados del 28-oct).</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43 (24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11,9 % en 2030e frente al 11,1 %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-1,5 % real: genera una variación de circulante de -23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4.383 M de flujo libre medio en sus tres primeros años, frente a 2.084 M de media real en los tres últimos: justifica el salto (circulante, inversión, márgenes) o ajusta los supuestos. Explicación: La caja real de 2023-2025 está deprimida por la inversión de integración de KCS (19-21 % de las ventas) y va después de intereses; la guía de 2026 baja el capex a 2.650 M (−15 %) y el consenso espera una caja libre de 3.611 M en 2026 y 4.055 M en 2027 [32]. El FCFF del DCF es antes de intereses (unos 650 M al año después de impuestos).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23,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dan); 2) MarketScreener (gráficos sin texto); 3) Seeking Alpha RSS (solo el titular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web de sostenibilidad (no las publican); 2) MSCI ESG ratings corporate search (requiere JavaScript); 3) Sustainalytics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lo da en la página abierta); 2) Stock Analysis (no consultado por tiempo); 3) cálculo propio (sin balances completos de los cinco)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 EDGAR: sin Form 4 (los directivos de CPKC declaran en SEDI) [28]; 2) SEDI (antibot, no abre sin navegador); 3) InsiderTrades/MarketBeat (no consultados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10-K/A 2025 (perfiles sin tabla de comisiones legible); 2) circular de 2026 (PDF de la web, no leído por tiempo); 3) web de gobierno corporativo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«BUY» y 30 analistas); 2) Investing (no abre sin JavaScript); 3) TipRanks (bloqueo)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IIROC/CIRO (informe quincenal no abierto); 2) NYSE short interest (sin acceso gratuito); 3) Stock Analysis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notas de deuda, pensiones, ingresos por línea de negocio y por país, conciliación del BPA 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Canadian Pacific Kansas City Limited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https://www.sec.gov/Archives/edgar/data/16875/000001687526000008/cp-20251231.htm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2023 (cuentas 2023-2021, toma de control de KCS, BPA core combinado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Canadian Pacific Kansas City Limited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https://www.sec.gov/Archives/edgar/data/16875/000001687524000009/cp-20231231.htm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(cuentas 2021-2019, inversión en KCS, comisión de ruptura de 845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Pacific Railway Limited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https://www.sec.gov/Archives/edgar/data/16875/000001687522000010/cp-20211231.htm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(BPA ajustado y core 2018-2022)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Pacific Railway Limited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https://www.sec.gov/Archives/edgar/data/16875/000001687523000008/cp-20221231.htm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release (cuenta, balance y flujos del 2T26; conciliaciones no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https://www.sec.gov/Archives/edgar/data/16875/000001687526000024/exhibit991-q22026earningsr.htm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https://www.sec.gov/Archives/edgar/data/16875/000001687526000013/exhibit991-q12026earningsr.htm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earnings release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https://www.sec.gov/Archives/edgar/data/16875/000001687526000004/exhibit991-q42025earningsr.htm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https://www.sec.gov/Archives/edgar/data/16875/000001687525000037/exhibit991-q32025earningsr.htm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(acciones en circulación a 28-jul-2026, recompras,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https://www.sec.gov/Archives/edgar/data/16875/000001687526000026/cp-20260630.htm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https://s21.q4cdn.com/736796105/files/doc_financials/2026/q2/Q2-2026-Transcript_Website_vF.pdf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(CIK 16875): cuenta, balance y flujos 2017-2025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https://data.sec.gov/api/xbrl/companyfacts/CIK0000016875.json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2024 earnings release y guía 2025 (BPA core +12-18 %)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https://www.sec.gov/Archives/edgar/data/16875/000001687525000004/exhibit991-q42024earningsr.htm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announces C$1.8 billion debt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https://www.sec.gov/Archives/edgar/data/16875/000119312526407607/d161842dex991.htm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previsiones de Canadian National (CNR)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https://www.marketscreener.com/quote/stock/CANADIAN-NATIONAL-RAILWAY-1409526/finances/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previsiones de Union Pacific (UNP)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https://www.marketscreener.com/quote/stock/UNION-PACIFIC-CORPORATION-14754/finances/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previsiones de CSX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https://www.marketscreener.com/quote/stock/CSX-CORPORATION-25500636/finances/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previsiones de Norfolk Southern (NSC)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https://www.marketscreener.com/quote/stock/NORFOLK-SOUTHERN-CORPORAT-13802/finances/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 BNSF, 2025 revenue, volume flat (ingresos de 23.348 M USD, ratio operativo 65,5 %)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https://www.railwayage.com/freight/class-i/for-bnsf-2025-revenue-volume-flat/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Union Pacific to acquire Norfolk Southern (presentación: 320 USD por acción, valor empresa de 85.000 M USD, prima del 25 %, sinergias de 2.750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Union Pacific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https://www.sec.gov/Archives/edgar/data/100885/000119312525167154/d64537dex991.htm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STB acepta la solicitud revisada de fusión UP-NS (28-may-2026); decisión prevista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American-Rails / Logistics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https://www.american-rails.com/nsupstbaccept.html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CUSMA Joint Review: U.S. triggers annual review process while pacts remain in 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Willson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https://www.willsonintl.com/news/cusma-joint-review-u-s-triggers-annual-review-process-while-pacts-remain-in-force/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Union Pacific, Norfolk Southern drop as state AGs raise concerns over combination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previsiones de Aurizon (AZJ)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https://www.marketscreener.com/quote/stock/AURIZON-HOLDINGS-LIMITED-12081981/finances/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10-K/A 2025 (parte III: consejo, retribución, accionistas, ratio salarial)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https://www.sec.gov/Archives/edgar/data/0000016875/000119312526173665/d172022d10ka.htm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announces results of director elections (junta del 29-abr-2026)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https://www.sec.gov/Archives/edgar/data/16875/000119312526197150/d125479dex991.htm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announces retirement of Board Chair Isabelle Courville; Gordon Trafton appointed Chair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https://www.sec.gov/Archives/edgar/data/16875/000119312526324144/d112154dex991.htm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announces Gordon Trafton appointed board vice-chair; two new members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https://www.sec.gov/Archives/edgar/data/16875/000119312526029569/d38530dex991.htm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Form 4 de CPKC desde el 14-oct-2025 (ninguno presentado: los directivos declaran en SEDI)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https://www.sec.gov/cgi-bin/browse-edgar?action=getcompany&amp;CIK=0000016875&amp;type=4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2023 earnings release (guía 2024: BPA core de doble dígito sobre 3,84)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https://www.sec.gov/Archives/edgar/data/16875/000001687524000005/exhibit991-q42023earningsr.htm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CP.TO, ^GSPTSE y CNR.TO hasta el 14-oct-2026 (precio, rango, betas,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Pacific Kansas City: consenso (30 analistas, objetivo medio 139,74 CAD) y finanzas previstas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https://www.marketscreener.com/quote/stock/CANADIAN-PACIFIC-KANSAS-C-1409549/consensus/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Pacific Kansas City: finanzas (estimaciones de ventas, EBITDA, EBIT y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https://www.marketscreener.com/quote/stock/CANADIAN-PACIFIC-KANSAS-C-1409549/finances/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Benchmark bond yield, 10-year (BD.CDN.10YR.DQ.YLD) y USD/CAD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 (Valet)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https://www.bankofcanada.ca/valet/observations/BD.CDN.10YR.DQ.YLD/json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14-oct-2026 de CNR.TO, UNP, CSX, NSC, AZJ.AX y CP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https://finance.yahoo.com/quote/UNP/history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F-4/A de CP sobre KCS: precedentes de Morgan Stanley y BofA (AV/EBITDA LTM de G&amp;W, FEC, Pacific National, BNSF) y EBITDA ajustado de KCS de 1.600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Pacific Railway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https://www.sec.gov/Archives/edgar/data/16875/000119312521315658/d877235df4a.htm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Genesee &amp; Wyoming to be acquired by Brookfield Infrastructure and GIC (8.400 M USD, prima del 39,5 %)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https://www.old.railwayage.com/?p=37476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de riesgo implícita del S&amp;P 500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to report third-quarter 2026 earnings results on October 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CPKC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https://finviz.com/news/396653/cpkc-to-report-third-quarter-2026-earnings-results-on-october-28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 Q2 2026: BPA core 1,27 frente a 1,24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https://www.marketbeat.com/earnings/reports/2026-7-29-canadian-pacific-railway-limited-stock/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$CP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CP (jun-oct 2026: «Wall Street says buy, I say wait», «Underperformance to market, despite results», «Incredible asset but price already reflects that», «Double-digit EPS growth is coming»)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CBC: huelga de señalistas IBEW en CPKC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https://www.cbc.ca/news/canada/calgary/cpkc-rail-strike-ibew-9.7218655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ninguna</w:t>
      </w:r>
      <w:r>
        <w:t xml:space="preserve"> · Generado el 14 oct 2026.</w:t>
      </w:r>
    </w:p>
    <w:p>
      <w:pPr>
        <w:pStyle w:val="Nota"/>
        <w:spacing w:after="100"/>
      </w:pPr>
      <w:r>
        <w:t xml:space="preserve">Cuentas en CAD y US GAAP del 10-K, el 10-K/A y el 10-Q de la SEC; el XBRL de la SEC (cuentas.mjs) solo recogía el papel comercial como deuda en 2023-2025 y se corrigió con el balance (deuda a largo + vencimientos a un año). Precio: cierre de Toronto del 14-oct-2026 (122,70 CAD); en Nueva York, 86,13 USD (USD/CAD 1,4219 del BCE). Una acción cuesta unos 77,08 EUR (1,5918 CAD/EUR), muy por debajo del 7 % de una cartera de 30.000 EUR. KCS se contabilizó por puesta en equivalencia en 2021-2022 y se consolidó desde el 14-abr-2023: los ratios de esos años no son comparables. Las acciones son las de 28-jul-2026 (879,08 M más 0,7 M de dilución) y la caja del puente se ajusta con las recompras de julio (unos 360 M, estimación propia). Comparables de MarketScreener (LTM aproximado como media de 2025 y 2026e) con precios de Yahoo del 14-oct, en CAD al cambio del BCE. Operaciones de directivos no disponibles: los directivos de CPKC declaran en SEDI, que no abre sin navegador.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Canadian Pacific Kansas City Limited (CP)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122,70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(96,50 – 133,38)</c:v>
                </c:pt>
                <c:pt idx="1">
                  <c:v>Precio objetivo de los analistas (104,00 – 156,00)</c:v>
                </c:pt>
                <c:pt idx="2">
                  <c:v>Comparables: EV/EBITDA NTM (103,19 – 111,21)</c:v>
                </c:pt>
                <c:pt idx="3">
                  <c:v>Comparables: PER NTM (108,99 – 121,29)</c:v>
                </c:pt>
                <c:pt idx="4">
                  <c:v>Transacciones precedentes (EV/EBITDA) (88,67 – 107,12)</c:v>
                </c:pt>
                <c:pt idx="5">
                  <c:v>DCF (WACC y g ± 0,5) (87,53 – 113,79)</c:v>
                </c:pt>
                <c:pt idx="6">
                  <c:v>Escenarios (bajista – alcista) (58,35 – 116,66)</c:v>
                </c:pt>
                <c:pt idx="7">
                  <c:v>DCF con la prima implícita del mercado (4,2 %)</c:v>
                </c:pt>
                <c:pt idx="8">
                  <c:v>Precio actual (122,70)</c:v>
                </c:pt>
              </c:strCache>
            </c:strRef>
          </c:cat>
          <c:val>
            <c:numRef>
              <c:f>Hoja1!$B$2:$B$10</c:f>
              <c:numCache>
                <c:formatCode>#,##0</c:formatCode>
                <c:ptCount val="9"/>
                <c:pt idx="0">
                  <c:v>96.5</c:v>
                </c:pt>
                <c:pt idx="1">
                  <c:v>104</c:v>
                </c:pt>
                <c:pt idx="2">
                  <c:v>103.19</c:v>
                </c:pt>
                <c:pt idx="3">
                  <c:v>108.99</c:v>
                </c:pt>
                <c:pt idx="4">
                  <c:v>88.67</c:v>
                </c:pt>
                <c:pt idx="5">
                  <c:v>87.53</c:v>
                </c:pt>
                <c:pt idx="6">
                  <c:v>58.35</c:v>
                </c:pt>
                <c:pt idx="7">
                  <c:v>107.77</c:v>
                </c:pt>
                <c:pt idx="8">
                  <c:v>122.09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(96,50 – 133,38)</c:v>
                </c:pt>
                <c:pt idx="1">
                  <c:v>Precio objetivo de los analistas (104,00 – 156,00)</c:v>
                </c:pt>
                <c:pt idx="2">
                  <c:v>Comparables: EV/EBITDA NTM (103,19 – 111,21)</c:v>
                </c:pt>
                <c:pt idx="3">
                  <c:v>Comparables: PER NTM (108,99 – 121,29)</c:v>
                </c:pt>
                <c:pt idx="4">
                  <c:v>Transacciones precedentes (EV/EBITDA) (88,67 – 107,12)</c:v>
                </c:pt>
                <c:pt idx="5">
                  <c:v>DCF (WACC y g ± 0,5) (87,53 – 113,79)</c:v>
                </c:pt>
                <c:pt idx="6">
                  <c:v>Escenarios (bajista – alcista) (58,35 – 116,66)</c:v>
                </c:pt>
                <c:pt idx="7">
                  <c:v>DCF con la prima implícita del mercado (4,2 %)</c:v>
                </c:pt>
                <c:pt idx="8">
                  <c:v>Precio actual (122,70)</c:v>
                </c:pt>
              </c:strCache>
            </c:strRef>
          </c:cat>
          <c:val>
            <c:numRef>
              <c:f>Hoja1!$C$2:$C$10</c:f>
              <c:numCache>
                <c:formatCode>#,##0</c:formatCode>
                <c:ptCount val="9"/>
                <c:pt idx="0">
                  <c:v>36.879999999999995</c:v>
                </c:pt>
                <c:pt idx="1">
                  <c:v>52</c:v>
                </c:pt>
                <c:pt idx="2">
                  <c:v>8.019999999999996</c:v>
                </c:pt>
                <c:pt idx="3">
                  <c:v>12.300000000000011</c:v>
                </c:pt>
                <c:pt idx="4">
                  <c:v>18.450000000000003</c:v>
                </c:pt>
                <c:pt idx="5">
                  <c:v>26.260000000000005</c:v>
                </c:pt>
                <c:pt idx="6">
                  <c:v>58.309999999999995</c:v>
                </c:pt>
                <c:pt idx="7">
                  <c:v>24.709999999999994</c:v>
                </c:pt>
                <c:pt idx="8">
                  <c:v>1.2199999999999989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(CAD, millones)</a:t>
            </a:r>
          </a:p>
        </c:rich>
      </c:tx>
      <c:overlay val="0"/>
    </c:title>
    <c:autoTitleDeleted val="0"/>
    <c:plotArea>
      <c:layout/>
      <c:barChart>
        <c:barDir val="col"/>
        <c:grouping val="stacked"/>
        <c:varyColors val="0"/>
        <c:ser>
          <c:idx val="0"/>
          <c:order val="0"/>
          <c:tx>
            <c:strRef>
              <c:f>Hoja1!$B$1</c:f>
              <c:strCache>
                <c:ptCount val="1"/>
                <c:pt idx="0">
                  <c:v>Grano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1684</c:v>
                </c:pt>
                <c:pt idx="1">
                  <c:v>1776</c:v>
                </c:pt>
                <c:pt idx="2">
                  <c:v>2496</c:v>
                </c:pt>
                <c:pt idx="3">
                  <c:v>3012</c:v>
                </c:pt>
                <c:pt idx="4">
                  <c:v>3217</c:v>
                </c:pt>
              </c:numCache>
            </c:numRef>
          </c:val>
        </c:ser>
        <c:ser>
          <c:idx val="1"/>
          <c:order val="1"/>
          <c:tx>
            <c:strRef>
              <c:f>Hoja1!$C$1</c:f>
              <c:strCache>
                <c:ptCount val="1"/>
                <c:pt idx="0">
                  <c:v>Carbón</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625</c:v>
                </c:pt>
                <c:pt idx="1">
                  <c:v>577</c:v>
                </c:pt>
                <c:pt idx="2">
                  <c:v>859</c:v>
                </c:pt>
                <c:pt idx="3">
                  <c:v>943</c:v>
                </c:pt>
                <c:pt idx="4">
                  <c:v>1025</c:v>
                </c:pt>
              </c:numCache>
            </c:numRef>
          </c:val>
        </c:ser>
        <c:ser>
          <c:idx val="2"/>
          <c:order val="2"/>
          <c:tx>
            <c:strRef>
              <c:f>Hoja1!$D$1</c:f>
              <c:strCache>
                <c:ptCount val="1"/>
                <c:pt idx="0">
                  <c:v>Potasa, fertilizantes y azufre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768</c:v>
                </c:pt>
                <c:pt idx="1">
                  <c:v>913</c:v>
                </c:pt>
                <c:pt idx="2">
                  <c:v>951</c:v>
                </c:pt>
                <c:pt idx="3">
                  <c:v>1020</c:v>
                </c:pt>
                <c:pt idx="4">
                  <c:v>1063</c:v>
                </c:pt>
              </c:numCache>
            </c:numRef>
          </c:val>
        </c:ser>
        <c:ser>
          <c:idx val="3"/>
          <c:order val="3"/>
          <c:tx>
            <c:strRef>
              <c:f>Hoja1!$E$1</c:f>
              <c:strCache>
                <c:ptCount val="1"/>
                <c:pt idx="0">
                  <c:v>Productos forestales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348</c:v>
                </c:pt>
                <c:pt idx="1">
                  <c:v>403</c:v>
                </c:pt>
                <c:pt idx="2">
                  <c:v>696</c:v>
                </c:pt>
                <c:pt idx="3">
                  <c:v>816</c:v>
                </c:pt>
                <c:pt idx="4">
                  <c:v>792</c:v>
                </c:pt>
              </c:numCache>
            </c:numRef>
          </c:val>
        </c:ser>
        <c:ser>
          <c:idx val="4"/>
          <c:order val="4"/>
          <c:tx>
            <c:strRef>
              <c:f>Hoja1!$F$1</c:f>
              <c:strCache>
                <c:ptCount val="1"/>
                <c:pt idx="0">
                  <c:v>Energía, químicos y plásticos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1563</c:v>
                </c:pt>
                <c:pt idx="1">
                  <c:v>1394</c:v>
                </c:pt>
                <c:pt idx="2">
                  <c:v>2301</c:v>
                </c:pt>
                <c:pt idx="3">
                  <c:v>2851</c:v>
                </c:pt>
                <c:pt idx="4">
                  <c:v>2898</c:v>
                </c:pt>
              </c:numCache>
            </c:numRef>
          </c:val>
        </c:ser>
        <c:ser>
          <c:idx val="5"/>
          <c:order val="5"/>
          <c:tx>
            <c:strRef>
              <c:f>Hoja1!$G$1</c:f>
              <c:strCache>
                <c:ptCount val="1"/>
                <c:pt idx="0">
                  <c:v>Metales, minerales y consumo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728</c:v>
                </c:pt>
                <c:pt idx="1">
                  <c:v>884</c:v>
                </c:pt>
                <c:pt idx="2">
                  <c:v>1579</c:v>
                </c:pt>
                <c:pt idx="3">
                  <c:v>1777</c:v>
                </c:pt>
                <c:pt idx="4">
                  <c:v>1792</c:v>
                </c:pt>
              </c:numCache>
            </c:numRef>
          </c:val>
        </c:ser>
        <c:ser>
          <c:idx val="6"/>
          <c:order val="6"/>
          <c:tx>
            <c:strRef>
              <c:f>Hoja1!$H$1</c:f>
              <c:strCache>
                <c:ptCount val="1"/>
                <c:pt idx="0">
                  <c:v>Automóvil</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376</c:v>
                </c:pt>
                <c:pt idx="1">
                  <c:v>438</c:v>
                </c:pt>
                <c:pt idx="2">
                  <c:v>934</c:v>
                </c:pt>
                <c:pt idx="3">
                  <c:v>1280</c:v>
                </c:pt>
                <c:pt idx="4">
                  <c:v>1310</c:v>
                </c:pt>
              </c:numCache>
            </c:numRef>
          </c:val>
        </c:ser>
        <c:ser>
          <c:idx val="7"/>
          <c:order val="7"/>
          <c:tx>
            <c:strRef>
              <c:f>Hoja1!$I$1</c:f>
              <c:strCache>
                <c:ptCount val="1"/>
                <c:pt idx="0">
                  <c:v>Intermodal y otros</c:v>
                </c:pt>
              </c:strCache>
            </c:strRef>
          </c:tx>
          <c:spPr>
            <a:solidFill>
              <a:srgbClr val="E34948"/>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Hoja1!$I$2:$I$6</c:f>
              <c:numCache>
                <c:formatCode>#,##0</c:formatCode>
                <c:ptCount val="5"/>
                <c:pt idx="0">
                  <c:v>1903</c:v>
                </c:pt>
                <c:pt idx="1">
                  <c:v>2429</c:v>
                </c:pt>
                <c:pt idx="2">
                  <c:v>2739</c:v>
                </c:pt>
                <c:pt idx="3">
                  <c:v>2847</c:v>
                </c:pt>
                <c:pt idx="4">
                  <c:v>2981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Pt>
            <c:idx val="7"/>
            <c:bubble3D val="0"/>
            <c:spPr>
              <a:solidFill>
                <a:srgbClr val="E34948"/>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Hoja1!$A$2:$A$9</c:f>
              <c:strCache>
                <c:ptCount val="8"/>
                <c:pt idx="0">
                  <c:v>Grano</c:v>
                </c:pt>
                <c:pt idx="1">
                  <c:v>Carbón</c:v>
                </c:pt>
                <c:pt idx="2">
                  <c:v>Potasa, fertilizantes y azufre</c:v>
                </c:pt>
                <c:pt idx="3">
                  <c:v>Productos forestales</c:v>
                </c:pt>
                <c:pt idx="4">
                  <c:v>Energía, químicos y plásticos</c:v>
                </c:pt>
                <c:pt idx="5">
                  <c:v>Metales, minerales y consumo</c:v>
                </c:pt>
                <c:pt idx="6">
                  <c:v>Automóvil</c:v>
                </c:pt>
                <c:pt idx="7">
                  <c:v>Intermodal y otros</c:v>
                </c:pt>
              </c:strCache>
            </c:strRef>
          </c:cat>
          <c:val>
            <c:numRef>
              <c:f>Hoja1!$B$2:$B$9</c:f>
              <c:numCache>
                <c:formatCode>General</c:formatCode>
                <c:ptCount val="8"/>
                <c:pt idx="0">
                  <c:v>21.3</c:v>
                </c:pt>
                <c:pt idx="1">
                  <c:v>6.8</c:v>
                </c:pt>
                <c:pt idx="2">
                  <c:v>7.1</c:v>
                </c:pt>
                <c:pt idx="3">
                  <c:v>5.3</c:v>
                </c:pt>
                <c:pt idx="4">
                  <c:v>19.2</c:v>
                </c:pt>
                <c:pt idx="5">
                  <c:v>11.9</c:v>
                </c:pt>
                <c:pt idx="6">
                  <c:v>8.7</c:v>
                </c:pt>
                <c:pt idx="7">
                  <c:v>19.8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Canadá</c:v>
                </c:pt>
                <c:pt idx="1">
                  <c:v>EE. UU.</c:v>
                </c:pt>
                <c:pt idx="2">
                  <c:v>México</c:v>
                </c:pt>
              </c:strCache>
            </c:strRef>
          </c:cat>
          <c:val>
            <c:numRef>
              <c:f>Hoja1!$B$2:$B$4</c:f>
              <c:numCache>
                <c:formatCode>0"%"</c:formatCode>
                <c:ptCount val="3"/>
                <c:pt idx="0">
                  <c:v>48</c:v>
                </c:pt>
                <c:pt idx="1">
                  <c:v>34</c:v>
                </c:pt>
                <c:pt idx="2">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CAD)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2030e</c:v>
                </c:pt>
              </c:strCache>
            </c:strRef>
          </c:cat>
          <c:val>
            <c:numRef>
              <c:f>Hoja1!$B$2:$B$5</c:f>
              <c:numCache>
                <c:formatCode>#,##0</c:formatCode>
                <c:ptCount val="4"/>
                <c:pt idx="0">
                  <c:v>136016</c:v>
                </c:pt>
                <c:pt idx="1">
                  <c:v>145300</c:v>
                </c:pt>
                <c:pt idx="2">
                  <c:v>151500</c:v>
                </c:pt>
                <c:pt idx="3">
                  <c:v>169500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CPKC</c:v>
                </c:pt>
                <c:pt idx="1">
                  <c:v>Union Pacific</c:v>
                </c:pt>
                <c:pt idx="2">
                  <c:v>BNSF (Berkshire Hathaway)</c:v>
                </c:pt>
                <c:pt idx="3">
                  <c:v>Canadian National</c:v>
                </c:pt>
                <c:pt idx="4">
                  <c:v>CSX</c:v>
                </c:pt>
                <c:pt idx="5">
                  <c:v>Norfolk Southern</c:v>
                </c:pt>
              </c:strCache>
            </c:strRef>
          </c:cat>
          <c:val>
            <c:numRef>
              <c:f>Hoja1!$B$2:$B$7</c:f>
              <c:numCache>
                <c:formatCode>0.0"%"</c:formatCode>
                <c:ptCount val="6"/>
                <c:pt idx="0">
                  <c:v>37.2</c:v>
                </c:pt>
                <c:pt idx="1">
                  <c:v>40.2</c:v>
                </c:pt>
                <c:pt idx="2">
                  <c:v>34.5</c:v>
                </c:pt>
                <c:pt idx="3">
                  <c:v>38.4</c:v>
                </c:pt>
                <c:pt idx="4">
                  <c:v>33.2</c:v>
                </c:pt>
                <c:pt idx="5">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(CAD,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7792</c:v>
                </c:pt>
                <c:pt idx="1">
                  <c:v>7710</c:v>
                </c:pt>
                <c:pt idx="2">
                  <c:v>7995</c:v>
                </c:pt>
                <c:pt idx="3">
                  <c:v>8814</c:v>
                </c:pt>
                <c:pt idx="4">
                  <c:v>12555</c:v>
                </c:pt>
                <c:pt idx="5">
                  <c:v>14546</c:v>
                </c:pt>
                <c:pt idx="6">
                  <c:v>15078</c:v>
                </c:pt>
                <c:pt idx="7">
                  <c:v>16209</c:v>
                </c:pt>
                <c:pt idx="8">
                  <c:v>17181</c:v>
                </c:pt>
                <c:pt idx="9">
                  <c:v>18212</c:v>
                </c:pt>
                <c:pt idx="10">
                  <c:v>19214</c:v>
                </c:pt>
                <c:pt idx="11">
                  <c:v>20175</c:v>
                </c:pt>
                <c:pt idx="12">
                  <c:v>21082</c:v>
                </c:pt>
                <c:pt idx="13">
                  <c:v>21926</c:v>
                </c:pt>
                <c:pt idx="14">
                  <c:v>22693</c:v>
                </c:pt>
                <c:pt idx="15">
                  <c:v>23374</c:v>
                </c:pt>
                <c:pt idx="16">
                  <c:v>24075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3830</c:v>
                </c:pt>
                <c:pt idx="1">
                  <c:v>4090</c:v>
                </c:pt>
                <c:pt idx="2">
                  <c:v>4017</c:v>
                </c:pt>
                <c:pt idx="3">
                  <c:v>4182</c:v>
                </c:pt>
                <c:pt idx="4">
                  <c:v>5931</c:v>
                </c:pt>
                <c:pt idx="5">
                  <c:v>7079</c:v>
                </c:pt>
                <c:pt idx="6">
                  <c:v>7628</c:v>
                </c:pt>
                <c:pt idx="7">
                  <c:v>8104</c:v>
                </c:pt>
                <c:pt idx="8">
                  <c:v>8848</c:v>
                </c:pt>
                <c:pt idx="9">
                  <c:v>9561</c:v>
                </c:pt>
                <c:pt idx="10">
                  <c:v>10183</c:v>
                </c:pt>
                <c:pt idx="11">
                  <c:v>10693</c:v>
                </c:pt>
                <c:pt idx="12">
                  <c:v>11174</c:v>
                </c:pt>
                <c:pt idx="13">
                  <c:v>11621</c:v>
                </c:pt>
                <c:pt idx="14">
                  <c:v>12027</c:v>
                </c:pt>
                <c:pt idx="15">
                  <c:v>12388</c:v>
                </c:pt>
                <c:pt idx="16">
                  <c:v>12760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49.2</c:v>
                </c:pt>
                <c:pt idx="1">
                  <c:v>53</c:v>
                </c:pt>
                <c:pt idx="2">
                  <c:v>50.2</c:v>
                </c:pt>
                <c:pt idx="3">
                  <c:v>47.4</c:v>
                </c:pt>
                <c:pt idx="4">
                  <c:v>47.2</c:v>
                </c:pt>
                <c:pt idx="5">
                  <c:v>48.7</c:v>
                </c:pt>
                <c:pt idx="6">
                  <c:v>50.6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40.1</c:v>
                </c:pt>
                <c:pt idx="1">
                  <c:v>42.9</c:v>
                </c:pt>
                <c:pt idx="2">
                  <c:v>40.1</c:v>
                </c:pt>
                <c:pt idx="3">
                  <c:v>37.8</c:v>
                </c:pt>
                <c:pt idx="4">
                  <c:v>35</c:v>
                </c:pt>
                <c:pt idx="5">
                  <c:v>35.6</c:v>
                </c:pt>
                <c:pt idx="6">
                  <c:v>37.2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31.3</c:v>
                </c:pt>
                <c:pt idx="1">
                  <c:v>31.7</c:v>
                </c:pt>
                <c:pt idx="2">
                  <c:v>35.7</c:v>
                </c:pt>
                <c:pt idx="3">
                  <c:v>39.9</c:v>
                </c:pt>
                <c:pt idx="4">
                  <c:v>31.3</c:v>
                </c:pt>
                <c:pt idx="5">
                  <c:v>25.6</c:v>
                </c:pt>
                <c:pt idx="6">
                  <c:v>27.5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3.2</c:v>
                </c:pt>
                <c:pt idx="5">
                  <c:v>1.3</c:v>
                </c:pt>
                <c:pt idx="6">
                  <c:v>-2.5</c:v>
                </c:pt>
                <c:pt idx="7">
                  <c:v>12.6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38</c:v>
                </c:pt>
                <c:pt idx="1">
                  <c:v>39</c:v>
                </c:pt>
                <c:pt idx="2">
                  <c:v>37</c:v>
                </c:pt>
                <c:pt idx="3">
                  <c:v>42</c:v>
                </c:pt>
                <c:pt idx="4">
                  <c:v>55</c:v>
                </c:pt>
                <c:pt idx="5">
                  <c:v>49</c:v>
                </c:pt>
                <c:pt idx="6">
                  <c:v>49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1">
                  <c:v>21</c:v>
                </c:pt>
                <c:pt idx="2">
                  <c:v>22</c:v>
                </c:pt>
                <c:pt idx="3">
                  <c:v>22</c:v>
                </c:pt>
                <c:pt idx="4">
                  <c:v>22</c:v>
                </c:pt>
                <c:pt idx="5">
                  <c:v>22</c:v>
                </c:pt>
                <c:pt idx="6">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156</c:v>
                </c:pt>
                <c:pt idx="1">
                  <c:v>148</c:v>
                </c:pt>
                <c:pt idx="2">
                  <c:v>148</c:v>
                </c:pt>
                <c:pt idx="3">
                  <c:v>134</c:v>
                </c:pt>
                <c:pt idx="4">
                  <c:v>141</c:v>
                </c:pt>
                <c:pt idx="5">
                  <c:v>139</c:v>
                </c:pt>
                <c:pt idx="6">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(CAD,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1337</c:v>
                </c:pt>
                <c:pt idx="1">
                  <c:v>1123</c:v>
                </c:pt>
                <c:pt idx="2">
                  <c:v>2148</c:v>
                </c:pt>
                <c:pt idx="3">
                  <c:v>2481</c:v>
                </c:pt>
                <c:pt idx="4">
                  <c:v>1625</c:v>
                </c:pt>
                <c:pt idx="5">
                  <c:v>2431</c:v>
                </c:pt>
                <c:pt idx="6">
                  <c:v>2196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2440</c:v>
                </c:pt>
                <c:pt idx="1">
                  <c:v>2444</c:v>
                </c:pt>
                <c:pt idx="2">
                  <c:v>2852</c:v>
                </c:pt>
                <c:pt idx="3">
                  <c:v>3517</c:v>
                </c:pt>
                <c:pt idx="4">
                  <c:v>3927</c:v>
                </c:pt>
                <c:pt idx="5">
                  <c:v>3718</c:v>
                </c:pt>
                <c:pt idx="6">
                  <c:v>4141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15.4</c:v>
                </c:pt>
                <c:pt idx="1">
                  <c:v>15.5</c:v>
                </c:pt>
                <c:pt idx="2">
                  <c:v>7.1</c:v>
                </c:pt>
                <c:pt idx="3">
                  <c:v>5</c:v>
                </c:pt>
                <c:pt idx="4">
                  <c:v>5.4</c:v>
                </c:pt>
                <c:pt idx="5">
                  <c:v>6</c:v>
                </c:pt>
                <c:pt idx="6">
                  <c:v>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c:v>
                </c:pt>
                <c:pt idx="1">
                  <c:v>8</c:v>
                </c:pt>
                <c:pt idx="2">
                  <c:v>8</c:v>
                </c:pt>
                <c:pt idx="3">
                  <c:v>8</c:v>
                </c:pt>
                <c:pt idx="4">
                  <c:v>8</c:v>
                </c:pt>
                <c:pt idx="5">
                  <c:v>8</c:v>
                </c:pt>
                <c:pt idx="6">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34.5</c:v>
                </c:pt>
                <c:pt idx="1">
                  <c:v>34</c:v>
                </c:pt>
                <c:pt idx="2">
                  <c:v>13.9</c:v>
                </c:pt>
                <c:pt idx="3">
                  <c:v>9.7</c:v>
                </c:pt>
                <c:pt idx="4">
                  <c:v>9.8</c:v>
                </c:pt>
                <c:pt idx="5">
                  <c:v>8.3</c:v>
                </c:pt>
                <c:pt idx="6">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2.25</c:v>
                </c:pt>
                <c:pt idx="1">
                  <c:v>2.35</c:v>
                </c:pt>
                <c:pt idx="2">
                  <c:v>4.99</c:v>
                </c:pt>
                <c:pt idx="3">
                  <c:v>4.59</c:v>
                </c:pt>
                <c:pt idx="4">
                  <c:v>3.71</c:v>
                </c:pt>
                <c:pt idx="5">
                  <c:v>3.09</c:v>
                </c:pt>
                <c:pt idx="6">
                  <c:v>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(CAD,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3228</c:v>
                </c:pt>
                <c:pt idx="1">
                  <c:v>7</c:v>
                </c:pt>
                <c:pt idx="2">
                  <c:v>1893</c:v>
                </c:pt>
                <c:pt idx="3">
                  <c:v>990</c:v>
                </c:pt>
                <c:pt idx="4">
                  <c:v>1514</c:v>
                </c:pt>
                <c:pt idx="5">
                  <c:v>16189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(CAD,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174</c:v>
                </c:pt>
                <c:pt idx="1">
                  <c:v>379</c:v>
                </c:pt>
                <c:pt idx="2">
                  <c:v>12299</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412</c:v>
                </c:pt>
                <c:pt idx="1">
                  <c:v>467</c:v>
                </c:pt>
                <c:pt idx="2">
                  <c:v>507</c:v>
                </c:pt>
                <c:pt idx="3">
                  <c:v>707</c:v>
                </c:pt>
                <c:pt idx="4">
                  <c:v>707</c:v>
                </c:pt>
                <c:pt idx="5">
                  <c:v>709</c:v>
                </c:pt>
                <c:pt idx="6">
                  <c:v>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1134</c:v>
                </c:pt>
                <c:pt idx="1">
                  <c:v>1509</c:v>
                </c:pt>
                <c:pt idx="2">
                  <c:v>0</c:v>
                </c:pt>
                <c:pt idx="3">
                  <c:v>0</c:v>
                </c:pt>
                <c:pt idx="4">
                  <c:v>0</c:v>
                </c:pt>
                <c:pt idx="5">
                  <c:v>0</c:v>
                </c:pt>
                <c:pt idx="6">
                  <c:v>3942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TCI Fund Management (Christopher Hohn)</c:v>
                </c:pt>
                <c:pt idx="1">
                  <c:v>Consejeros y directivos (24 personas)</c:v>
                </c:pt>
              </c:strCache>
            </c:strRef>
          </c:cat>
          <c:val>
            <c:numRef>
              <c:f>Hoja1!$B$2:$B$3</c:f>
              <c:numCache>
                <c:formatCode>0.0"%"</c:formatCode>
                <c:ptCount val="2"/>
                <c:pt idx="0">
                  <c:v>6.19</c:v>
                </c:pt>
                <c:pt idx="1">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19.9</c:v>
                </c:pt>
                <c:pt idx="1">
                  <c:v>5.5</c:v>
                </c:pt>
                <c:pt idx="2">
                  <c:v>36.7</c:v>
                </c:pt>
                <c:pt idx="3">
                  <c:v>33.4</c:v>
                </c:pt>
                <c:pt idx="4">
                  <c:v>3</c:v>
                </c:pt>
                <c:pt idx="5">
                  <c:v>11</c:v>
                </c:pt>
                <c:pt idx="6">
                  <c:v>3.9</c:v>
                </c:pt>
                <c:pt idx="7">
                  <c:v>-0.7</c:v>
                </c:pt>
                <c:pt idx="8">
                  <c:v>-2.9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6</c:v>
                </c:pt>
                <c:pt idx="1">
                  <c:v>-11.6</c:v>
                </c:pt>
                <c:pt idx="2">
                  <c:v>19.1</c:v>
                </c:pt>
                <c:pt idx="3">
                  <c:v>2.2</c:v>
                </c:pt>
                <c:pt idx="4">
                  <c:v>21.7</c:v>
                </c:pt>
                <c:pt idx="5">
                  <c:v>-8.7</c:v>
                </c:pt>
                <c:pt idx="6">
                  <c:v>8.1</c:v>
                </c:pt>
                <c:pt idx="7">
                  <c:v>18</c:v>
                </c:pt>
                <c:pt idx="8">
                  <c:v>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14.3</c:v>
                </c:pt>
                <c:pt idx="1">
                  <c:v>17</c:v>
                </c:pt>
                <c:pt idx="2">
                  <c:v>20.5</c:v>
                </c:pt>
                <c:pt idx="3">
                  <c:v>27.1</c:v>
                </c:pt>
                <c:pt idx="4">
                  <c:v>20.4</c:v>
                </c:pt>
                <c:pt idx="5">
                  <c:v>17</c:v>
                </c:pt>
                <c:pt idx="6">
                  <c:v>15.3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17</c:v>
                </c:pt>
                <c:pt idx="1">
                  <c:v>17</c:v>
                </c:pt>
                <c:pt idx="2">
                  <c:v>17</c:v>
                </c:pt>
                <c:pt idx="3">
                  <c:v>17</c:v>
                </c:pt>
                <c:pt idx="4">
                  <c:v>17</c:v>
                </c:pt>
                <c:pt idx="5">
                  <c:v>17</c:v>
                </c:pt>
                <c:pt idx="6">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CPKC</c:v>
                </c:pt>
                <c:pt idx="1">
                  <c:v>Canadian National</c:v>
                </c:pt>
                <c:pt idx="2">
                  <c:v>Union Pacific</c:v>
                </c:pt>
                <c:pt idx="3">
                  <c:v>CSX</c:v>
                </c:pt>
                <c:pt idx="4">
                  <c:v>Norfolk Southern</c:v>
                </c:pt>
                <c:pt idx="5">
                  <c:v>Aurizon</c:v>
                </c:pt>
              </c:strCache>
            </c:strRef>
          </c:cat>
          <c:val>
            <c:numRef>
              <c:f>Hoja1!$B$2:$B$7</c:f>
              <c:numCache>
                <c:formatCode>0.0"x"</c:formatCode>
                <c:ptCount val="6"/>
                <c:pt idx="0">
                  <c:v>15.1</c:v>
                </c:pt>
                <c:pt idx="1">
                  <c:v>13.2</c:v>
                </c:pt>
                <c:pt idx="2">
                  <c:v>14</c:v>
                </c:pt>
                <c:pt idx="3">
                  <c:v>13.9</c:v>
                </c:pt>
                <c:pt idx="4">
                  <c:v>14.1</c:v>
                </c:pt>
                <c:pt idx="5">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CPKC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8.8</c:v>
                </c:pt>
              </c:numCache>
            </c:numRef>
          </c:xVal>
          <c:yVal>
            <c:numRef>
              <c:f>Hoja1!$C$2</c:f>
              <c:numCache>
                <c:formatCode>0.0"x"</c:formatCode>
                <c:ptCount val="1"/>
                <c:pt idx="0">
                  <c:v>15.1</c:v>
                </c:pt>
              </c:numCache>
            </c:numRef>
          </c:yVal>
          <c:smooth val="0"/>
        </c:ser>
        <c:ser>
          <c:idx val="1"/>
          <c:order val="1"/>
          <c:tx>
            <c:strRef>
              <c:f>Hoja1!$A$3</c:f>
              <c:strCache>
                <c:ptCount val="1"/>
                <c:pt idx="0">
                  <c:v>Canadian 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13.2</c:v>
                </c:pt>
              </c:numCache>
            </c:numRef>
          </c:yVal>
          <c:smooth val="0"/>
        </c:ser>
        <c:ser>
          <c:idx val="2"/>
          <c:order val="2"/>
          <c:tx>
            <c:strRef>
              <c:f>Hoja1!$A$4</c:f>
              <c:strCache>
                <c:ptCount val="1"/>
                <c:pt idx="0">
                  <c:v>Union Pacific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8.9</c:v>
                </c:pt>
              </c:numCache>
            </c:numRef>
          </c:xVal>
          <c:yVal>
            <c:numRef>
              <c:f>Hoja1!$C$4</c:f>
              <c:numCache>
                <c:formatCode>0.0"x"</c:formatCode>
                <c:ptCount val="1"/>
                <c:pt idx="0">
                  <c:v>14</c:v>
                </c:pt>
              </c:numCache>
            </c:numRef>
          </c:yVal>
          <c:smooth val="0"/>
        </c:ser>
        <c:ser>
          <c:idx val="3"/>
          <c:order val="3"/>
          <c:tx>
            <c:strRef>
              <c:f>Hoja1!$A$5</c:f>
              <c:strCache>
                <c:ptCount val="1"/>
                <c:pt idx="0">
                  <c:v>CSX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13.9</c:v>
                </c:pt>
              </c:numCache>
            </c:numRef>
          </c:yVal>
          <c:smooth val="0"/>
        </c:ser>
        <c:ser>
          <c:idx val="4"/>
          <c:order val="4"/>
          <c:tx>
            <c:strRef>
              <c:f>Hoja1!$A$6</c:f>
              <c:strCache>
                <c:ptCount val="1"/>
                <c:pt idx="0">
                  <c:v>Norfolk Southern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c:v>
                </c:pt>
              </c:numCache>
            </c:numRef>
          </c:xVal>
          <c:yVal>
            <c:numRef>
              <c:f>Hoja1!$C$6</c:f>
              <c:numCache>
                <c:formatCode>0.0"x"</c:formatCode>
                <c:ptCount val="1"/>
                <c:pt idx="0">
                  <c:v>14.1</c:v>
                </c:pt>
              </c:numCache>
            </c:numRef>
          </c:yVal>
          <c:smooth val="0"/>
        </c:ser>
        <c:ser>
          <c:idx val="5"/>
          <c:order val="5"/>
          <c:tx>
            <c:strRef>
              <c:f>Hoja1!$A$7</c:f>
              <c:strCache>
                <c:ptCount val="1"/>
                <c:pt idx="0">
                  <c:v>Aurizon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c:v>
                </c:pt>
              </c:numCache>
            </c:numRef>
          </c:xVal>
          <c:yVal>
            <c:numRef>
              <c:f>Hoja1!$C$7</c:f>
              <c:numCache>
                <c:formatCode>0.0"x"</c:formatCode>
                <c:ptCount val="1"/>
                <c:pt idx="0">
                  <c:v>6.7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Norfolk Southern</c:v>
                </c:pt>
                <c:pt idx="1">
                  <c:v>Kansas City Southern</c:v>
                </c:pt>
                <c:pt idx="2">
                  <c:v>Kansas City Southern</c:v>
                </c:pt>
                <c:pt idx="3">
                  <c:v>Genesee &amp; Wyoming</c:v>
                </c:pt>
                <c:pt idx="4">
                  <c:v>Florida East Coast Railway</c:v>
                </c:pt>
                <c:pt idx="5">
                  <c:v>Pacific National</c:v>
                </c:pt>
                <c:pt idx="6">
                  <c:v>BNSF</c:v>
                </c:pt>
              </c:strCache>
            </c:strRef>
          </c:cat>
          <c:val>
            <c:numRef>
              <c:f>Hoja1!$B$2:$B$8</c:f>
              <c:numCache>
                <c:formatCode>0.0"x"</c:formatCode>
                <c:ptCount val="7"/>
                <c:pt idx="0">
                  <c:v>15.5</c:v>
                </c:pt>
                <c:pt idx="1">
                  <c:v>19.4</c:v>
                </c:pt>
                <c:pt idx="2">
                  <c:v>21.1</c:v>
                </c:pt>
                <c:pt idx="3">
                  <c:v>13.4</c:v>
                </c:pt>
                <c:pt idx="4">
                  <c:v>13.6</c:v>
                </c:pt>
                <c:pt idx="5">
                  <c:v>10.3</c:v>
                </c:pt>
                <c:pt idx="6">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(CAD,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3977</c:v>
                </c:pt>
                <c:pt idx="1">
                  <c:v>4391</c:v>
                </c:pt>
                <c:pt idx="2">
                  <c:v>4782</c:v>
                </c:pt>
                <c:pt idx="3">
                  <c:v>5116</c:v>
                </c:pt>
                <c:pt idx="4">
                  <c:v>5371</c:v>
                </c:pt>
                <c:pt idx="5">
                  <c:v>5717</c:v>
                </c:pt>
                <c:pt idx="6">
                  <c:v>6053</c:v>
                </c:pt>
                <c:pt idx="7">
                  <c:v>6377</c:v>
                </c:pt>
                <c:pt idx="8">
                  <c:v>6684</c:v>
                </c:pt>
                <c:pt idx="9">
                  <c:v>7004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(CAD,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36275</c:v>
                </c:pt>
                <c:pt idx="1">
                  <c:v>75987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(CAD) · precio actual 122,70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58.35</c:v>
                </c:pt>
                <c:pt idx="1">
                  <c:v>98.5</c:v>
                </c:pt>
                <c:pt idx="2">
                  <c:v>116.66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122,70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(96,50 – 133,38)</c:v>
                </c:pt>
                <c:pt idx="1">
                  <c:v>Precio objetivo de los analistas (104,00 – 156,00)</c:v>
                </c:pt>
                <c:pt idx="2">
                  <c:v>Comparables: EV/EBITDA NTM (103,19 – 111,21)</c:v>
                </c:pt>
                <c:pt idx="3">
                  <c:v>Comparables: PER NTM (108,99 – 121,29)</c:v>
                </c:pt>
                <c:pt idx="4">
                  <c:v>Transacciones precedentes (EV/EBITDA) (88,67 – 107,12)</c:v>
                </c:pt>
                <c:pt idx="5">
                  <c:v>DCF (WACC y g ± 0,5) (87,53 – 113,79)</c:v>
                </c:pt>
                <c:pt idx="6">
                  <c:v>Escenarios (bajista – alcista) (58,35 – 116,66)</c:v>
                </c:pt>
                <c:pt idx="7">
                  <c:v>DCF con la prima implícita del mercado (4,2 %)</c:v>
                </c:pt>
                <c:pt idx="8">
                  <c:v>Precio actual (122,70)</c:v>
                </c:pt>
              </c:strCache>
            </c:strRef>
          </c:cat>
          <c:val>
            <c:numRef>
              <c:f>Hoja1!$B$2:$B$10</c:f>
              <c:numCache>
                <c:formatCode>#,##0</c:formatCode>
                <c:ptCount val="9"/>
                <c:pt idx="0">
                  <c:v>96.5</c:v>
                </c:pt>
                <c:pt idx="1">
                  <c:v>104</c:v>
                </c:pt>
                <c:pt idx="2">
                  <c:v>103.19</c:v>
                </c:pt>
                <c:pt idx="3">
                  <c:v>108.99</c:v>
                </c:pt>
                <c:pt idx="4">
                  <c:v>88.67</c:v>
                </c:pt>
                <c:pt idx="5">
                  <c:v>87.53</c:v>
                </c:pt>
                <c:pt idx="6">
                  <c:v>58.35</c:v>
                </c:pt>
                <c:pt idx="7">
                  <c:v>107.77</c:v>
                </c:pt>
                <c:pt idx="8">
                  <c:v>122.09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(96,50 – 133,38)</c:v>
                </c:pt>
                <c:pt idx="1">
                  <c:v>Precio objetivo de los analistas (104,00 – 156,00)</c:v>
                </c:pt>
                <c:pt idx="2">
                  <c:v>Comparables: EV/EBITDA NTM (103,19 – 111,21)</c:v>
                </c:pt>
                <c:pt idx="3">
                  <c:v>Comparables: PER NTM (108,99 – 121,29)</c:v>
                </c:pt>
                <c:pt idx="4">
                  <c:v>Transacciones precedentes (EV/EBITDA) (88,67 – 107,12)</c:v>
                </c:pt>
                <c:pt idx="5">
                  <c:v>DCF (WACC y g ± 0,5) (87,53 – 113,79)</c:v>
                </c:pt>
                <c:pt idx="6">
                  <c:v>Escenarios (bajista – alcista) (58,35 – 116,66)</c:v>
                </c:pt>
                <c:pt idx="7">
                  <c:v>DCF con la prima implícita del mercado (4,2 %)</c:v>
                </c:pt>
                <c:pt idx="8">
                  <c:v>Precio actual (122,70)</c:v>
                </c:pt>
              </c:strCache>
            </c:strRef>
          </c:cat>
          <c:val>
            <c:numRef>
              <c:f>Hoja1!$C$2:$C$10</c:f>
              <c:numCache>
                <c:formatCode>#,##0</c:formatCode>
                <c:ptCount val="9"/>
                <c:pt idx="0">
                  <c:v>36.879999999999995</c:v>
                </c:pt>
                <c:pt idx="1">
                  <c:v>52</c:v>
                </c:pt>
                <c:pt idx="2">
                  <c:v>8.019999999999996</c:v>
                </c:pt>
                <c:pt idx="3">
                  <c:v>12.300000000000011</c:v>
                </c:pt>
                <c:pt idx="4">
                  <c:v>18.450000000000003</c:v>
                </c:pt>
                <c:pt idx="5">
                  <c:v>26.260000000000005</c:v>
                </c:pt>
                <c:pt idx="6">
                  <c:v>58.309999999999995</c:v>
                </c:pt>
                <c:pt idx="7">
                  <c:v>24.709999999999994</c:v>
                </c:pt>
                <c:pt idx="8">
                  <c:v>1.2199999999999989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