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Almawarid Manpower Company (Al Mawarid Manpower Co.)</w:t>
      </w:r>
    </w:p>
    <w:p>
      <w:pPr>
        <w:spacing w:after="60"/>
        <w:rPr>
          <w:color w:val="52514E"/>
          <w:sz w:val="22"/>
          <w:szCs w:val="22"/>
        </w:rPr>
      </w:pPr>
      <w:r>
        <w:rPr>
          <w:color w:val="52514E"/>
          <w:sz w:val="22"/>
          <w:szCs w:val="22"/>
        </w:rPr>
        <w:t xml:space="preserve">1833.SR · Saudi Exchange (Tadawul), mercado principal · ISIN n.d. · Industriales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19 oct 2026</w:t>
      </w:r>
      <w:r>
        <w:rPr>
          <w:color w:val="52514E"/>
          <w:sz w:val="18"/>
          <w:szCs w:val="18"/>
        </w:rPr>
        <w:t xml:space="preserve"> · Divisa: </w:t>
      </w:r>
      <w:r>
        <w:rPr>
          <w:b/>
          <w:bCs/>
          <w:color w:val="52514E"/>
          <w:sz w:val="18"/>
          <w:szCs w:val="18"/>
        </w:rPr>
        <w:t xml:space="preserve">SAR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87,80 SAR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96,43 SAR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+13,2 % (base +10,4 %)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118,75 SAR · mercado 133,41</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1.756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0,0x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Almawarid Manpower Company (Al Mawarid Manpower Co.)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1833.SR / n.d.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Saudi Exchange (Tadawul), mercado principal</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TASI (medido con el ETF KSA)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Industriales / Servicios de personal (cesión de mano de obra)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Riad · 2012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https://mawarid.com.sa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87,80 (19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73,00 – 112,20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1.756 M SAR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1.766 M SAR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7,1 M SAR/día (≈ 70.000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96,43 SAR</w:t>
      </w:r>
      <w:r>
        <w:t xml:space="preserve"> frente a 87,80 · Rentabilidad a 12 meses </w:t>
      </w:r>
      <w:r>
        <w:rPr>
          <w:b/>
          <w:bCs/>
        </w:rPr>
        <w:t xml:space="preserve">+13,2 % (base +10,4 %)</w:t>
      </w:r>
      <w:r>
        <w:t xml:space="preserve"> · Valor intrínseco 118,75 SAR · con la prima implícita del mercado: 133,41 (+51,9 %) · Alcista / bajista +80,2 % / -10,0 %</w:t>
      </w:r>
    </w:p>
    <w:p>
      <w:pPr>
        <w:spacing w:after="100"/>
      </w:pPr>
      <w:r>
        <w:rPr>
          <w:b/>
        </w:rPr>
        <w:t xml:space="preserve">La recomendación y por qué.</w:t>
      </w:r>
      <w:r>
        <w:t xml:space="preserve"> Mantener, con convicción media. A 12 meses, la regla común (v2, por historia corta) da +13,2 % ponderada y +10,4 % en el base (objetivo de 96,43 SAR frente a 87,80), justo por debajo de los umbrales de compra (15 % y 12 %); la v3 daría +25,5 %. El valor intrínseco es de 118,75 SAR (+35,3 %): el precio paga 7,8 veces nuestro BPA de 2027e por un negocio sin deuda que crece al 25 % y rinde un ROIC del 46,6 %. Calidad: ROIC − WACC de 34,3 puntos y sostenibilidad «Sí»: pasa el filtro de calidad. No es Comprar porque la regla común no deja que el múltiplo suba si la historia es corta, y el mercado lleva tres años pagando menos por cada riyal de beneficio. La convicción es media porque el valor (DCF y escenarios) y la regla a 12 meses apuntan en sentidos distintos: el negocio vale más que el precio, pero nada asegura que el mercado vuelva a pagar más por él en un año. La subirían un 3T26 fuerte (28-oct) con mejor conversión en caja y menos peso de la construcción; la bajarían una subida de tasas sin repercutir o un frenazo de Al Ayuni. Compraríamos por debajo de 86,46 SAR.</w:t>
      </w:r>
    </w:p>
    <w:p>
      <w:pPr>
        <w:spacing w:after="100"/>
      </w:pPr>
      <w:r>
        <w:rPr>
          <w:b/>
        </w:rPr>
        <w:t xml:space="preserve">El negocio.</w:t>
      </w:r>
      <w:r>
        <w:t xml:space="preserve"> Almawarid trae trabajadores extranjeros con visados a su nombre y los cede a empresas (81 % de las ventas del 1S26, sobre todo construcción, hostelería y comercio) y a familias (trabajadoras domésticas y limpieza por horas, 19 %) en Arabia Saudí; cobra una tarifa mensual que cubre el sueldo, las tasas, el alojamiento y su margen [1]. Margen fino (EBITDA del 8 %) y casi sin capital: ROIC del 46,6 %.</w:t>
      </w:r>
    </w:p>
    <w:p>
      <w:pPr>
        <w:spacing w:after="100"/>
      </w:pPr>
      <w:r>
        <w:rPr>
          <w:b/>
        </w:rPr>
        <w:t xml:space="preserve">Sector y ciclo.</w:t>
      </w:r>
      <w:r>
        <w:t xml:space="preserve"> Cuatro cotizadas con licencia del Ministerio de Recursos Humanos (Maharah, Almawarid, SMASCO, Tamkeen) y cientos de oficinas pequeñas en Musaned [13, 15]. La demanda depende del gasto público y de los gigaproyectos (construcción), del turismo y de la regulación del trabajo extranjero; en 2026, sueldos de las domésticas por canales oficiales de Musaned y un proyecto de nuevo reglamento [14].</w:t>
      </w:r>
    </w:p>
    <w:p>
      <w:pPr>
        <w:spacing w:after="100"/>
      </w:pPr>
      <w:r>
        <w:rPr>
          <w:b/>
        </w:rPr>
        <w:t xml:space="preserve">Finanzas.</w:t>
      </w:r>
      <w:r>
        <w:t xml:space="preserve"> Ventas de 664 M SAR en 2021 a 2.611 M en 2025 y 2.940 M en doce meses; beneficio de 56 M a 138 M y 178 M [1, 3, 8]. 1S26: ventas +27 % y beneficio +64 % [1]. Sin deuda y con 233 M de caja e inversiones; el punto débil son los cobros (clientes y activos de contrato de 699 M) [1].</w:t>
      </w:r>
    </w:p>
    <w:p>
      <w:pPr>
        <w:spacing w:after="100"/>
      </w:pPr>
      <w:r>
        <w:rPr>
          <w:b/>
        </w:rPr>
        <w:t xml:space="preserve">Equipo y gobierno.</w:t>
      </w:r>
      <w:r>
        <w:t xml:space="preserve"> Equipo estable, sin guía numérica; previsiones cualitativas cumplidas [19]. Dos grupos de contratistas con el 23,94 % cada uno tras la salida a bolsa; uno de ellos (Al Ayuni) compra el 15,7 % de las ventas [9, 20]. Sin registro de accionistas ni informe de remuneraciones accesibles.</w:t>
      </w:r>
    </w:p>
    <w:p>
      <w:pPr>
        <w:spacing w:after="100"/>
      </w:pPr>
      <w:r>
        <w:rPr>
          <w:b/>
        </w:rPr>
        <w:t xml:space="preserve">Valoración.</w:t>
      </w:r>
      <w:r>
        <w:t xml:space="preserve"> DCF de 127,90 SAR con WACC del 12,33 %; el DCF inverso dice que el precio descuenta ventas a la baja. Cotiza a 7,6 veces el EBITDA de doce meses, como sus comparables saudíes, que crecen la mitad. Cuatro analistas: comprar, objetivo medio de 126,14 SAR [25].</w:t>
      </w:r>
    </w:p>
    <w:p>
      <w:pPr>
        <w:spacing w:after="100"/>
      </w:pPr>
      <w:r>
        <w:rPr>
          <w:b/>
        </w:rPr>
        <w:t xml:space="preserve">Riesgos y catalizadores.</w:t>
      </w:r>
      <w:r>
        <w:t xml:space="preserve"> Dominantes: la regulación del trabajo extranjero y doméstico, la construcción (46 %) y Al Ayuni (15,7 %); después, los cobros. Bajista de 78,98 SAR. Catalizadores: resultados del 3T26 (28-oct) y de 2026 (≈ feb-2027), y una política de dividendos. Regla 13: no cambia (caída del 21 % desde agosto sin causa propia, sin colocaciones ni bloqueos pendientes).</w:t>
      </w:r>
    </w:p>
    <w:p>
      <w:pPr>
        <w:spacing w:after="100"/>
      </w:pPr>
      <w:r>
        <w:rPr>
          <w:b/>
        </w:rPr>
        <w:t xml:space="preserve">Qué cambiaría la decisión.</w:t>
      </w:r>
      <w:r>
        <w:t xml:space="preserve"> Compraríamos por debajo de 86,46 SAR; venderíamos por encima de 110,48 SAR o si la construcción y Al Ayuni recortaran contratos.</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96,43 SAR</w:t>
      </w:r>
      <w:r>
        <w:t xml:space="preserve"> (rentabilidad +13,2 % (base +10,4 %)) · Valor intrínseco: 118,75 SAR (+35,3 % sobre 87,80) · con la prima implícita del mercado: 133,41 (+51,9 %)</w:t>
      </w:r>
    </w:p>
    <w:p>
      <w:pPr>
        <w:spacing w:after="100"/>
      </w:pPr>
      <w:r>
        <w:t xml:space="preserve">Almawarid es la segunda empresa saudí de cesión de mano de obra: trae trabajadores extranjeros y los cede a empresas y familias con un margen fino y casi sin capital [1]. Ha multiplicado sus ventas por cuatro desde 2021 y el beneficio por tres, sin deuda y repartiendo un tercio del beneficio [3, 8].</w:t>
      </w:r>
    </w:p>
    <w:p>
      <w:pPr>
        <w:spacing w:after="100"/>
      </w:pPr>
      <w:r>
        <w:t xml:space="preserve">El precio (87,80 SAR, 1756 M de capitalización) paga 7,8 veces nuestro BPA de 2027e; el DCF (127,90 SAR) dice que vale bastante más. Pero a 12 meses, con la regla común, la rentabilidad es de +13,2 %: no basta para comprar sin que el mercado vuelva a pagar más por el beneficio, y los riesgos (regulación, construcción, un cliente vinculado) explican por qué no lo hace.</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96,43 SAR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 × 8,44 = 55,70 · 7,8x × 12,04 = 93,91 · 10,1x × 14,08 = 142,21</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 / 10,4 %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v2: base = mín(actual, mediana 5 a) con la historia al cierre; bajista mín. 5 a o base × 0,85; alcista techo base × 1,30 (selector de método: historia adelantada de 3 años: decide la más baja de v3 y v2 (v2))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126,14 (nuestro base -25,6 %)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118,75 SAR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80,2 % / -10,0 %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16,6 % frente a 12,3 % y 11,2 %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11,2 %)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133,41 SAR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(2027e-2032e)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 frente a 6,6 %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(10,0 %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86,46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86,46 y 110,48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110,48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86,46 SAR: pasaría a Comprar con la regla común.</w:t>
      </w:r>
    </w:p>
    <w:p>
      <w:pPr>
        <w:pStyle w:val="ListParagraph"/>
        <w:numPr>
          <w:ilvl w:val="0"/>
          <w:numId w:val="2"/>
        </w:numPr>
        <w:spacing w:after="60"/>
      </w:pPr>
      <w:r>
        <w:t xml:space="preserve">Precio por encima de 110,48 SAR: pasaría a Vender.</w:t>
      </w:r>
    </w:p>
    <w:p>
      <w:pPr>
        <w:pStyle w:val="ListParagraph"/>
        <w:numPr>
          <w:ilvl w:val="0"/>
          <w:numId w:val="2"/>
        </w:numPr>
        <w:spacing w:after="60"/>
      </w:pPr>
      <w:r>
        <w:t xml:space="preserve">Un 3T26 por encima de 55 M y un flujo operativo que alcance al beneficio: subiríamos la convicción.</w:t>
      </w:r>
    </w:p>
    <w:p>
      <w:pPr>
        <w:pStyle w:val="ListParagraph"/>
        <w:numPr>
          <w:ilvl w:val="0"/>
          <w:numId w:val="2"/>
        </w:numPr>
        <w:spacing w:after="60"/>
      </w:pPr>
      <w:r>
        <w:t xml:space="preserve">Ventas a construcción o a Al Ayuni a la baja sin sustituto, o tasas nuevas sin repercutir: bajaríamos el base.</w:t>
      </w:r>
    </w:p>
    <w:p>
      <w:pPr>
        <w:pStyle w:val="ListParagraph"/>
        <w:numPr>
          <w:ilvl w:val="0"/>
          <w:numId w:val="2"/>
        </w:numPr>
        <w:spacing w:after="60"/>
      </w:pPr>
      <w:r>
        <w:t xml:space="preserve">Colocación de Alomaier o de Al-Ayuni: revisaríamos la regla 13.</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beneficio de 2026 es un máximo de ciclo: a 8 veces el BPA de 2027e y con el DCF inverso pidiendo ventas a la baja, el precio supone que la construcción, las tasas o la competencia se comerán el crecimiento.</w:t>
      </w:r>
    </w:p>
    <w:p>
      <w:pPr>
        <w:keepNext/>
        <w:spacing w:after="100"/>
      </w:pPr>
      <w:r>
        <w:rPr>
          <w:b/>
          <w:bCs/>
        </w:rPr>
        <w:t xml:space="preserve">Lo que creemos nosotros.</w:t>
      </w:r>
    </w:p>
    <w:p>
      <w:pPr>
        <w:spacing w:after="100"/>
      </w:pPr>
      <w:r>
        <w:t xml:space="preserve">Un negocio de alta rentabilidad sobre el capital que seguirá creciendo, más despacio (13 % en 2027e), con la hostelería, el ocio y la saudización compensando una construcción plana.</w:t>
      </w:r>
    </w:p>
    <w:p>
      <w:pPr>
        <w:keepNext/>
        <w:spacing w:after="100"/>
      </w:pPr>
      <w:r>
        <w:rPr>
          <w:b/>
          <w:bCs/>
        </w:rPr>
        <w:t xml:space="preserve">Por qué podemos tener razón.</w:t>
      </w:r>
    </w:p>
    <w:p>
      <w:pPr>
        <w:spacing w:after="100"/>
      </w:pPr>
      <w:r>
        <w:t xml:space="preserve">Hostelería y ocio +91 % y saudización +199 % en el 1S26, margen bruto de particulares +5,6 puntos y contratos del 70 % de las ventas a más de un año [1, 5].</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SAR) · precio actual 87,8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Rentabilidad</w:t>
      </w:r>
      <w:r>
        <w:t xml:space="preserve">: ROIC del 46,6 % sin deuda y con 233 M de caja e inversiones [1].</w:t>
      </w:r>
    </w:p>
    <w:p>
      <w:pPr>
        <w:pStyle w:val="ListParagraph"/>
        <w:numPr>
          <w:ilvl w:val="0"/>
          <w:numId w:val="2"/>
        </w:numPr>
        <w:spacing w:after="60"/>
      </w:pPr>
      <w:r>
        <w:rPr>
          <w:b/>
        </w:rPr>
        <w:t xml:space="preserve">Crecimiento</w:t>
      </w:r>
      <w:r>
        <w:t xml:space="preserve">: ventas +41 % anual en 2021-2025 y +27 % en el 1S26 [1, 8].</w:t>
      </w:r>
    </w:p>
    <w:p>
      <w:pPr>
        <w:pStyle w:val="ListParagraph"/>
        <w:numPr>
          <w:ilvl w:val="0"/>
          <w:numId w:val="2"/>
        </w:numPr>
        <w:spacing w:after="60"/>
      </w:pPr>
      <w:r>
        <w:rPr>
          <w:b/>
        </w:rPr>
        <w:t xml:space="preserve">Precio</w:t>
      </w:r>
      <w:r>
        <w:t xml:space="preserve">: 7,8 veces nuestro BPA de 2027e; DCF de 127,90 SAR.</w:t>
      </w:r>
    </w:p>
    <w:p>
      <w:pPr>
        <w:pStyle w:val="ListParagraph"/>
        <w:numPr>
          <w:ilvl w:val="0"/>
          <w:numId w:val="2"/>
        </w:numPr>
        <w:spacing w:after="60"/>
      </w:pPr>
      <w:r>
        <w:rPr>
          <w:b/>
        </w:rPr>
        <w:t xml:space="preserve">Dividendo</w:t>
      </w:r>
      <w:r>
        <w:t xml:space="preserve">: 3 SAR por acción en 2026 (≈ 3,4 %) con margen para subir [11].</w:t>
      </w:r>
    </w:p>
    <w:p>
      <w:pPr>
        <w:pStyle w:val="ListParagraph"/>
        <w:numPr>
          <w:ilvl w:val="0"/>
          <w:numId w:val="2"/>
        </w:numPr>
        <w:spacing w:after="60"/>
      </w:pPr>
      <w:r>
        <w:rPr>
          <w:b/>
        </w:rPr>
        <w:t xml:space="preserve">Analistas</w:t>
      </w:r>
      <w:r>
        <w:t xml:space="preserve">: cuatro con comprar y objetivo medio de 126 SAR [25].</w:t>
      </w:r>
    </w:p>
    <w:p>
      <w:pPr>
        <w:pStyle w:val="Heading2"/>
      </w:pPr>
      <w:r>
        <w:t xml:space="preserve">En contra</w:t>
      </w:r>
    </w:p>
    <w:p>
      <w:pPr>
        <w:pStyle w:val="ListParagraph"/>
        <w:numPr>
          <w:ilvl w:val="0"/>
          <w:numId w:val="2"/>
        </w:numPr>
        <w:spacing w:after="60"/>
      </w:pPr>
      <w:r>
        <w:rPr>
          <w:b/>
        </w:rPr>
        <w:t xml:space="preserve">Regulación</w:t>
      </w:r>
      <w:r>
        <w:t xml:space="preserve">: tasas, Musaned y el nuevo reglamento de trabajadoras domésticas [14].</w:t>
      </w:r>
    </w:p>
    <w:p>
      <w:pPr>
        <w:pStyle w:val="ListParagraph"/>
        <w:numPr>
          <w:ilvl w:val="0"/>
          <w:numId w:val="2"/>
        </w:numPr>
        <w:spacing w:after="60"/>
      </w:pPr>
      <w:r>
        <w:rPr>
          <w:b/>
        </w:rPr>
        <w:t xml:space="preserve">Construcción</w:t>
      </w:r>
      <w:r>
        <w:t xml:space="preserve">: 46 % de las ventas y plana desde 2025 [1].</w:t>
      </w:r>
    </w:p>
    <w:p>
      <w:pPr>
        <w:pStyle w:val="ListParagraph"/>
        <w:numPr>
          <w:ilvl w:val="0"/>
          <w:numId w:val="2"/>
        </w:numPr>
        <w:spacing w:after="60"/>
      </w:pPr>
      <w:r>
        <w:rPr>
          <w:b/>
        </w:rPr>
        <w:t xml:space="preserve">Vinculadas</w:t>
      </w:r>
      <w:r>
        <w:t xml:space="preserve">: Al Ayuni, accionista del 23,94 %, compra el 15,7 % de las ventas [9].</w:t>
      </w:r>
    </w:p>
    <w:p>
      <w:pPr>
        <w:pStyle w:val="ListParagraph"/>
        <w:numPr>
          <w:ilvl w:val="0"/>
          <w:numId w:val="2"/>
        </w:numPr>
        <w:spacing w:after="60"/>
      </w:pPr>
      <w:r>
        <w:rPr>
          <w:b/>
        </w:rPr>
        <w:t xml:space="preserve">Cobros</w:t>
      </w:r>
      <w:r>
        <w:t xml:space="preserve">: clientes y activos de contrato del 24 % de las ventas [1].</w:t>
      </w:r>
    </w:p>
    <w:p>
      <w:pPr>
        <w:pStyle w:val="ListParagraph"/>
        <w:numPr>
          <w:ilvl w:val="0"/>
          <w:numId w:val="2"/>
        </w:numPr>
        <w:spacing w:after="60"/>
      </w:pPr>
      <w:r>
        <w:rPr>
          <w:b/>
        </w:rPr>
        <w:t xml:space="preserve">Información</w:t>
      </w:r>
      <w:r>
        <w:t xml:space="preserve">: cuentas anuales y registro de accionistas no accesibles; historia en bolsa de tres años.</w:t>
      </w:r>
    </w:p>
    <w:p>
      <w:pPr>
        <w:pStyle w:val="Heading2"/>
      </w:pPr>
      <w:r>
        <w:t xml:space="preserve">Qué tiene que pasar para que la tesis funcione</w:t>
      </w:r>
    </w:p>
    <w:p>
      <w:pPr>
        <w:spacing w:after="100"/>
      </w:pPr>
      <w:r>
        <w:t xml:space="preserve">La tesis depende de que el crecimiento siga sin la construcción y de que la regulación no suba costes que no se puedan repercutir. Las señales: las ventas por tipo de cliente de cada trimestre (construcción frente a hostelería y comercio), el margen bruto de particulares, la provisión de insolvencias y el flujo operativo frente al beneficio, y la aprobación del reglamento de trabajadoras domésticas.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a construcción / total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330 M por trimestre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Concentración y ciclo.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a Al Ayuni y Limak / total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20 % o caída brusca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Vinculada.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de particulares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 y regulación.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 beneficio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50 % en un año entero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Cobros.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Provisión de insolvencias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60,1 M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80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Calidad de los clientes.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9,8x / 8,7x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-0,7x · 0,0x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de 13 (4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Almawarid nació en 2012 en Riad como empresa de cesión de mano de obra al amparo de la reforma que permitió a compañías con licencia del Ministerio de Trabajo traer y ceder trabajadores extranjeros, sobre todo domésticos [1, 17]. Abrió sucursales por el Reino (Buraida, Jubail, Hail, Yeda, Medina, Abha, Al Ahsa) y en 2016-2020 sumó las filiales Musanid Al Tasheed (contratación) y Sawaid, hoy Talents Sea [1]. Salió a bolsa en el mercado principal de Tadawul el 19-jun-2023, colocando el 30 % a 64 SAR por acción (48 SAR ajustados por las acciones gratuitas), con el libro institucional cubierto 54 veces [27]. Desde entonces ha crecido con el segmento de empresas (construcción, hostelería, comercio) y ha añadido la contratación de personal saudí; en 2026 amplió capital con una acción gratuita por cada tres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Constitución en Riad (registro mercantil de 2-jul-2012) y licencia del Ministerio de Trabajo para cesión de mano de obra (19-nov-2012)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Sucursales en Buraida, Jubail, Hail y Yeda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declaración de Sawaid (hoy Talents Sea), filial de mano de obra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el mercado principal (19-jun), 30 % del capital a 64 SAR; fin del bloqueo de los grandes accionistas el 18-dic [20, 27]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2.028 M SAR (+40 %) por los contratos con empresas; provisiones de insolvencias de un año [4]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2.611 M SAR y beneficio de 138,5 M (+45 %); traspaso de la reserva legal a reservas voluntarias [1,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Ampliación gratuita de 150 a 200 M SAR (una por cada tres, 15-feb); dividendos semestrales de 1,40 y 1,60 SAR [1]</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Almawarid trae trabajadores extranjeros con visados a su nombre (patrocinio), los aloja y los cede a empresas y familias, y cobra una tarifa mensual que cubre el sueldo, la residencia (iqama), el permiso de trabajo, el seguro, el alojamiento y su margen [1]. Tres segmentos: empresas (81 % de las ventas del 1S26: construcción, hostelería y ocio, comercio, sanidad, mantenimiento), particulares (11 %: trabajadoras domésticas residentes, contratos de un mes a dos años) y por horas (8 %: limpieza a domicilio por visitas) [1]. Todo en Arabia Saudí, con más de 20 sucursales y más de 50.000 empleados [17]. Desde 2025 crece también la contratación y externalización de personal saudí (+199 % en el 1S26) [5].</w:t>
      </w:r>
    </w:p>
    <w:p>
      <w:pPr>
        <w:pStyle w:val="Heading2"/>
      </w:pPr>
      <w:r>
        <w:t xml:space="preserve">Cómo gana dinero</w:t>
      </w:r>
    </w:p>
    <w:p>
      <w:pPr>
        <w:spacing w:after="100"/>
      </w:pPr>
      <w:r>
        <w:t xml:space="preserve">Es un negocio de margen fino sobre un coste grande: el 73 % del coste de ventas del 1S26 son sueldos y prestaciones del trabajador cedido, y el 16 % tasas de residencia y permisos (219,6 M) [1]. El margen bruto es del 8,4 % en empresas, del 13,9 % en particulares y del 20,1 % en el servicio por horas [1]. El 70 % de las ventas viene de contratos de más de un año, lo que da visibilidad [1]. El margen depende de la ocupación (trabajadores cedidos frente a disponibles), del coste de traer a cada trabajador (comisiones de agencias y visados, que se amortizan) y de las tasas del Estado; los gastos generales son solo el 2,6 % de las ventas, así que cada punto de ocupación cae casi entero al beneficio [1].</w:t>
      </w:r>
    </w:p>
    <w:p>
      <w:pPr>
        <w:pStyle w:val="Heading2"/>
      </w:pPr>
      <w:r>
        <w:t xml:space="preserve">Segmentos (2024)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Empresas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Particulares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Por horas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SA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1S25</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1S26</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Empresas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Particulares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Por horas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No hay un cliente dominante declarado, pero sí un grupo vinculado: Al Ayuni Investment and Contracting (accionista del 23,9 %) y su empresa conjunta Limak Al Ayuni compraron 410,6 M en 2025 (15,7 % de las ventas) y 222,6 M en el 1S26 (14,4 %), aprobados por la junta [1, 9]. El 46 % de las ventas del 1S26 son de empresas de construcción, cuyo ritmo depende de los grandes proyectos públicos [1]. Los contratos con empresas duran uno o dos años; en particulares la competencia es dura (721 oficinas locales de contratación en Musaned) y la empresa ajusta precios según la demanda [13, 16]. Poder de precios demostrado en particulares y por horas (margen bruto +5,6 y +6,0 puntos en un año), no en empresas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a empresas de construcción (1S)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636,6 M SAR (52 %)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706,5 M SAR (46 %)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Planas en ≈ 350 M por trimestre desde el 3T25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a hostelería y ocio (1S)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112,5 M SAR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214,5 M SAR</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motor del crecimiento de 2026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a comercio y servicios (1S)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 M SAR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181,8 M SAR</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a vinculadas (Al Ayuni y Limak Al Ayuni, 1S)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190,9 M SAR (15,7 %)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222,6 M SAR (14,4 %)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del 23,9 % y su empresa conjunta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(1S)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Particulares 8,3 % → 13,9 %; por horas 14,1 % → 20,1 %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Contratos de más de un año (1S, % de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70,1 %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Cesión de mano de obra con licencia del Ministerio de Recursos Humanos en Arabia Saudí: empresas que traen trabajadores extranjeros (y cada vez más saudíes) y los ceden a empresas y familias, con la facturación del sueldo incluida. Perímetro: Reino de Arabia Saudí. Los estudios disponibles miden otra cosa (comisiones de suministro de personal) y dan una cifra menor que las ventas de las cuatro cotizadas, así que el tamaño se aproxima con la facturación de las cotizadas [12,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cifra fiable: Innovations Group estima 2.840 M USD en 2030 para el suministro de personal (comisiones), cuando solo las cuatro cotizadas facturan ≈ 9.700 M SAR al año (Almawarid 2.940, Maharah 3.499, SMASCO 2.211 y Tamkeen 1.045 en doce meses) [1, 12, 15]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Visión 2030 y grandes proyectos (construcción, turismo, ocio)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Construcción = 46 % de las ventas del 1S26, plana en ≈ 350 M por trimestre; hostelería y ocio +91 %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Saudización (Nitaqat) y empleo de saudíes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contratación de saudíes +199 % en el 1S26; ayudas del HRDF en otros ingresos [1, 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Tasas del Estado por trabajador extranjero (iqama, permisos, visados)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244 M de tasas y visados en el 1S26 (17,6 % del coste de ventas)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 de servicio doméstico de familias (mujer en el trabajo, hogares)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Particulares +21 % y plantilla +19 % en el 1S26 [5]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Digitalización y control de Musaned (salarios por canal oficial, seguro, ausencias)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Salarios por canal oficial desde el 1-ene-2026; 450.000 pólizas en el 1S26 [13, 14]</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Cuatro cotizadas y cientos de oficinas; la dirección reconoce más competencia en particulares y la guerra de precios de 2024 en el servicio por horas [5, 16]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constructoras negocian contratos de uno a dos años; un grupo vinculado compra el 14-16 % [1, 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Agencias en los países de origen y el Estado (tasas): deterioros de anticipos a agencias de 5 M en 2025 [3]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 falta licencia y aval (10 M), pero Musaned tiene 721 oficinas locales [1, 13]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empresas pueden patrocinar directamente a sus trabajadores; las familias, contratar por Musaned [13]</w:t>
            </w:r>
          </w:p>
        </w:tc>
      </w:tr>
    </w:tbl>
    <w:p>
      <w:pPr>
        <w:spacing w:after="160" w:before="0"/>
      </w:pPr>
    </w:p>
    <w:p>
      <w:pPr>
        <w:pStyle w:val="Heading2"/>
      </w:pPr>
      <w:r>
        <w:t xml:space="preserve">Ciclo</w:t>
      </w:r>
    </w:p>
    <w:p>
      <w:pPr>
        <w:spacing w:after="100"/>
      </w:pPr>
      <w:r>
        <w:t xml:space="preserve">Las ventas a constructoras no crecen desde el 3T25 (≈ 350 M por trimestre) mientras hostelería y comercio tiran: es la señal de que el ciclo de los grandes proyectos se ha estabilizado [1]. La empresa no cotizaba en 2008-09 ni en 2020; en 2021 sus ventas cayeron un 3 % con la pandemia y el flujo operativo fue negativo [7, 8]. El índice saudí cae un 13 % en un año y muchas cotizadas marcan mínimos, con el petróleo y el gasto público como causa de fondo [23].</w:t>
      </w:r>
    </w:p>
    <w:p>
      <w:pPr>
        <w:pStyle w:val="Heading2"/>
      </w:pPr>
      <w:r>
        <w:t xml:space="preserve">Regulación</w:t>
      </w:r>
    </w:p>
    <w:p>
      <w:pPr>
        <w:spacing w:after="100"/>
      </w:pPr>
      <w:r>
        <w:t xml:space="preserve">La actividad necesita licencia del Ministerio de Recursos Humanos (la de Almawarid es de 2012) y un aval de 10 M [1]. Desde el 1-ene-2026 los sueldos de las trabajadoras domésticas se pagan por canales oficiales de Musaned; en 2026 entraron el servicio de interrupción de trabajo, el seguro médico obligatorio y un periodo de gracia para regularizar ausencias, que terminó el 11-may-2026 [13, 14]. Los cupos de saudización (Nitaqat) y las tasas por trabajador extranjero mueven el coste y la demanda; un cambio en las tasas se repercute con retraso en contratos de uno a dos años [1].</w:t>
      </w:r>
    </w:p>
    <w:p>
      <w:pPr>
        <w:pStyle w:val="Heading2"/>
      </w:pPr>
      <w:r>
        <w:t xml:space="preserve">Tendencias y disrupción</w:t>
      </w:r>
    </w:p>
    <w:p>
      <w:pPr>
        <w:spacing w:after="100"/>
      </w:pPr>
      <w:r>
        <w:t xml:space="preserve">Tres cambios: más contratación de saudíes, que da margen y ayudas (HRDF) y que Almawarid aprovecha (+199 %); servicio por horas con aplicación y flota propia (440 vehículos en 2025, 2,1 M de visitas), donde la escala da ventaja; y control digital de Musaned, que reduce las disputas y las ausencias pero hace más fácil a las familias contratar sin intermediario [5, 13, 31].</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2.ª de las cuatro cotizadas por ventas (30 % de su facturación conjunta en doce meses, estimación propia), por detrás de Maharah</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Maharah Human Resources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Arabia Saudí</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1831.SR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mayor; empresas y particulares; espera hasta +13 % de ventas en 2026 [18]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Saudi Manpower Solutions (SMASCO)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Arabia Saudí</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1834.SR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peso en particulares; margen EBITDA del 14 %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Tamkeen Human Resource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Arabia Saudí</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1835.SR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más pequeña y de mayor margen operativo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Randstad</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Países Bajos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RAND.AS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96.951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Trabajo temporal global; referencia de margen del sector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Adecco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ADEN.SW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98.433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Cuentas en EUR [15]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7" name="Gráfico 7"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aplicación y la flota del servicio por horas ganan densidad por barrio (1.550 barrios servidos en 2025), pero sin red de dos lados [D9]</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de uno a dos años con empresas y el trabajador ya instalado; el 70 % de las ventas es de contratos de más de un año [A1]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 del Ministerio y aval; marca Hemma; pero hay 721 oficinas locales con licencia [A1, B2]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Gastos generales del 2,6 % de las ventas; incorporación en 15 días frente a 4-6 semanas según la empresa [A1, B6]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Cuatro cotizadas con márgenes EBIT del 6-10 %, sin que ninguna los suba con la escala [B4]</w:t>
            </w:r>
          </w:p>
        </w:tc>
      </w:tr>
    </w:tbl>
    <w:p>
      <w:pPr>
        <w:spacing w:after="160" w:before="0"/>
      </w:pPr>
    </w:p>
    <w:p>
      <w:pPr>
        <w:pStyle w:val="Heading2"/>
      </w:pPr>
      <w:r>
        <w:t xml:space="preserve">Amenazas</w:t>
      </w:r>
    </w:p>
    <w:p>
      <w:pPr>
        <w:spacing w:after="100"/>
      </w:pPr>
      <w:r>
        <w:t xml:space="preserve">Lo que puede erosionar el margen: una guerra de precios en particulares (ya la hubo en el servicio por horas en 2024), que las constructoras patrocinen directamente o que un frenazo de los grandes proyectos deje trabajadores sin ceder (cada punto de ocupación pesa en un margen bruto del 9-10 %), y cambios de tasas que no se puedan repercutir en contratos ya firmados [1, 5]. Probabilidad media.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7 %</w:t>
            </w:r>
          </w:p>
        </w:tc>
      </w:tr>
    </w:tbl>
    <w:p>
      <w:pPr>
        <w:spacing w:after="160" w:before="0"/>
      </w:pPr>
    </w:p>
    <w:p>
      <w:pPr>
        <w:spacing w:after="100"/>
      </w:pPr>
      <w:r>
        <w:t xml:space="preserve">Crecimiento anual compuesto 2021-2025: ingresos </w:t>
      </w:r>
      <w:r>
        <w:rPr>
          <w:b/>
          <w:bCs/>
        </w:rPr>
        <w:t xml:space="preserve">40,8 %</w:t>
      </w:r>
      <w:r>
        <w:t xml:space="preserve">, EBITDA </w:t>
      </w:r>
      <w:r>
        <w:rPr>
          <w:b/>
          <w:bCs/>
        </w:rPr>
        <w:t xml:space="preserve">27,3 %</w:t>
      </w:r>
      <w:r>
        <w:t xml:space="preserve">, BPA </w:t>
      </w:r>
      <w:r>
        <w:rPr>
          <w:b/>
          <w:bCs/>
        </w:rPr>
        <w:t xml:space="preserve">25,6 %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Ingresos y EBITDA (SA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Las ventas pasaron de 663,7 M SAR en 2021 a 2.611,0 M en 2025 (+41 % anual) y a 2.939,6 M en los doce meses a junio de 2026 [1, 3, 8]. Todo es orgánico: más trabajadores cedidos (plantilla media +21 % en 9M25, +17 % en el segmento de empresas en el 1S26) y mejor ocupación en el servicio a particulares [5]. El salto de 2023-2024 tiene además un cambio de presentación: el 3T23 facturó 320 M y el 4T23 527 M, y la propia empresa dio +37 % para 9M24 frente al +60 % que sale de las cifras publicadas [5]. El margen bruto bajó del 13,7 % de 2022 al 9,0 % de 2025 al crecer el segmento de empresas, que factura el sueldo del trabajador con un margen fino, y subió al 9,9 % en el 1S26 por la mejora del servicio a particulares (17 % de margen bruto en el 1T26 frente al 11 %) y de la contratación de saudíes (+199 % en ventas) [1, 5]. El margen EBITDA (con la amortización de los derechos de uso) fue del 7,2 % en 2025 y del 8,5 % en el 1S26.</w:t>
      </w:r>
    </w:p>
    <w:p>
      <w:pPr>
        <w:pStyle w:val="Heading2"/>
      </w:pPr>
      <w:r>
        <w:t xml:space="preserve">Ajustes y partidas no recurrentes</w:t>
      </w:r>
    </w:p>
    <w:p>
      <w:pPr>
        <w:spacing w:after="100"/>
      </w:pPr>
      <w:r>
        <w:t xml:space="preserve">Cifras publicadas, sin ajustes. El EBITDA y el EBIT de este informe incluyen los otros ingresos de explotación (9,7 M en el 1S26: ayudas del HRDF por contratar saudíes, intereses de depósitos) y los otros ingresos (1,0 M); por eso el EBIT supera al «resultado operativo» que publica Argaam (103,6 M en el 1S26 frente a 113,2 M de «profit from operations» y 114,2 M de BAI más gastos financieros) [1, 5]. Partidas que se repiten y no se quitan: pérdidas esperadas de crédito (8,6 M en 2025; 24 M más en 2024 que en 2023 por provisiones de un año que la empresa llama no recurrentes) y deterioro de anticipos a agencias de contratación (5 M en 2025; 2,15 M en el 1S26) [1, 3]. 2021: el BAI y el zakat son estimación propia (el operativo de Stock Analysis menos los intereses pagados); no hay desglose.</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En línea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El balance es de una empresa de servicios que adelanta el sueldo de los trabajadores y cobra después: clientes (475,5 M netos) y activos de contrato (223,5 M) suman 699 M a junio de 2026, el 24 % de las ventas de doce meses, frente a 561 M (21 %) en diciembre [1]. La provisión de insolvencias es de 60,1 M (11 % de lo facturado pendiente) y crece 6,6 M por semestre [1]. Lo financia sin deuda: con el patrimonio (588,4 M), los pasivos de explotación (vacaciones, sueldos, anticipos) y la caja de 232,7 M [1]. En 2021-2024 los activos de contrato iban dentro de otros activos en la fuente secundaria [7]: el circulante de esos años sale menor.</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Flujo de caja libre frente a beneficio neto (SA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Acumulado 2021-2025: FCF </w:t>
      </w:r>
      <w:r>
        <w:rPr>
          <w:b/>
          <w:bCs/>
        </w:rPr>
        <w:t xml:space="preserve">247</w:t>
      </w:r>
      <w:r>
        <w:t xml:space="preserve">, conversión </w:t>
      </w:r>
      <w:r>
        <w:rPr>
          <w:b/>
          <w:bCs/>
        </w:rPr>
        <w:t xml:space="preserve">54 %</w:t>
      </w:r>
      <w:r>
        <w:t xml:space="preserve"> del beneficio neto; adquisiciones 0, dividendos 150, recompras 0.</w:t>
      </w:r>
    </w:p>
    <w:p>
      <w:pPr>
        <w:spacing w:after="100"/>
      </w:pPr>
      <w:r>
        <w:t xml:space="preserve">El flujo operativo depende del circulante: en 2021 fue negativo (−19,1 M) y en 2025 llegó a 137,8 M, pero 39,2 M de ese año fueron ventas de fondos a valor razonable que la empresa clasifica en explotación [1, 7]. Sin ellas, la conversión del beneficio en caja fue del 71 % en 2025 y del 49 % en el 1S26 (50,0 M de flujo operativo con 102,2 M de beneficio), porque los clientes y los activos de contrato crecieron 145 M en el semestre [1]. El capex es casi nulo (0,5 M en el 1S26); la inversión de verdad son los alquileres de alojamiento (20,3 M de altas de derechos de uso en el 1S26) y el circulante [1]. No hay compras de empresas. Los dividendos (39,0 M en 2025, 28,0 M en el 1S26 y 32,0 M en agosto) absorben ≈ 30-35 % del beneficio [1, 9].</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BDO Dr. Mohamed Al-Amri &amp; Co. (revisión limitada de los intermedios de 2026)</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Revisión limitada sin salvedades (2T26); opinión de las cuentas de 2025 no leída (documento no accesible)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0,77x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Los estados intermedios de 2026 los revisa BDO sin salvedades y traen el balance auditado de 2025 [1]. Lo que más cuidado pide: (1) los cobros, porque clientes y activos de contrato (699 M a jun-2026) crecen más deprisa que las ventas y la provisión de insolvencias (60,1 M) sube cada semestre; (2) las ventas al grupo Al Ayuni (accionista del 23,94 %), el 15,7 % de 2025, cuyo margen no se publica; (3) el flujo operativo de 2025, que incluye 39,2 M de ventas de fondos a valor razonable [1, 7, 9]. En 2023-2024 cambió la presentación de las ventas, lo que infla el crecimiento de 2024 [5].</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Cobros que crecen más que las ventas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 activos de contrato del 21 % al 24 % de las ventas en seis meses; flujo operativo del 49 % del beneficio en el 1S26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a un accionista de referencia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 Ayuni y Limak Al Ayuni: 410,6 M en 2025 (15,7 %) [9].</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Cuentas anuales no leídas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Tadawul (403); cifras anuales de anuncios oficiales reproducidos y de fuentes secundarias [3, 7].</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4"/>
        <w:gridCol w:w="985"/>
        <w:gridCol w:w="985"/>
        <w:gridCol w:w="985"/>
        <w:gridCol w:w="1095"/>
        <w:gridCol w:w="1095"/>
        <w:gridCol w:w="1095"/>
        <w:gridCol w:w="1204"/>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Fondo de comercio y compras</w:t>
      </w:r>
    </w:p>
    <w:p>
      <w:pPr>
        <w:spacing w:after="100"/>
      </w:pPr>
      <w:r>
        <w:t xml:space="preserve">Fondo de comercio: 0 M en 2025 (el 0 % del capital invertido medio); ha subido más de un 5 % en 0 de 4 años: sin compras. Sin compras relevantes: el publicado ya es el ROIC del negocio.</w:t>
      </w:r>
    </w:p>
    <w:p>
      <w:pPr>
        <w:spacing w:after="100"/>
      </w:pPr>
      <w:r>
        <w:rPr>
          <w:b/>
          <w:bCs/>
        </w:rPr>
        <w:t xml:space="preserve">ROIC incremental</w:t>
      </w:r>
      <w:r>
        <w:t xml:space="preserve"> (variación del NOPAT sobre variación del capital invertido en el periodo): 75,6 % · </w:t>
      </w:r>
      <w:r>
        <w:rPr>
          <w:b/>
          <w:bCs/>
        </w:rPr>
        <w:t xml:space="preserve">WACC</w:t>
      </w:r>
      <w:r>
        <w:t xml:space="preserve">: 12,3 %.</w:t>
      </w:r>
    </w:p>
    <w:p>
      <w:pPr>
        <w:spacing w:after="100"/>
      </w:pPr>
      <w:r>
        <w:t xml:space="preserve">La rentabilidad sobre el capital es alta: el beneficio operativo después de zakat (≈ 147 M en 2025) sobre un capital invertido de ≈ 400 M (patrimonio de 506 M menos 203 M de caja e inversiones, más 61 M de arrendamientos y 133 M de indemnizaciones) da un ROIC de ≈ 35-40 %, y el ROE fue del 31 % [1, 6]. La causa es el modelo: casi sin activos fijos (77 M de inmovilizado, la mayor parte derechos de uso de alojamientos) y con el circulante financiado en parte por los cobros anticipados y las vacaciones y billetes devengados de los trabajadores [1]. El margen es fino (EBIT del 6 % de las ventas), pero el capital rota más de seis veces al año. Lo que puede bajarlo: más días de cobro y provisiones. Los competidores saudíes tienen márgenes parecidos o mayores (SMASCO, Tamkeen) y los europeos, mucho menores (2-3 %) [15].</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164,97 M + fondos a valor razonable 47,35 M + sukuk 20,33 M a 30-jun-2026; sin deuda financiera. Aval bancario de 10 M a favor del Ministerio de Recursos Humanos para la licencia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Covenants, pasivos fuera de la deuda y contingencias</w:t>
      </w:r>
    </w:p>
    <w:p>
      <w:pPr>
        <w:spacing w:after="100"/>
      </w:pPr>
      <w:r>
        <w:t xml:space="preserve">Indemnizaciones por cese (plan de prestación definida sin fondos, ley laboral saudí): 144,49 M a 30-jun-2026, frente a 132,77 M en dic-2025 y 89,22 M en dic-2024; crecen con la plantilla cedida (coste del servicio de 31,0 M en el 1S26) y se pagan al terminar cada contrato (13,4 M en el 1S26) [1, 7]. En el puente van como pensiones. Garantías de clientes (7,6 M) y de agencias de contratación (1,5 M); vacaciones y billetes devengados (185,0 M) y sueldos (84,4 M) dentro de proveedores [1]. Zakat: provisión de 8,36 M; liquidaciones cerradas hasta 2024 sin diferencias [1]. Pasivos por arrendamiento de 66,37 M (alojamiento de trabajadores y sucursales) [1].</w:t>
      </w:r>
    </w:p>
    <w:p>
      <w:pPr>
        <w:pStyle w:val="Heading1"/>
      </w:pPr>
      <w:r>
        <w:t xml:space="preserve">12. Asignación de capital</w:t>
      </w:r>
    </w:p>
    <w:p>
      <w:pPr>
        <w:spacing w:after="100"/>
      </w:pPr>
      <w:r>
        <w:t xml:space="preserve">Dividendos semestrales desde 2025 (1,40 SAR por el 2S25 y 1,60 por el 1S26; 48,25 M con cargo a 2025, el 35 % del beneficio) y una ampliación gratuita de 4 por 3 en feb-2026 sin efecto en el valor [9, 11, 21]. El consejo estudia una política de dividendos [22]. No hay recompras ni compras de empresas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5" name="Gráfico 15" descr="Usos de la caja (SA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spacing w:after="100"/>
      </w:pPr>
      <w:r>
        <w:t xml:space="preserve">La asignación de capital es sencilla y buena: crecer con el circulante, alquilar alojamientos en vez de comprarlos y repartir un tercio del beneficio, sin deuda [1]. El patrimonio pasó de 233 M en 2021 a 588 M en jun-2026 sin ampliaciones de dinero [1, 7]. La caja (233 M con fondos y sukuk) es mayor de lo que necesita el negocio: hay margen para subir el reparto. Lo que pide vigilancia: las ventas al grupo Al Ayuni, aprobadas en junta pero con un accionista del 23,94 % al otro lado [9].</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8"/>
        <w:gridCol w:w="1527"/>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Riyadh Ibrahim Al Romaizan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y consejero</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Dirige la empresa desde antes de la salida a bolsa; con él las ventas pasaron de 945 M en 2022 a 2.940 M en doce meses y el beneficio de 76 a 178 M [1, 3, 19].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Tarek Fouad Mahmoud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Firma las cuentas de 2026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Ahmad Mohammed Al Rakban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 [1, 19].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Abdullah Al-Omair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Ligado por apellido al grupo Alomaier, accionista del 23,94 % tras la salida a bolsa y cliente vinculado (0,8 M en el 1S26) [1, 19, 20].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Fahd Alobisi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de operaciones</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2T25 en línea con el 1T25 (consejero delegado, may-2025)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2T25: 32,4 M frente a 29,9 M en el 1T25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3T25 igual o mejor que el 2T25 (ago-2025)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3T25: 37,0 M frente a 32,4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Demanda sostenida en el 2T26 (may-2026)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2T26: 50,0 M frente a 52,2 M en el 1T26 (−4 %, estacional)</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el consejero delegado lleva la empresa desde antes de la salida a bolsa y sus previsiones cualitativas de 2025 se cumplieron [5, 19]. No publica guía numérica. El consejo perdió a un consejero (Ahmed Al-Issa, fallecido) que representaba el interés de Al Ayuni, el mayor cliente vinculado [9]. Sin plan de sucesión publicado.</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de 13 (4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45"/>
        <w:gridCol w:w="1900"/>
        <w:gridCol w:w="1493"/>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Ahmad Mohammed Al Rakban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Abdullah Al-Omair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Riyadh Ibrahim Al Romaizan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Tariq Al-Awaji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Youssef Al-Olayan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Abdulaziz Al Rashid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Abdulaziz Al-Nasser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Revisión limitada sin salvedades (2T26); opinión de las cuentas de 2025 no leída (documento no accesible)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Alomaier Trading and Contracting Co.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 empresa familiar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 conocido desde dic-2023 (foto tras la salida a bolsa)</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Al-Ayuni Investment and Contracting Co.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 cliente vinculado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 conocido desde dic-2023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Saudi Edarah Co. (directa e indirecta vía Alsaraya)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Foto de dic-2023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Khalda Trading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Foto de dic-2023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Almawarid kom Trading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Foto de dic-2023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Alsaraya Investment Co.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Inversor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Foto de dic-2023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7" name="Gráfico 17"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Solo hay cifras en bloque: la alta dirección cobró 8,58 M SAR en el 1S26 (7,73 M en el 1S25), y el consejo 1,73 M entre remuneración y dietas de comisiones (1,38 M) [1]. No se ha podido leer el informe de remuneraciones (Tadawul no accesible), así que no se sabe con qué métricas se paga el variable.</w:t>
      </w:r>
    </w:p>
    <w:p>
      <w:pPr>
        <w:pStyle w:val="Heading2"/>
      </w:pPr>
      <w:r>
        <w:t xml:space="preserve">Operaciones vinculadas, estructura de control y defensas</w:t>
      </w:r>
    </w:p>
    <w:p>
      <w:pPr>
        <w:spacing w:after="100"/>
      </w:pPr>
      <w:r>
        <w:t xml:space="preserve">Dos grupos de contratistas con el 23,94 % cada uno (Alomaier y Al-Ayuni) controlaban casi la mitad del capital tras la salida a bolsa, y los seis grandes accionistas el 68 % [20]. No hay un controlador único, pero los dos grandes son también clientes: Al Ayuni y su empresa conjunta con Limak compraron 410,6 M en 2025 (15,7 % de las ventas), aprobados por la junta, y Al Omaier 0,8 M en el 1S26 [1, 9]. Una acción, un voto; sin clases. El bloqueo de los fundadores terminó el 18-dic-2023 [20].</w:t>
      </w:r>
    </w:p>
    <w:p>
      <w:pPr>
        <w:pStyle w:val="Heading2"/>
      </w:pPr>
      <w:r>
        <w:t xml:space="preserve">Señales de alerta</w:t>
      </w:r>
    </w:p>
    <w:p>
      <w:pPr>
        <w:pStyle w:val="ListParagraph"/>
        <w:numPr>
          <w:ilvl w:val="0"/>
          <w:numId w:val="2"/>
        </w:numPr>
        <w:spacing w:after="60"/>
      </w:pPr>
      <w:r>
        <w:t xml:space="preserve">Operaciones vinculadas grandes: 15,7 % de las ventas de 2025 a Al Ayuni y Limak Al Ayuni (accionista del 23,94 %) [9].</w:t>
      </w:r>
    </w:p>
    <w:p>
      <w:pPr>
        <w:pStyle w:val="ListParagraph"/>
        <w:numPr>
          <w:ilvl w:val="0"/>
          <w:numId w:val="2"/>
        </w:numPr>
        <w:spacing w:after="60"/>
      </w:pPr>
      <w:r>
        <w:t xml:space="preserve">Sin informe de remuneraciones ni registro de operaciones de directivos accesibles (Tadawul 403): no se ha podido comprobar si hubo ventas de los fundadores en 12 meses.</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La empresa no publica guía numérica. El consejero delegado habló en mayo de 2026 de demanda sostenida por hostelería, ocio y servicios públicos, y en la conferencia del 2T26 la dirección dijo que el impulso seguirá en el 2S26 [22, 32]. La junta autorizó dividendos semestrales o trimestrales para 2026, y el consejo trabaja en una política de dividendos [22].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86"/>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Finance (1 analista para el BPA, 4 para el objetivo) [25]</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(1 analista) [25]</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 0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126,14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118,80 – 133,00</w:t>
            </w:r>
          </w:p>
        </w:tc>
      </w:tr>
    </w:tbl>
    <w:p>
      <w:pPr>
        <w:spacing w:after="160" w:before="0"/>
      </w:pPr>
    </w:p>
    <w:p>
      <w:pPr>
        <w:pStyle w:val="Heading2"/>
      </w:pPr>
      <w:r>
        <w:t xml:space="preserve">Revisiones de estimaciones</w:t>
      </w:r>
    </w:p>
    <w:p>
      <w:pPr>
        <w:spacing w:after="100"/>
      </w:pPr>
      <w:r>
        <w:t xml:space="preserve">Solo una fuente con estimaciones (Yahoo, un analista para el BPA); el objetivo y las recomendaciones se contrastan con Argaam: AlJazira Capital (sobreponderar, ago-2026) y SNB Capital (sobreponderar, jun-2026) [24, 25]. Para el 3T26, AlJazira espera 54,8 M (+48 %) y GIB Capital 49 M (+32,5 %) [30, 31]. El BPA de 2026e de Yahoo (9,00) queda por debajo de lo que ya suman el 1S26 (5,11) y una segunda mitad como la de 2025 (3,81): está desfasado.</w:t>
      </w:r>
    </w:p>
    <w:p>
      <w:pPr>
        <w:pStyle w:val="Heading1"/>
      </w:pPr>
      <w:r>
        <w:t xml:space="preserve">16. Comportamiento en bolsa</w:t>
      </w:r>
    </w:p>
    <w:p>
      <w:pPr>
        <w:pStyle w:val="Confianza"/>
        <w:spacing w:after="100"/>
      </w:pPr>
      <w:r>
        <w:t xml:space="preserve">Confianza: Media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8" name="Gráfico 18"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-34,4 %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cerró a 87,80 SAR el 19-oct-2026: −15 % en un año (el mercado saudí, medido con el ETF KSA, −11 %) y −21 % desde el máximo de 52 semanas (112,2 SAR el 6-ago-2026), aunque un 17 % por encima del mínimo (73 SAR el 1-mar-2026) [23]. Desde la salida a bolsa (48 SAR ajustados en jun-2023) ha ganado un 83 % [27]. Vale 1.756 M SAR. Volatilidad del 24-28 % y beta de 0,94 frente al KSA; caída máxima del 34 % entre abr-2025 y mar-2026 [23].</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 / -20,9 % / +2,3 % / -15,2 %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-20,9 % / +17,3 %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lateral</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2026-10-28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abr-2026 a 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mínimo de 73 SAR (1-mar) a ≈ 110 en julio: resultados del 1T26 (beneficio +74 %) y del 2T26 (+55 %), dividendos semestrales y la subida del 16,5 % de un mes hasta el 10-jun, con volumen alto (hasta 337.000 acciones al día) [5, 23, 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ago-2026 a oct-2026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 máximo de 112,2 SAR (6-ago) a 87,80 (19-oct), con caídas de un mes del 14,5 % hasta el 30-sep: caída gradual con poco volumen (20.000-100.000 acciones al día), sin noticia propia; resultados del 2T26 en línea con lo esperado, dividendo de 1,60 SAR descontado el 18-ago y mercado saudí débil (el TASI cae ≈ 13 % en un año) [23, 24, 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585"/>
        <w:gridCol w:w="3904"/>
        <w:gridCol w:w="1220"/>
        <w:gridCol w:w="1831"/>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c>
          <w:tcPr>
            <w:tcW w:type="dxa" w:w="18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Condición</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previstos el 28-oct (web de inversores); AlJazira espera 54,8 M (+48 %) y GIB 49 M (+32,5 %) [11, 30, 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2026-08-10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2T26: ventas +25 % (783 M) y beneficio +55 % (50,0 M), en línea con AlJazira, que reitera sobreponderar; SNB Capital también sobreponderar [24, 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2026-05-11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aprueba los contratos con Al Ayuni y Limak Al Ayuni (410,6 M en 2025) y autoriza dividendos a cuenta de 2026 [9].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2026-03-31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litigios y reguladores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Proyecto de reforma del reglamento de trabajadoras domésticas a consulta pública; sin fecha de aprobación. Desde el 1-ene-2026 los sueldos de las domésticas se pagan por canales oficiales de Musaned [13, 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Vigilar: aprobación del reglamento (particulares y por horas son el 19 % de las ventas)</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2026-02-15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o convertible</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gratuita de una acción por cada tres (de 150 a 200 M SAR de capital): sin dinero nuevo ni efecto en el valor [21].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2023-12-18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Venció el bloqueo de los grandes accionistas de la salida a bolsa (Alomaier y Al-Ayuni, 23,94 % cada uno); no se conocen colocaciones ni ventas desde entonces (registro de Tadawul no accesible) [20].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p>
      <w:pPr>
        <w:spacing w:after="100"/>
      </w:pPr>
      <w:r>
        <w:t xml:space="preserve">La caída del 21 % desde agosto no tiene causa propia: los resultados del 2T26 salieron en línea, las casas de análisis mantienen sobreponderar y la caída fue gradual, con poco volumen, en un mercado saudí que cae ≈ 13 % en un año [24, 32]. No hay colocación anunciada ni bloqueo por vencer (venció en dic-2023), ni ampliación con dinero, ni oferta. El proyecto de reglamento de trabajadoras domésticas no tiene fecha y afecta a la parte pequeña del negocio. Los resultados del 28-oct no son motivo para esperar (regla 13). Veredicto: no cambia.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spacing w:after="100"/>
      </w:pPr>
      <w:r>
        <w:t xml:space="preserve">Almawarid cotiza a 7,8 veces nuestro BPA de 2027e, por debajo de toda su historia adelantada (19,6 veces a fin de 2023, recién salida a bolsa; 11,4 a fin de 2024; 9,6 a fin de 2025 con nuestro BPA de 2026e) [34]. La historia es corta (tres cierres desde la salida a bolsa de jun-2023) y bajista: el mercado ha pagado cada año menos por un beneficio que ha crecido un 45 % anual. La mediana de los comparables (≈ 9 veces) está por encima del PER actual.</w:t>
      </w:r>
    </w:p>
    <w:p>
      <w:pPr>
        <w:pStyle w:val="Heading1"/>
      </w:pPr>
      <w:r>
        <w:t xml:space="preserve">18. Comparables cotizados</w:t>
      </w:r>
    </w:p>
    <w:p>
      <w:pPr>
        <w:pStyle w:val="Confianza"/>
        <w:spacing w:after="100"/>
      </w:pPr>
      <w:r>
        <w:t xml:space="preserve">Confianza: Media</w:t>
      </w:r>
    </w:p>
    <w:p>
      <w:pPr>
        <w:spacing w:after="100"/>
      </w:pPr>
      <w:r>
        <w:t xml:space="preserve">Dos grupos con datos del mismo día: las otras tres cotizadas saudíes de cesión de mano de obra (Maharah, SMASCO y Tamkeen), las más parecidas por licencia, clientes y regulación, y los grandes de trabajo temporal de Europa, EE. UU. y Japón (Randstad, Adecco, ManpowerGroup, Kelly y Persol), que dan la referencia de múltiplos del sector con crecimientos bajos [25]. Ninguno combina, como Almawarid, +25 % de ventas, sin deuda, y un 15 % de las ventas a un accionista.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Almawarid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Maharah Human Resources 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Saudi Manpower Solutions 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Tamkeen Human Resource 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Randstad N.V.</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ADECCO 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16.553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ManpowerGroup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PERSOL HOLDINGS CO LTD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15.189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Kelly Services, Inc.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4"/>
        <w:gridCol w:w="1056"/>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 / 8,5x / 8,7x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 / 9,1x / 10,3x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 / 0,4x / 0,7x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37,74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55,56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96,20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-36,7 %</w:t>
            </w:r>
          </w:p>
        </w:tc>
      </w:tr>
    </w:tbl>
    <w:p>
      <w:pPr>
        <w:spacing w:after="160" w:before="0"/>
      </w:pPr>
    </w:p>
    <w:p>
      <w:pPr>
        <w:spacing w:after="100"/>
      </w:pPr>
      <w:r>
        <w:t xml:space="preserve">Las saudíes cotizan a 5,5-8,7 veces el EBITDA de doce meses y 8,4-9,7 veces el beneficio adelantado, con crecimientos del 6-11 %; los occidentales a 6-12 veces el EBITDA con crecimientos del 2-5 % y márgenes del 2-3 % [25]. Almawarid crece más que todos (+27 % en el 1S26) y no tiene una prima: cotiza a ≈ 7,3 veces el EBITDA de doce meses. Los comparables pesan un 20 %.</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se apoya en el 1S26 (ventas +27 %, 1.541,7 M) y en un 2S26 +17 %, porque los trimestres crecen ≈ 3-4 % sobre el anterior: +21 % (3.159 M SAR) [1, 5]. 2027e +13 % y después del 10 % al 5 % en 2032e: la plantilla cedida crece (hostelería y ocio +91 %, saudización +199 %), pero la construcción, el 46 % de las ventas, ya está plana y el sector crece ≈ 7 % al año según el estudio disponible [1, 12].</w:t>
      </w:r>
    </w:p>
    <w:p>
      <w:pPr>
        <w:keepNext/>
        <w:spacing w:after="100"/>
      </w:pPr>
      <w:r>
        <w:rPr>
          <w:b/>
          <w:bCs/>
        </w:rPr>
        <w:t xml:space="preserve">Márgenes.</w:t>
      </w:r>
    </w:p>
    <w:p>
      <w:pPr>
        <w:spacing w:after="100"/>
      </w:pPr>
      <w:r>
        <w:t xml:space="preserve">El margen EBITDA (con NIIF 16 y los otros ingresos de explotación) fue del 8,5 % en 2023, 6,6 % en 2024, 7,2 % en 2025 y 8,5 % en el 1S26 (7,9 % en doce meses) [1, 6]. Proyecto un 8,3 % en 2026e y una bajada al 7,6 % en 2032e: crece más el segmento de empresas (margen bruto del 8,4 %) que particulares (13,9 %) y por horas (20,1 %), y la competencia en particulares aprieta [1, 13].</w:t>
      </w:r>
    </w:p>
    <w:p>
      <w:pPr>
        <w:keepNext/>
        <w:spacing w:after="100"/>
      </w:pPr>
      <w:r>
        <w:rPr>
          <w:b/>
          <w:bCs/>
        </w:rPr>
        <w:t xml:space="preserve">Inversión y circulante.</w:t>
      </w:r>
    </w:p>
    <w:p>
      <w:pPr>
        <w:spacing w:after="100"/>
      </w:pPr>
      <w:r>
        <w:t xml:space="preserve">Amortización del 1,1 % de las ventas (casi toda de derechos de uso de alojamientos y sucursales) y capex del 1,2 %, con las altas de derechos de uso: con los arrendamientos en la deuda, el capex paga los alquileres [1]. Circulante (clientes + activos de contrato − proveedores − pasivos de contrato) del 7,5 % de las ventas (6,4 % a dic-2025 y 8,9 % a jun-2026) [1]. Zakat del 7 % (7,2 % en 2025) [6].</w:t>
      </w:r>
    </w:p>
    <w:p>
      <w:pPr>
        <w:keepNext/>
        <w:spacing w:after="100"/>
      </w:pPr>
      <w:r>
        <w:rPr>
          <w:b/>
          <w:bCs/>
        </w:rPr>
        <w:t xml:space="preserve">Coste del capital.</w:t>
      </w:r>
    </w:p>
    <w:p>
      <w:pPr>
        <w:spacing w:after="100"/>
      </w:pPr>
      <w:r>
        <w:t xml:space="preserve">Flujos en SAR, anclado al USD a 3,75: tasa libre del 5,61 %, el Treasury a 10 años (5,10 %, FRED, 15-oct-2026) más el diferencial soberano saudí (0,51 %, Damodaran) [26, 28]. Beta de 0,95 (0,94 medida contra el ETF KSA, 0,96 ajustada) [23]. Prima de mercado del 5,5 % y prima adicional del 1,78 %: 0,78 % de país (Damodaran) y 1,0 % por tamaño y liquidez [28]. Sin deuda financiera: los arrendamientos (4 % del valor) al 6 % [1].</w:t>
      </w:r>
    </w:p>
    <w:p>
      <w:pPr>
        <w:keepNext/>
        <w:spacing w:after="100"/>
      </w:pPr>
      <w:r>
        <w:rPr>
          <w:b/>
          <w:bCs/>
        </w:rPr>
        <w:t xml:space="preserve">Valor terminal.</w:t>
      </w:r>
    </w:p>
    <w:p>
      <w:pPr>
        <w:spacing w:after="100"/>
      </w:pPr>
      <w:r>
        <w:t xml:space="preserve">Crecimiento a perpetuidad del 3,0 % en SAR/USD: inflación del dólar y algo de crecimiento real de la población activa extranjera y del empleo saudí. Gordon con un WACC de ≈ 12,3 % implica ≈ 7 veces el EBITDA terminal, en línea con los comparables (5,5-8,7 veces el EBITDA de las saudíes) [25].</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11,15 %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0" name="Gráfico 20" descr="Flujo de caja libre para la empresa proyectado (SA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127,90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1" name="Gráfico 21" descr="De dónde sale el valor empresa del DCF (SA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149,60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156,69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140,59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146,69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132,61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137,90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125,50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130,11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13,3 %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119,12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123,16</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113,83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132,27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136,77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154,19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159,71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176,10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182,64</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M (13 %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 (reinvierte el 30 %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 (histórico: 75,6 %)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 frente al 10,0 %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235 M, el 13 % del NOPAT, con un capex bruto medio del 1,2 % de las ventas). En un negocio de activos ligeros, el crecimiento medio del 10,0 %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plantilla cedida a empresas +17 % y saudíes contratados (+199 %); precio: subidas en particulares y por horas (margen bruto +5,6 y +6,0 puntos) [1, 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Hostelería, ocio y comercio; la construcción, plana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al ritmo del empleo extranjero y de la saudización; precio con las tasas que se repercuten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Sector al ≈ 7 % anual (estudio de Innovations Group) [12].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Expo 2030 y Mundial 2034; después, madurez [12].</w:t>
            </w:r>
          </w:p>
        </w:tc>
      </w:tr>
    </w:tbl>
    <w:p>
      <w:pPr>
        <w:spacing w:after="160" w:before="0"/>
      </w:pPr>
    </w:p>
    <w:p>
      <w:pPr>
        <w:spacing w:after="100"/>
      </w:pPr>
      <w:r>
        <w:t xml:space="preserve">Sí. El crecimiento proyectado (10 % anual de media en 2027-2032e, del 13 % al 5 %) es la cuarta parte del histórico (+41 % anual en 2021-2025) y apenas necesita capital: la reinversión es del 13 % del NOPAT y el ROIC es del 46,6 %, así que se financia sola. Prueba de cuota a mano (no hay cifra fiable del mercado: los estudios miden comisiones, no la facturación con sueldos) [12]: Almawarid factura ≈ 30 % de lo que facturan las cuatro cotizadas del sector (≈ 9.700 M SAR en doce meses); con un sector al 7-10 % anual y Almawarid al 10 % de media, la cuota pasaría al ≈ 32-35 % en 2032e, una ganancia moderada frente a la de 2021-2025 [1, 15]. Lo sostiene la calidad: foso estrecho (licencia, escala, costes generales del 2,6 % de las ventas, contratos de uno a dos años) y poder de precios demostrado en particulares y por horas [1, 13]. Lo que lo pondría en duda: la construcción (46 % de las ventas) y el grupo vinculado Al Ayuni (15,7 %).</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(2027e-2032e)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 (base: 8,2 %)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5,7 % (base: 7,6 %)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16,6 % (WACC: 12,3 %)</w:t>
            </w:r>
          </w:p>
        </w:tc>
      </w:tr>
    </w:tbl>
    <w:p>
      <w:pPr>
        <w:spacing w:after="160" w:before="0"/>
      </w:pPr>
    </w:p>
    <w:p>
      <w:pPr>
        <w:spacing w:after="100"/>
      </w:pPr>
      <w:r>
        <w:t xml:space="preserve">El DCF da 127,90 SAR por acción, un 45,7 % más que el precio, con un WACC del 12,33 % y un crecimiento terminal del 3 %; el valor terminal pesa el 59 %. El DCF inverso dice que el precio de 87,80 SAR descuenta una caída de las ventas del 2,9 % anual en 2027-2032e (frente al +8,2 % del base) o un margen EBITDA del 5,7 % (frente al 7,6 %), y que paga una rentabilidad implícita del 16,6 % anual, por encima del WACC. Con la prima implícita del mercado (4,2 %) el DCF sube a 146,65 SAR. La distancia no es de flujo de caja (el negocio convierte bien y casi no invierte) sino de confianza: el mercado no cree que el beneficio de 2026 se sostenga.</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gigaproyectos se recortan, la construcción cae y las tasas o el nuevo reglamento de domésticas suben costes que no se repercuten: el crecimiento baja 5 puntos cada año (+8 % en 2027e, +5 % en 2028e) y el margen EBITDA 1,5 puntos, hasta el 6,5 % de 2024 [1, 14].</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127,90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Almawarid sigue ganando cuota con empresas de hostelería, ocio y comercio y con la saudización, la construcción se mantiene y particulares conserva el margen: ventas +13 % en 2027e frenando al 5 % en 2032e, margen EBITDA del 8,3 % al 7,6 %.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158,21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Expo 2030, el Mundial 2034 y la saudización tiran más de la demanda y la ocupación mejora: 3 puntos más de crecimiento y 0,7 de margen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Valor por acción por escenario (SAR) · precio actual 87,8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bCs/>
        </w:rPr>
        <w:t xml:space="preserve">Valor ponderado por probabilidad:</w:t>
      </w:r>
      <w:r>
        <w:t xml:space="preserve"> 123,25 SAR (+40,4 %).</w:t>
      </w:r>
    </w:p>
    <w:p>
      <w:pPr>
        <w:spacing w:after="100"/>
      </w:pPr>
      <w:r>
        <w:t xml:space="preserve">La asimetría es favorable en valor intrínseco: el bajista (78,98 SAR, -10,0 %) recoge un frenazo de la construcción y un margen EBITDA del 6,1 % al final; el alcista llega a 158,21 SAR (+80,2 %). Con probabilidades 25/50/25, el valor ponderado de los escenarios es de 123,25 SAR (+40,4 %), y el valor intrínseco de la síntesis, con los comparables, de 118,75 SAR (+35,3 %).</w:t>
      </w:r>
    </w:p>
    <w:p>
      <w:pPr>
        <w:pStyle w:val="Heading1"/>
      </w:pPr>
      <w:r>
        <w:t xml:space="preserve">22. Suma de partes</w:t>
      </w:r>
    </w:p>
    <w:p>
      <w:pPr>
        <w:pStyle w:val="Confianza"/>
        <w:spacing w:after="100"/>
      </w:pPr>
      <w:r>
        <w:t xml:space="preserve">Confianza: Media</w:t>
      </w:r>
    </w:p>
    <w:p>
      <w:pPr>
        <w:spacing w:after="100"/>
      </w:pPr>
      <w:r>
        <w:t xml:space="preserve">No aplica: los tres segmentos (empresas, particulares y por horas) comparten licencia, visados, alojamientos y sucursales, y no hay balance por segmento [1].</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3" name="Gráfico 23" descr="Valor por acción según cada método (SAR) · precio actual 87,8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112,20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126,14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127,90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140,59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123,25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158,21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146,65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156,32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87,80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88,24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118,75 SAR (+35,3 % sobre 87,80).</w:t>
      </w:r>
    </w:p>
    <w:p>
      <w:pPr>
        <w:spacing w:after="100"/>
      </w:pPr>
      <w:r>
        <w:t xml:space="preserve">Pesos: DCF 40 %, escenarios 40 % y comparables 20 %; transacciones sin peso (no hay operaciones del sector con múltiplos publicados). Los comparables (mediana de 8,5 veces el EBITDA y 9,1 veces el beneficio adelantado) dan 91,44 SAR: el mercado paga poco por todo el sector de personal, en Arabia Saudí y fuera. El puente parte del balance de junio de 2026: sin deuda financiera, arrendamientos (66,4 M), indemnizaciones por cese (144,5 M) como deuda, caja con fondos y sukuk (232,7 M) y el dividendo del 1S26 (32 M) pagado en agosto [1, 11].</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0.85 (el mínimo de 5 años no queda por debajo del base)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142,21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+65,4 %</w:t>
            </w:r>
          </w:p>
        </w:tc>
      </w:tr>
    </w:tbl>
    <w:p>
      <w:pPr>
        <w:spacing w:after="160" w:before="0"/>
      </w:pPr>
    </w:p>
    <w:p>
      <w:pPr>
        <w:spacing w:after="100"/>
      </w:pPr>
      <w:r>
        <w:rPr>
          <w:b/>
          <w:bCs/>
        </w:rPr>
        <w:t xml:space="preserve">Objetivo a 12 meses (ponderado):</w:t>
      </w:r>
      <w:r>
        <w:t xml:space="preserve"> 96,43 SAR · rentabilidad +13,2 % (base +10,4 %) · señal Mantener.</w:t>
      </w:r>
    </w:p>
    <w:p>
      <w:pPr>
        <w:spacing w:after="100"/>
      </w:pPr>
      <w:r>
        <w:t xml:space="preserve">Para comparar, con la regla v2 (historia al cierre, mismo precio): 6,6x / 7,8x / 10,1x, 13,2 % Mantener; con el tope anterior del base (×1,3, 14-oct mediodía): 36,8 % Comprar; con la v3 sin el selector (tope ×1,1): 25,5 % Comprar. Decide la v2, elegida por el selector de método (historia adelantada de 3 años: decide la más baja de v3 y v2 (v2); METODO-VIGENTE.md).</w:t>
      </w:r>
    </w:p>
    <w:p>
      <w:pPr>
        <w:keepNext/>
        <w:spacing w:after="100"/>
      </w:pPr>
      <w:r>
        <w:rPr>
          <w:b/>
          <w:bCs/>
        </w:rPr>
        <w:t xml:space="preserve">Frente al consenso (solo contraste).</w:t>
      </w:r>
    </w:p>
    <w:p>
      <w:pPr>
        <w:spacing w:after="100"/>
      </w:pPr>
      <w:r>
        <w:t xml:space="preserve">Nuestro BPA de 2026e (10,11) supera al de Yahoo (9,00), que es de un solo analista y está desfasado: el 1S26 ya suma 5,11 y AlJazira y GIB esperan 2,45-2,74 SAR solo en el 3T26 [25, 30, 31]. Para 2027e estamos un 9 % por encima (11,27 frente a 10,31). El objetivo medio de los analistas (126,14 SAR, +44 %) supone ≈ 11-12 veces el BPA de 2027e; el nuestro es más prudente porque la regla común no deja subir el PER más de un 10 % en un año.</w:t>
      </w:r>
    </w:p>
    <w:p>
      <w:pPr>
        <w:keepNext/>
        <w:spacing w:after="100"/>
      </w:pPr>
      <w:r>
        <w:rPr>
          <w:b/>
          <w:bCs/>
        </w:rPr>
        <w:t xml:space="preserve">Del valor intrínseco al objetivo a 12 meses.</w:t>
      </w:r>
    </w:p>
    <w:p>
      <w:pPr>
        <w:spacing w:after="100"/>
      </w:pPr>
      <w:r>
        <w:t xml:space="preserve">El objetivo a 12 meses lo decide la v2: con tres años de historia útil (cotiza desde jun-2023), el selector toma la más baja de v3 y v2. Ponderado 96,43 SAR (+13,2 %) y base 93,91 SAR (+10,4 %), con el dividendo de ≈ 3 SAR. La v2 deja el PER base en el actual (7,8 veces nuestro BPA de 2027e) y solo cobra el crecimiento del BPA; la v3 daría +25,5 % ponderada y +21,3 % en el base, porque deja subir el PER un 10 % hacia su mediana adelantada (11,4 veces). Con la v2 no se llega a los umbrales de compra (15 % y 12 %); compraríamos por debajo de 86,46 SAR, un 1,5 % por debajo del cierre. El valor intrínseco (118,75 SAR, +35,3 %) sí está muy por encima del precio.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AlJazira espera 54,8 M (+48 %) y GIB 49 M (+32,5 %); nuestro 2S26 supone ≈ 100 M [11, 30, 31]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dividendo del 2S26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 200 M y posible política de dividendos [22]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Reglamento de trabajadoras domésticas (proyecto de mar-2026)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derechos y costes para el servicio a particulares [14]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de 2027: operaciones con Al Ayuni y Limak Al Ayuni</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Peso del grupo vinculado [9]</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2027-2030</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Expo 2030, Mundial 2034 y gigaproyectos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Demanda de hostelería, ocio y construcción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Cambios regulatorios del Ministerio de Recursos Humanos: tasas por trabajador extranjero, reglamento de trabajadoras domésticas, Musaned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a −25 % si sube el coste sin poder repercutirlo en contratos de uno a dos años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 desde 2012; las subidas de tasas se repercuten al renovar (margen bruto de particulares +5,6 puntos en un año); el pago de sueldos por canales oficiales de Musaned (ene-2026) ya está en vigor sin daño visible [1, 14].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Aprobación del nuevo reglamento de trabajadoras domésticas (proyecto de mar-2026) o subida de tasas por trabajador (iqama, permisos)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 en construcción (46 % de las ventas del 1S26) y en el grupo vinculado Al Ayuni (15,7 % de las ventas de 2025)</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a −20 % si los grandes proyectos frenan o Al Ayuni reduce contratos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Hostelería y ocio (+91 %), comercio y sanidad crecen; contratos de uno a dos años; las operaciones con Al Ayuni las aprueba la junta [1, 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a construcción por debajo de 330 M por trimestre; ventas a Al Ayuni y Limak en la junta de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Cobros: clientes y activos de contrato de 699 M (24 % de las ventas) y provisión de insolvencias que sube 6,6 M por semestre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−10 % (provisiones como las de 2024 y caja retenida)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e inversiones de 233 M sin deuda; clientes grandes y vinculados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Flujo operativo por debajo del 50 % del beneficio un año entero; pérdidas de crédito por encima del 0,5 % de las ventas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en particulares y por horas (721 oficinas locales, Maharah, SMASCO, Tamkeen)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marca Hemma y app del servicio por horas; margen bruto de particulares del 13,9 % en el 1S26 [1, 13].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 particulares por debajo del 10 %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Liquidez de la acción y salida de los fundadores (Alomaier y Al-Ayuni, 23,94 % cada uno)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temporal ante una colocación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 7 M SAR al día; bloqueo vencido en dic-2023 sin ventas conocidas [20, 24].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Anuncio de colocación o de venta de un accionista de referencia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saudí: petróleo bajo y recorte o aplazamiento del gasto público y de los gigaproyectos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Macroeconómico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Servicio a particulares y por horas, de demanda estable; Mundial 2034 y Expo 2030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Adjudicaciones de obra pública en caída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Información incompleta: cuentas anuales auditadas y registro de accionistas no accesibles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Intermedios de 2026 revisados por BDO, con el balance de 2025 auditado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Salvedad o párrafo de énfasis en las cuentas de 2026</w:t>
            </w:r>
          </w:p>
        </w:tc>
      </w:tr>
    </w:tbl>
    <w:p>
      <w:pPr>
        <w:spacing w:after="160" w:before="0"/>
      </w:pPr>
    </w:p>
    <w:p>
      <w:pPr>
        <w:pStyle w:val="Heading2"/>
      </w:pPr>
      <w:r>
        <w:t xml:space="preserve">Pre-mortem</w:t>
      </w:r>
    </w:p>
    <w:p>
      <w:pPr>
        <w:spacing w:after="100"/>
      </w:pPr>
      <w:r>
        <w:t xml:space="preserve">Octubre de 2028: Almawarid vale un 40 % menos. Lo que pasó: el Estado recortó los gigaproyectos con el petróleo a 55 USD y la construcción, el 46 % de las ventas, cayó un tercio; miles de trabajadores con visado de la empresa quedaron sin ceder, con su sueldo, su alojamiento y su iqama a cargo de Almawarid. El Ministerio aprobó el nuevo reglamento de trabajadoras domésticas con más derechos y nuevas tasas, que las familias no aceptaron pagar con 721 oficinas compitiendo en Musaned. Al Ayuni, que compraba el 15 % de las ventas, recortó contratos y pagó tarde: las provisiones de insolvencias se dispararon como en 2024. El beneficio volvió a 120 M y el mercado, que pagaba 8 veces, pagó 7. La señal que nadie quiso leer: la construcción plana en ≈ 350 M por trimestre desde 2025 y los clientes creciendo más que las ventas.</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Mixto · </w:t>
      </w:r>
      <w:r>
        <w:rPr>
          <w:b/>
          <w:bCs/>
        </w:rPr>
        <w:t xml:space="preserve">Efecto en valor (3-5 años):</w:t>
      </w:r>
      <w:r>
        <w:t xml:space="preserve"> ±5 %</w:t>
      </w:r>
    </w:p>
    <w:p>
      <w:pPr>
        <w:spacing w:after="100"/>
      </w:pPr>
      <w:r>
        <w:t xml:space="preserve">La IA no sustituye a un obrero de la construcción, una camarera o una trabajadora doméstica, que son el 90 % del negocio [1]. Puede ayudar (asignar trabajadores, rutas del servicio por horas, cobros) y puede quitar algo de contratación administrativa de saudíes, que aún es pequeña. Neto, poca exposición (≈ ±5 % del valor).</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El asunto material es el trato a los trabajadores migrantes: la empresa paga sus sueldos (1.020,7 M en el 1S26), su alojamiento y su residencia, y responde de ellos ante el Ministerio [1]. Las nuevas normas de Musaned (salario por canal oficial, seguro médico, ausencias) reducen el riesgo legal y de reputación [13, 14]. La saudización da ingresos y ayudas (HRDF) [5].</w:t>
      </w:r>
    </w:p>
    <w:p>
      <w:pPr>
        <w:pStyle w:val="Heading2"/>
      </w:pPr>
      <w:r>
        <w:t xml:space="preserve">Controversias</w:t>
      </w:r>
    </w:p>
    <w:p>
      <w:pPr>
        <w:spacing w:after="100"/>
      </w:pPr>
      <w:r>
        <w:t xml:space="preserve">No se encontraron sanciones ni litigios propios en los anuncios y la prensa revisados (Argaam, Arab News); la empresa colabora con el Ministerio contra las ausencias de trabajadores [16].</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 Ayuni</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qué precios y márgenes se cede personal a Al Ayuni y a Limak Al Ayuni frente a otros clientes de construcción, y cuánto les queda por cobrar?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15 % de las ventas va a un accionista del 23,9 %.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Ocupación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ocupación tiene la plantilla cedida (trabajadores con contrato frente a disponibles) y cuántos trabajadores esperan cliente?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de ocupación cae casi entero al beneficio.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Cobros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los clientes y los activos de contrato crecieron 145 M en el 1S26, más que las ventas, y qué antigüedad tienen?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caja va por detrás del beneficio.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afectaría el nuevo reglamento de trabajadoras domésticas al margen de particulares y a la duración de los contratos?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Particulares y por horas son el 19 % de las ventas y un tercio del margen bruto.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política de dividendos estudia el consejo (porcentaje del beneficio, frecuencia)?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caja neta y poco capex, el reparto puede subir.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Accionistas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¿Mantienen Alomaier y Al-Ayuni su 23,94 % y piensan vender?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Overhang y control de un grupo vinculado.</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18 de 22 controles correctos y 4 explicados. Fuentes: 34 (6 primarias); citas distintas en el texto: 32.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10,1 %: explica la causa (créditos fiscales, regularizaciones, mezcla de países) y no lo proyectes en el DCF. Explicación: Almawarid solo registra zakat (sus estados no tienen impuesto de sociedades): el 2,5 % de una base patrimonial (patrimonio y provisiones menos inmovilizado), que sobre el beneficio da un 7-10 % [1, 6]. El 10,1 % de 2023 es zakat, no un crédito fiscal; el DCF proyecta un 7 %, el tipo de 2025 y del 1S26.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9,0 %: explica la causa (créditos fiscales, regularizaciones, mezcla de países) y no lo proyectes en el DCF. Explicación: Mismo motivo: zakat del 2,5 % sobre la base patrimonial, que da un 9,0 % del beneficio antes de impuestos; baja a medida que el beneficio crece más que el patrimonio [6].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 impositivo efectivo razonable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7,2 %: explica la causa (créditos fiscales, regularizaciones, mezcla de países) y no lo proyectes en el DCF. Explicación: El 7,2 % de 2025 (6,6 % en el 1S26) es zakat sobre la base patrimonial; liquidaciones cerradas con la autoridad hasta 2024 sin diferencias [1, 6]. Es el que proyecta el DCF (7 %).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7,5 % frente a 6,4 % real: genera una variación de circulante de 70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34 fuentes (6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Explicación: Saudi Exchange y tadawul.com.sa dan 403 (también con otro User-Agent), Euroland no tiene la empresa y las cuentas anuales de 2022-2025 son de pago en Argaam; web.archive.org corta la conexión. Primarias usadas: los dos estados intermedios de 2026 (con el balance auditado de 2025), la web de inversores (dos veces), el perfil de la empresa y el Ministerio de Recursos Humanos. Los anuncios oficiales de resultados a Tadawul de 2023-2025 se leen reproducidos por Argaam (contados como datos de mercado) [1, 2, 3, 4, 5, 11, 13, 17, 19].</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10, 33.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cuentas anuales auditadas 2021-2025 (PDF)</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saudiexchange.sa/Resources/fsPdf (enlazados desde la web de inversores): 403 Akamai, también con otro User-Agent; 2) web.archive.org tiene copia (API de disponibilidad) pero la conexión se corta desde el contenedor y WebFetch no puede abrirla; Argaam los tiene en la zona de pago (2022-2025 bloqueados); 3) cifras anuales de los anuncios de Tadawul (Argaam), Yahoo y Stock Analysis (secundaria) contrastadas con el balance auditado a 31-dic-2025 que traen los intermedios de 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gastos_generales (comerciales y de administración anuales)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cuentas anuales (no accesibles); 2) Yahoo da solo una parte (10-26 M, gastos de venta); 3) Stock Analysis no los desglosa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activos de contrato 2021-2024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cuentas anuales (no accesibles); 2) Stock Analysis los mezcla en otros activos corrientes y no corrientes; 3) no hay forma de separarlos sin la nota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 y serie del tamaño del mercado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Ministerio de Recursos Humanos (solo datos de Musaned: oficinas, contratos); 2) estudios de mercado (Innovations Group mide comisiones, no la facturación con sueldos: 2.840 M USD en 2030, menos que las ventas de las cuatro cotizadas); 3) suma de las cotizadas como aproximación, sin dato de las no cotizadas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participaciones actuales, operaciones de directivos y votos de la junta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saudiexchange.sa (accionistas significativos, anuncios y actas): 403; 2) Argaam (accionistas y consejo en la zona de pago); Mubasher 403; 3) Argaam de dic-2023 (tras la salida a bolsa) como última foto pública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remuneracion_ceo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del consejo de 2025 (Tadawul, 403); 2) nota 15 de los intermedios (solo la alta dirección en bloque: 8,58 M en el 1S26); 3) prensa (Argaam, ranking de sueldos,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anuncios de compras de las cotizadas saudíes del sector (Maharah, SMASCO, Tamkeen: sin múltiplos publicados); 2) operaciones europeas de trabajo temporal (Adecco-Akka, Randstad): múltiplos solo en prensa, sin la nota oficial; 3) Argaam M&amp;A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Tadawul (préstamo de valores, 403); 2) Argaam; 3) no hay ventas en corto relevantes en Tadawul para valores de este tamaño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sección entera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Hawamer y Mubasher (403); 2) Argaam (comentarios de los artículos vacíos: «Be the first to comment») y Stocktwits (sin flujo para 1833.SR); 3) Reddit y X (403 o sin debate sobre la empresa)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Condensed Consolidated Interim Financial Statements for the three-month and six-month periods ended 30 June 2026 (revisión limitada de BDO Dr. Mohamed Al-Amri &amp; Co., 10-ago-2026): balance a 30-jun-2026 y 31-dic-2025 (auditado), cuenta del 2T y 1S de 2026 y 2025, flujos, segmentos (nota 6), ingresos por cliente y duración (nota 7), coste de ventas (nota 8), clientes (nota 12), vinculadas (nota 15), capital (nota 16), dividendos (nota 18), indemnizaciones (nota 19), zakat (nota 21), hechos posteriores (nota 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Almawarid Manpower (vía Argaam)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https://argaamplus.s3.amazonaws.com/522188a3-2739-49bb-8431-68c7f698cd16.pdf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Condensed Consolidated Interim Financial Statements for the three-month period ended 31 March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Almawarid Manpower (vía Argaam)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https://argaamplus.s3.amazonaws.com/2f0f4cf1-3535-448a-b931-a57065ac9388.pdf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anuales de 2025 (anuncio a Tadawul reproducido): ventas 2.610,99 M, beneficio bruto 235,87 M, operativo 147,11 M, neto 138,47 M; 4T25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Argaam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https://www.argaam.com/en/financial-reports/company-report/15170/2025/1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anuales de 2024 (anuncio a Tadawul reproducido): ventas 2.027,75 M y 1.446,01 M en 2023; neto 95,42 M y 88,77 M; 4T24 y 4T23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Argaam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https://www.argaam.com/en/financial-reports/company-report/15170/2024/1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9M y 3T de 2024 y 2025; 1T y 1S de 2024, 2025 y 2026 (anuncios a Tadawul reproducidos, con las causas que da la empresa)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Argaam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https://www.argaam.com/en/financial-reports/company-report/15170/2026/71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fundamentals-timeseries de 1833.SR: coste de ventas, BAI, zakat, gastos financieros, amortización, flujo operativo 2022-2025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https://finance.yahoo.com/quote/1833.SR/financials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Almawarid (1833): balance anual 2021-2025 y estado de flujos 2021-2025 (S&amp;P Global Market Intelligence)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https://stockanalysis.com/quote/tadawul/1833/financials/balance-sheet/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Almawarid (1833): cuenta de resultados resumida 2021-2025 (ventas, beneficio bruto y operativo, neto, BPA)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https://stockanalysis.com/quote/tadawul/1833/financials/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 Mawarid shareholders authorize board to pay 2026 interim dividends (junta del 11-may-2026: contratos con Al Ayuni, 237,43 M, y con Limak Al Ayuni, 173,19 M, en 2025; dividendos de 2025, 48,25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Argaam (anuncio a Tadawul)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https://www.argaam.com/en/article/articledetail/id/1904754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 Mawarid CEO says domestic labor force up 30% in 2024 (ingresos de 2024: 265 M de servicio residencial a particulares y 157 M de servicio por horas; más de 40.000 trabajadores)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Argaam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https://www.argaam.com/en/article/articledetail/id/1802286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 Relations: dividendos pagados (fechas e importes), calendario financiero (3T26 previsto el 28-oct-2026), consejo y dirección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Almawarid Manpower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https://investors.mawarid.com.sa/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Innovations Group, «Workforce 2030»: suministro de mano de obra en Arabia Saudí (1.680 M USD obreros y 1.160 M USD cualificados en 2030; +3,35 % y +3,86 % anual); externalización de RR. HH. +6,63 % anual 2024-2030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Communicate (Innovations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https://communicateonline.me/news/innovations-group-unveils-workforce-2030-report-to-decode-saudi-arabias-evolving-talent-landscape/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Easier Recruitment and Preserved Rights: Musaned Continues to Enhance the Efficiency of the Domestic Labor Recruitment Sector in H1 2026 (721 oficinas locales, 6.164 en el extranjero, 39 países, 50 días de llegada, 450.000 pólizas)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Ministerio de Recursos Humanos y Desarrollo Social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https://www.hrsd.gov.sa/en/media-center/news/%D8%A7%D8%B3%D8%AA%D9%82%D8%AF%D8%A7%D9%85-%D8%A3%D8%B3%D9%87%D9%84-%D9%88%D8%AD%D9%82%D9%88%D9%82-%D9%85%D8%AD%D9%81%D9%88%D8%B8%D8%A9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Musaned confirms mandatory salary transfers for domestic workers via official channels (desde el 1-ene-2026)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Arab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https://www.arabnews.com/node/2627040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quoteSummary: ventas, EBITDA y márgenes de Maharah (1831), SMASCO (1834), Tamkeen (1835), Randstad, Adecco y ManpowerGroup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https://finance.yahoo.com/quote/1831.SR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 Mawarid’s Q2 results likely to mirror Q1 2025: CEO (más competencia en el servicio a particulares; precios según el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Argaam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https://www.argaam.com/en/article/articledetail/id/1814654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Company Profile 2025 (fundada en 2012, más de 20 sucursales, más de 50.000 empleados, más de 250.000 contratados)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Almawarid Manpower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https://mawarid.com.sa/assests/pdf/MawaridProfile2025English.pdf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Maharah CEO sees up to 13% revenue growth in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Argaam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https://www.argaam.com/en/article/articledetail/id/1905544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 Relations: consejo (7 miembros) y dirección (consejero delegado, director financiero, directores de operaciones y ventas)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Almawarid Manpower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https://investors.mawarid.com.sa/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Lock-up period for Al Mawarid Manpower major shareholders ends today (accionistas tras la salida a bolsa: Alomaier 23,94 %, Al-Ayuni 23,94 %, Saudi Edarah 6,62 %, Khalda 5,05 %, Almawarid kom 4,66 %, Alsaraya 3,64 %)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Argaam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https://www.argaam.com/en/article/articledetail/id/1692278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 Mawarid EGM OKs 33.3% capital hike via bonus issue (junta extraordinaria del 10-feb-2026)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Argaam (anuncio a Tadawul)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https://www.argaam.com/en/article/articledetail/id/1879453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 Mawarid CEO sees sustained demand in Q2 2026 (política de dividendos en estudio)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Argaam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https://www.argaam.com/en/article/articledetail/id/1904855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históricos diarios de 1833.SR, KSA y XLI (bolsa.mjs) y movimiento (movimiento.mjs) hasta el 19-oct-2026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https://finance.yahoo.com/quote/1833.SR/history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 Mawarid Manpower Co. (1833): cotización del 19-oct-2026 (87,80 SAR, −3,52 %; 67.400 acciones, 5,95 M SAR; media de 3 meses 7,14 M SAR), recomendaciones (AlJazira Capital y SNB Capital, sobreponderar), calendario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Argaam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https://www.argaam.com/en/company/companyoverview/marketid/3/companyid/15170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quoteSummary (1833.SR y comparables): consenso de 4 analistas (objetivo 126,14; 118,80-133,00), BPA 2026e 9,00 y 2027e 10,31, múltiplos, márgenes; tipos de cambio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https://finance.yahoo.com/quote/1833.SR/analysis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DGS10: bono del Tesoro de EE. UU. a 10 años (5,10 % el 15-oct-2026)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 Mawarid shares set to make Tadawul debut on June 19 / salida a bolsa a 64 SAR, libro institucional cubierto 54 veces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Argaam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https://www.argaam.com/en/article/articledetail/id/1651325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Country Default Spreads and Risk Premiums (Arabia Saudí: diferencial soberano 0,51 %, prima de país 0,78 %)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https://pages.stern.nyu.edu/~adamodar/New_Home_Page/datafile/ctryprem.html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prima implícita del S&amp;P 500 en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AlJazira Capital issues Q3 2026 earnings forecasts (Al Mawarid: 54,8 M, +48 %)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Argaam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https://www.argaam.com/en/article/articledetail/id/1942257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GIB Capital previews Q3 2026 earnings (Al Mawarid: 49 M, +32,5 %)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Argaam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https://www.argaam.com/en/article/articledetail/id/1942966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AlJazira Capital: Al Mawarid Q2 profit matches estimates; rating reiterated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Argaam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https://www.argaam.com/en/article/articledetail/id/1927164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 Mawarid CEO sees stronger Q3 2025 results, SAR 70M cash invested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Argaam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https://www.argaam.com/en/article/articledetail/id/1835580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chart 1833.SR: cierres de 2023-2025 ajustados solo por las acciones gratuitas (4:3, 15-feb-2026) y dividendos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https://finance.yahoo.com/quote/1833.SR/chart</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76,9 %</w:t>
      </w:r>
      <w:r>
        <w:t xml:space="preserve"> · Secciones con menos del 60 % de campos cubiertos: </w:t>
      </w:r>
      <w:r>
        <w:rPr>
          <w:b/>
          <w:bCs/>
        </w:rPr>
        <w:t xml:space="preserve">capital, gobierno, transacciones, sentimiento</w:t>
      </w:r>
      <w:r>
        <w:t xml:space="preserve"> · Generado el 19 oct 2026.</w:t>
      </w:r>
    </w:p>
    <w:p>
      <w:pPr>
        <w:pStyle w:val="Nota"/>
        <w:spacing w:after="100"/>
      </w:pPr>
      <w:r>
        <w:t xml:space="preserve">Cotiza en el mercado principal de Tadawul (Arabia Saudí), en SAR y de domingo a jueves; un extranjero entra por un bróker con acceso a Tadawul (inversor extranjero cualificado o swap). Liquidez suficiente para posiciones pequeñas: ≈ 70.000 acciones y ≈ 7 M SAR al día de media en tres meses [23, 24]. Cuentas: sin XBRL y con Saudi Exchange cerrado (403), las cuentas anuales auditadas de 2021-2025 no se han podido leer; se usaron los estados intermedios del 1T26 y del 2T26 (fuente primaria, con el balance auditado a 31-dic-2025 y la revisión limitada de BDO), los anuncios de resultados a Tadawul reproducidos por Argaam para 2023-2025 y Yahoo para BAI, zakat, intereses y amortización; los balances de 2021-2024 y los flujos de 2021-2025 vienen de Stock Analysis (secundaria) [1, 2, 3, 4, 5, 6, 7, 8]. En 2023-2024 hay un cambio de presentación de las ventas (el crecimiento publicado del 9M24 era del 37 % y las cifras dan un 60 %) [5]. Índice: el TASI no tiene serie en Yahoo; la beta y las rentabilidades relativas se miden contra el ETF KSA [23]. Precio: cierre del 19-oct-2026 (87,80 SAR) [24]. Sin foros ni redes con opiniones útiles: la sección de sentimiento no se imprime.</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19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Almawarid Manpower Company (Al Mawarid Manpower Co.) (1833.SR)</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(SAR) · precio actual 87,80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(73,00 – 112,20)</c:v>
                </c:pt>
                <c:pt idx="1">
                  <c:v>Precio objetivo de los analistas (118,80 – 133,00)</c:v>
                </c:pt>
                <c:pt idx="2">
                  <c:v>Comparables: PER NTM (84,15 – 102,99)</c:v>
                </c:pt>
                <c:pt idx="3">
                  <c:v>DCF (WACC y g ± 0,5) (117,62 – 140,59)</c:v>
                </c:pt>
                <c:pt idx="4">
                  <c:v>Escenarios (bajista – alcista) (78,98 – 158,21)</c:v>
                </c:pt>
                <c:pt idx="5">
                  <c:v>DCF con la prima implícita del mercado (4,2 %)</c:v>
                </c:pt>
                <c:pt idx="6">
                  <c:v>Precio actual (87,80)</c:v>
                </c:pt>
              </c:strCache>
            </c:strRef>
          </c:cat>
          <c:val>
            <c:numRef>
              <c:f>Hoja1!$B$2:$B$8</c:f>
              <c:numCache>
                <c:formatCode>#,##0</c:formatCode>
                <c:ptCount val="7"/>
                <c:pt idx="0">
                  <c:v>73</c:v>
                </c:pt>
                <c:pt idx="1">
                  <c:v>118.8</c:v>
                </c:pt>
                <c:pt idx="2">
                  <c:v>84.15</c:v>
                </c:pt>
                <c:pt idx="3">
                  <c:v>117.62</c:v>
                </c:pt>
                <c:pt idx="4">
                  <c:v>78.98</c:v>
                </c:pt>
                <c:pt idx="5">
                  <c:v>138.11</c:v>
                </c:pt>
                <c:pt idx="6">
                  <c:v>87.36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(73,00 – 112,20)</c:v>
                </c:pt>
                <c:pt idx="1">
                  <c:v>Precio objetivo de los analistas (118,80 – 133,00)</c:v>
                </c:pt>
                <c:pt idx="2">
                  <c:v>Comparables: PER NTM (84,15 – 102,99)</c:v>
                </c:pt>
                <c:pt idx="3">
                  <c:v>DCF (WACC y g ± 0,5) (117,62 – 140,59)</c:v>
                </c:pt>
                <c:pt idx="4">
                  <c:v>Escenarios (bajista – alcista) (78,98 – 158,21)</c:v>
                </c:pt>
                <c:pt idx="5">
                  <c:v>DCF con la prima implícita del mercado (4,2 %)</c:v>
                </c:pt>
                <c:pt idx="6">
                  <c:v>Precio actual (87,80)</c:v>
                </c:pt>
              </c:strCache>
            </c:strRef>
          </c:cat>
          <c:val>
            <c:numRef>
              <c:f>Hoja1!$C$2:$C$8</c:f>
              <c:numCache>
                <c:formatCode>#,##0</c:formatCode>
                <c:ptCount val="7"/>
                <c:pt idx="0">
                  <c:v>39.2</c:v>
                </c:pt>
                <c:pt idx="1">
                  <c:v>14.200000000000003</c:v>
                </c:pt>
                <c:pt idx="2">
                  <c:v>18.83999999999999</c:v>
                </c:pt>
                <c:pt idx="3">
                  <c:v>22.97</c:v>
                </c:pt>
                <c:pt idx="4">
                  <c:v>79.23</c:v>
                </c:pt>
                <c:pt idx="5">
                  <c:v>18.20999999999998</c:v>
                </c:pt>
                <c:pt idx="6">
                  <c:v>0.8799999999999955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6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(SAR, millones)</a:t>
            </a:r>
          </a:p>
        </c:rich>
      </c:tx>
      <c:overlay val="0"/>
    </c:title>
    <c:autoTitleDeleted val="0"/>
    <c:plotArea>
      <c:layout/>
      <c:barChart>
        <c:barDir val="col"/>
        <c:grouping val="stacked"/>
        <c:varyColors val="0"/>
        <c:ser>
          <c:idx val="0"/>
          <c:order val="0"/>
          <c:tx>
            <c:strRef>
              <c:f>Hoja1!$B$1</c:f>
              <c:strCache>
                <c:ptCount val="1"/>
                <c:pt idx="0">
                  <c:v>Empresas</c:v>
                </c:pt>
              </c:strCache>
            </c:strRef>
          </c:tx>
          <c:spPr>
            <a:solidFill>
              <a:srgbClr val="2A78D6"/>
            </a:solidFill>
            <a:ln w="12700">
              <a:solidFill>
                <a:srgbClr val="FFFFFF"/>
              </a:solidFill>
            </a:ln>
          </c:spPr>
          <c:invertIfNegative val="0"/>
          <c:cat>
            <c:strRef>
              <c:f>Hoja1!$A$2:$A$4</c:f>
              <c:strCache>
                <c:ptCount val="3"/>
                <c:pt idx="0">
                  <c:v>1S25</c:v>
                </c:pt>
                <c:pt idx="1">
                  <c:v>1S26</c:v>
                </c:pt>
                <c:pt idx="2">
                  <c:v>2024</c:v>
                </c:pt>
              </c:strCache>
            </c:strRef>
          </c:cat>
          <c:val>
            <c:numRef>
              <c:f>Hoja1!$B$2:$B$4</c:f>
              <c:numCache>
                <c:formatCode>#,##0</c:formatCode>
                <c:ptCount val="3"/>
                <c:pt idx="0">
                  <c:v>971.65</c:v>
                </c:pt>
                <c:pt idx="1">
                  <c:v>1249.46</c:v>
                </c:pt>
                <c:pt idx="2">
                  <c:v>1605.75</c:v>
                </c:pt>
              </c:numCache>
            </c:numRef>
          </c:val>
        </c:ser>
        <c:ser>
          <c:idx val="1"/>
          <c:order val="1"/>
          <c:tx>
            <c:strRef>
              <c:f>Hoja1!$C$1</c:f>
              <c:strCache>
                <c:ptCount val="1"/>
                <c:pt idx="0">
                  <c:v>Particulares</c:v>
                </c:pt>
              </c:strCache>
            </c:strRef>
          </c:tx>
          <c:spPr>
            <a:solidFill>
              <a:srgbClr val="EB6834"/>
            </a:solidFill>
            <a:ln w="12700">
              <a:solidFill>
                <a:srgbClr val="FFFFFF"/>
              </a:solidFill>
            </a:ln>
          </c:spPr>
          <c:invertIfNegative val="0"/>
          <c:cat>
            <c:strRef>
              <c:f>Hoja1!$A$2:$A$4</c:f>
              <c:strCache>
                <c:ptCount val="3"/>
                <c:pt idx="0">
                  <c:v>1S25</c:v>
                </c:pt>
                <c:pt idx="1">
                  <c:v>1S26</c:v>
                </c:pt>
                <c:pt idx="2">
                  <c:v>2024</c:v>
                </c:pt>
              </c:strCache>
            </c:strRef>
          </c:cat>
          <c:val>
            <c:numRef>
              <c:f>Hoja1!$C$2:$C$4</c:f>
              <c:numCache>
                <c:formatCode>#,##0</c:formatCode>
                <c:ptCount val="3"/>
                <c:pt idx="0">
                  <c:v>149.22</c:v>
                </c:pt>
                <c:pt idx="1">
                  <c:v>176.43</c:v>
                </c:pt>
                <c:pt idx="2">
                  <c:v>265</c:v>
                </c:pt>
              </c:numCache>
            </c:numRef>
          </c:val>
        </c:ser>
        <c:ser>
          <c:idx val="2"/>
          <c:order val="2"/>
          <c:tx>
            <c:strRef>
              <c:f>Hoja1!$D$1</c:f>
              <c:strCache>
                <c:ptCount val="1"/>
                <c:pt idx="0">
                  <c:v>Por horas</c:v>
                </c:pt>
              </c:strCache>
            </c:strRef>
          </c:tx>
          <c:spPr>
            <a:solidFill>
              <a:srgbClr val="1BAF7A"/>
            </a:solidFill>
            <a:ln w="12700">
              <a:solidFill>
                <a:srgbClr val="FFFFFF"/>
              </a:solidFill>
            </a:ln>
          </c:spPr>
          <c:invertIfNegative val="0"/>
          <c:cat>
            <c:strRef>
              <c:f>Hoja1!$A$2:$A$4</c:f>
              <c:strCache>
                <c:ptCount val="3"/>
                <c:pt idx="0">
                  <c:v>1S25</c:v>
                </c:pt>
                <c:pt idx="1">
                  <c:v>1S26</c:v>
                </c:pt>
                <c:pt idx="2">
                  <c:v>2024</c:v>
                </c:pt>
              </c:strCache>
            </c:strRef>
          </c:cat>
          <c:val>
            <c:numRef>
              <c:f>Hoja1!$D$2:$D$4</c:f>
              <c:numCache>
                <c:formatCode>#,##0</c:formatCode>
                <c:ptCount val="3"/>
                <c:pt idx="0">
                  <c:v>92.17</c:v>
                </c:pt>
                <c:pt idx="1">
                  <c:v>115.8</c:v>
                </c:pt>
                <c:pt idx="2">
                  <c:v>157</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(2024)</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Empresas</c:v>
                </c:pt>
                <c:pt idx="1">
                  <c:v>Particulares</c:v>
                </c:pt>
                <c:pt idx="2">
                  <c:v>Por horas</c:v>
                </c:pt>
              </c:strCache>
            </c:strRef>
          </c:cat>
          <c:val>
            <c:numRef>
              <c:f>Hoja1!$B$2:$B$4</c:f>
              <c:numCache>
                <c:formatCode>General</c:formatCode>
                <c:ptCount val="3"/>
                <c:pt idx="0">
                  <c:v>79.2</c:v>
                </c:pt>
                <c:pt idx="1">
                  <c:v>13.1</c:v>
                </c:pt>
                <c:pt idx="2">
                  <c:v>7.7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Arabia Saudí</c:v>
                </c:pt>
              </c:strCache>
            </c:strRef>
          </c:cat>
          <c:val>
            <c:numRef>
              <c:f>Hoja1!$B$2</c:f>
              <c:numCache>
                <c:formatCode>0"%"</c:formatCode>
                <c:ptCount val="1"/>
                <c:pt idx="0">
                  <c:v>100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4</c:v>
                </c:pt>
                <c:pt idx="2">
                  <c:v>3</c:v>
                </c:pt>
                <c:pt idx="3">
                  <c:v>3</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Almawarid</c:v>
                </c:pt>
                <c:pt idx="1">
                  <c:v>Maharah Human Resources</c:v>
                </c:pt>
                <c:pt idx="2">
                  <c:v>Saudi Manpower Solutions (SMASCO)</c:v>
                </c:pt>
                <c:pt idx="3">
                  <c:v>Tamkeen Human Resource</c:v>
                </c:pt>
                <c:pt idx="4">
                  <c:v>Randstad</c:v>
                </c:pt>
                <c:pt idx="5">
                  <c:v>Adecco</c:v>
                </c:pt>
              </c:strCache>
            </c:strRef>
          </c:cat>
          <c:val>
            <c:numRef>
              <c:f>Hoja1!$B$2:$B$7</c:f>
              <c:numCache>
                <c:formatCode>0.0"%"</c:formatCode>
                <c:ptCount val="6"/>
                <c:pt idx="0">
                  <c:v>6</c:v>
                </c:pt>
                <c:pt idx="1">
                  <c:v>6.2</c:v>
                </c:pt>
                <c:pt idx="2">
                  <c:v>8.4</c:v>
                </c:pt>
                <c:pt idx="3">
                  <c:v>10.2</c:v>
                </c:pt>
                <c:pt idx="4">
                  <c:v>2.5</c:v>
                </c:pt>
                <c:pt idx="5">
                  <c:v>2.4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2</c:v>
                </c:pt>
                <c:pt idx="2">
                  <c:v>2</c:v>
                </c:pt>
                <c:pt idx="3">
                  <c:v>2</c:v>
                </c:pt>
                <c:pt idx="4">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(SAR,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Hoja1!$A$2:$A$13</c:f>
              <c:strCache>
                <c:ptCount val="12"/>
                <c:pt idx="0">
                  <c:v>2021</c:v>
                </c:pt>
                <c:pt idx="1">
                  <c:v>2022</c:v>
                </c:pt>
                <c:pt idx="2">
                  <c:v>2023</c:v>
                </c:pt>
                <c:pt idx="3">
                  <c:v>2024</c:v>
                </c:pt>
                <c:pt idx="4">
                  <c:v>2025</c:v>
                </c:pt>
                <c:pt idx="5">
                  <c:v>2026e</c:v>
                </c:pt>
                <c:pt idx="6">
                  <c:v>2027e</c:v>
                </c:pt>
                <c:pt idx="7">
                  <c:v>2028e</c:v>
                </c:pt>
                <c:pt idx="8">
                  <c:v>2029e</c:v>
                </c:pt>
                <c:pt idx="9">
                  <c:v>2030e</c:v>
                </c:pt>
                <c:pt idx="10">
                  <c:v>2031e</c:v>
                </c:pt>
                <c:pt idx="11">
                  <c:v>2032e</c:v>
                </c:pt>
              </c:strCache>
            </c:strRef>
          </c:cat>
          <c:val>
            <c:numRef>
              <c:f>Hoja1!$B$2:$B$13</c:f>
              <c:numCache>
                <c:formatCode>#,##0</c:formatCode>
                <c:ptCount val="12"/>
                <c:pt idx="0">
                  <c:v>663.72</c:v>
                </c:pt>
                <c:pt idx="1">
                  <c:v>944.73</c:v>
                </c:pt>
                <c:pt idx="2">
                  <c:v>1446.01</c:v>
                </c:pt>
                <c:pt idx="3">
                  <c:v>2027.75</c:v>
                </c:pt>
                <c:pt idx="4">
                  <c:v>2610.99</c:v>
                </c:pt>
                <c:pt idx="5">
                  <c:v>3159</c:v>
                </c:pt>
                <c:pt idx="6">
                  <c:v>3570</c:v>
                </c:pt>
                <c:pt idx="7">
                  <c:v>3927</c:v>
                </c:pt>
                <c:pt idx="8">
                  <c:v>4241</c:v>
                </c:pt>
                <c:pt idx="9">
                  <c:v>4538</c:v>
                </c:pt>
                <c:pt idx="10">
                  <c:v>4810</c:v>
                </c:pt>
                <c:pt idx="11">
                  <c:v>5051</c:v>
                </c:pt>
              </c:numCache>
            </c:numRef>
          </c:val>
        </c:ser>
        <c:ser>
          <c:idx val="1"/>
          <c:order val="1"/>
          <c:tx>
            <c:strRef>
              <c:f>Hoja1!$C$1</c:f>
              <c:strCache>
                <c:ptCount val="1"/>
                <c:pt idx="0">
                  <c:v>EBITDA</c:v>
                </c:pt>
              </c:strCache>
            </c:strRef>
          </c:tx>
          <c:spPr>
            <a:solidFill>
              <a:srgbClr val="EB6834"/>
            </a:solidFill>
            <a:ln w="9525">
              <a:noFill/>
            </a:ln>
          </c:spPr>
          <c:invertIfNegative val="0"/>
          <c:cat>
            <c:strRef>
              <c:f>Hoja1!$A$2:$A$13</c:f>
              <c:strCache>
                <c:ptCount val="12"/>
                <c:pt idx="0">
                  <c:v>2021</c:v>
                </c:pt>
                <c:pt idx="1">
                  <c:v>2022</c:v>
                </c:pt>
                <c:pt idx="2">
                  <c:v>2023</c:v>
                </c:pt>
                <c:pt idx="3">
                  <c:v>2024</c:v>
                </c:pt>
                <c:pt idx="4">
                  <c:v>2025</c:v>
                </c:pt>
                <c:pt idx="5">
                  <c:v>2026e</c:v>
                </c:pt>
                <c:pt idx="6">
                  <c:v>2027e</c:v>
                </c:pt>
                <c:pt idx="7">
                  <c:v>2028e</c:v>
                </c:pt>
                <c:pt idx="8">
                  <c:v>2029e</c:v>
                </c:pt>
                <c:pt idx="9">
                  <c:v>2030e</c:v>
                </c:pt>
                <c:pt idx="10">
                  <c:v>2031e</c:v>
                </c:pt>
                <c:pt idx="11">
                  <c:v>2032e</c:v>
                </c:pt>
              </c:strCache>
            </c:strRef>
          </c:cat>
          <c:val>
            <c:numRef>
              <c:f>Hoja1!$C$2:$C$13</c:f>
              <c:numCache>
                <c:formatCode>#,##0</c:formatCode>
                <c:ptCount val="12"/>
                <c:pt idx="0">
                  <c:v>71.4</c:v>
                </c:pt>
                <c:pt idx="1">
                  <c:v>100.62</c:v>
                </c:pt>
                <c:pt idx="2">
                  <c:v>122.6</c:v>
                </c:pt>
                <c:pt idx="3">
                  <c:v>133.3</c:v>
                </c:pt>
                <c:pt idx="4">
                  <c:v>187.73</c:v>
                </c:pt>
                <c:pt idx="5">
                  <c:v>262</c:v>
                </c:pt>
                <c:pt idx="6">
                  <c:v>293</c:v>
                </c:pt>
                <c:pt idx="7">
                  <c:v>314</c:v>
                </c:pt>
                <c:pt idx="8">
                  <c:v>335</c:v>
                </c:pt>
                <c:pt idx="9">
                  <c:v>354</c:v>
                </c:pt>
                <c:pt idx="10">
                  <c:v>370</c:v>
                </c:pt>
                <c:pt idx="11">
                  <c:v>384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14.6</c:v>
                </c:pt>
                <c:pt idx="1">
                  <c:v>13.7</c:v>
                </c:pt>
                <c:pt idx="2">
                  <c:v>10.2</c:v>
                </c:pt>
                <c:pt idx="3">
                  <c:v>9.1</c:v>
                </c:pt>
                <c:pt idx="4">
                  <c:v>9</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10.8</c:v>
                </c:pt>
                <c:pt idx="1">
                  <c:v>10.7</c:v>
                </c:pt>
                <c:pt idx="2">
                  <c:v>8.5</c:v>
                </c:pt>
                <c:pt idx="3">
                  <c:v>6.6</c:v>
                </c:pt>
                <c:pt idx="4">
                  <c:v>7.2</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8.7</c:v>
                </c:pt>
                <c:pt idx="1">
                  <c:v>9</c:v>
                </c:pt>
                <c:pt idx="2">
                  <c:v>7.1</c:v>
                </c:pt>
                <c:pt idx="3">
                  <c:v>5.5</c:v>
                </c:pt>
                <c:pt idx="4">
                  <c:v>6</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8.4</c:v>
                </c:pt>
                <c:pt idx="1">
                  <c:v>8</c:v>
                </c:pt>
                <c:pt idx="2">
                  <c:v>6.1</c:v>
                </c:pt>
                <c:pt idx="3">
                  <c:v>4.7</c:v>
                </c:pt>
                <c:pt idx="4">
                  <c:v>5.3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71.3</c:v>
                </c:pt>
                <c:pt idx="1">
                  <c:v>6.1</c:v>
                </c:pt>
                <c:pt idx="2">
                  <c:v>34</c:v>
                </c:pt>
                <c:pt idx="3">
                  <c:v>29.7</c:v>
                </c:pt>
                <c:pt idx="4">
                  <c:v>23.8</c:v>
                </c:pt>
                <c:pt idx="5">
                  <c:v>28.7</c:v>
                </c:pt>
                <c:pt idx="6">
                  <c:v>28.8</c:v>
                </c:pt>
                <c:pt idx="7">
                  <c:v>25.4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75</c:v>
                </c:pt>
                <c:pt idx="1">
                  <c:v>81</c:v>
                </c:pt>
                <c:pt idx="2">
                  <c:v>54</c:v>
                </c:pt>
                <c:pt idx="3">
                  <c:v>50</c:v>
                </c:pt>
                <c:pt idx="4">
                  <c:v>52</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0</c:v>
                </c:pt>
                <c:pt idx="1">
                  <c:v>0</c:v>
                </c:pt>
                <c:pt idx="2">
                  <c:v>0</c:v>
                </c:pt>
                <c:pt idx="3">
                  <c:v>0</c:v>
                </c:pt>
                <c:pt idx="4">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63</c:v>
                </c:pt>
                <c:pt idx="1">
                  <c:v>57</c:v>
                </c:pt>
                <c:pt idx="2">
                  <c:v>43</c:v>
                </c:pt>
                <c:pt idx="3">
                  <c:v>49</c:v>
                </c:pt>
                <c:pt idx="4">
                  <c:v>42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(SAR,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-32.370000000000005</c:v>
                </c:pt>
                <c:pt idx="1">
                  <c:v>48.650000000000006</c:v>
                </c:pt>
                <c:pt idx="2">
                  <c:v>63.4</c:v>
                </c:pt>
                <c:pt idx="3">
                  <c:v>56.580000000000005</c:v>
                </c:pt>
                <c:pt idx="4">
                  <c:v>110.66000000000001</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55.66</c:v>
                </c:pt>
                <c:pt idx="1">
                  <c:v>75.99</c:v>
                </c:pt>
                <c:pt idx="2">
                  <c:v>88.77</c:v>
                </c:pt>
                <c:pt idx="3">
                  <c:v>95.42</c:v>
                </c:pt>
                <c:pt idx="4">
                  <c:v>138.46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29</c:v>
                </c:pt>
                <c:pt idx="1">
                  <c:v>34.2</c:v>
                </c:pt>
                <c:pt idx="2">
                  <c:v>37.6</c:v>
                </c:pt>
                <c:pt idx="3">
                  <c:v>40</c:v>
                </c:pt>
                <c:pt idx="4">
                  <c:v>46.6</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12.3</c:v>
                </c:pt>
                <c:pt idx="1">
                  <c:v>12.3</c:v>
                </c:pt>
                <c:pt idx="2">
                  <c:v>12.3</c:v>
                </c:pt>
                <c:pt idx="3">
                  <c:v>12.3</c:v>
                </c:pt>
                <c:pt idx="4">
                  <c:v>12.3</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23.9</c:v>
                </c:pt>
                <c:pt idx="1">
                  <c:v>28.9</c:v>
                </c:pt>
                <c:pt idx="2">
                  <c:v>27.9</c:v>
                </c:pt>
                <c:pt idx="3">
                  <c:v>25.7</c:v>
                </c:pt>
                <c:pt idx="4">
                  <c:v>30.6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-0.53</c:v>
                </c:pt>
                <c:pt idx="1">
                  <c:v>-0.38</c:v>
                </c:pt>
                <c:pt idx="2">
                  <c:v>-0.86</c:v>
                </c:pt>
                <c:pt idx="3">
                  <c:v>-0.99</c:v>
                </c:pt>
                <c:pt idx="4">
                  <c:v>-0.76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(SAR,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0</c:v>
                </c:pt>
                <c:pt idx="1">
                  <c:v>0</c:v>
                </c:pt>
                <c:pt idx="2">
                  <c:v>0</c:v>
                </c:pt>
                <c:pt idx="3">
                  <c:v>0</c:v>
                </c:pt>
                <c:pt idx="4">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20</c:v>
                </c:pt>
                <c:pt idx="1">
                  <c:v>20</c:v>
                </c:pt>
                <c:pt idx="2">
                  <c:v>37.5</c:v>
                </c:pt>
                <c:pt idx="3">
                  <c:v>33.75</c:v>
                </c:pt>
                <c:pt idx="4">
                  <c:v>39</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0</c:v>
                </c:pt>
                <c:pt idx="2">
                  <c:v>0</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Otro externo</c:v>
                </c:pt>
                <c:pt idx="1">
                  <c:v>Dominical</c:v>
                </c:pt>
                <c:pt idx="2">
                  <c:v>Ejecutivo</c:v>
                </c:pt>
              </c:strCache>
            </c:strRef>
          </c:cat>
          <c:val>
            <c:numRef>
              <c:f>Hoja1!$B$2:$B$4</c:f>
              <c:numCache>
                <c:formatCode>0</c:formatCode>
                <c:ptCount val="3"/>
                <c:pt idx="0">
                  <c:v>5</c:v>
                </c:pt>
                <c:pt idx="1">
                  <c:v>1</c:v>
                </c:pt>
                <c:pt idx="2">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Alomaier Trading and Contracting Co.</c:v>
                </c:pt>
                <c:pt idx="1">
                  <c:v>Al-Ayuni Investment and Contracting Co.</c:v>
                </c:pt>
                <c:pt idx="2">
                  <c:v>Saudi Edarah Co. (directa e indirecta vía Alsaraya)</c:v>
                </c:pt>
                <c:pt idx="3">
                  <c:v>Khalda Trading Group</c:v>
                </c:pt>
                <c:pt idx="4">
                  <c:v>Almawarid kom Trading Group</c:v>
                </c:pt>
                <c:pt idx="5">
                  <c:v>Alsaraya Investment Co.</c:v>
                </c:pt>
              </c:strCache>
            </c:strRef>
          </c:cat>
          <c:val>
            <c:numRef>
              <c:f>Hoja1!$B$2:$B$7</c:f>
              <c:numCache>
                <c:formatCode>0.0"%"</c:formatCode>
                <c:ptCount val="6"/>
                <c:pt idx="0">
                  <c:v>23.94</c:v>
                </c:pt>
                <c:pt idx="1">
                  <c:v>23.94</c:v>
                </c:pt>
                <c:pt idx="2">
                  <c:v>6.62</c:v>
                </c:pt>
                <c:pt idx="3">
                  <c:v>5.05</c:v>
                </c:pt>
                <c:pt idx="4">
                  <c:v>4.66</c:v>
                </c:pt>
                <c:pt idx="5">
                  <c:v>3.64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Hoja1!$A$2:$A$3</c:f>
              <c:strCache>
                <c:ptCount val="2"/>
                <c:pt idx="0">
                  <c:v>2024</c:v>
                </c:pt>
                <c:pt idx="1">
                  <c:v>2025</c:v>
                </c:pt>
              </c:strCache>
            </c:strRef>
          </c:cat>
          <c:val>
            <c:numRef>
              <c:f>Hoja1!$B$2:$B$3</c:f>
              <c:numCache>
                <c:formatCode>0"%"</c:formatCode>
                <c:ptCount val="2"/>
                <c:pt idx="0">
                  <c:v>-13.9</c:v>
                </c:pt>
                <c:pt idx="1">
                  <c:v>25.9</c:v>
                </c:pt>
              </c:numCache>
            </c:numRef>
          </c:val>
        </c:ser>
        <c:ser>
          <c:idx val="1"/>
          <c:order val="1"/>
          <c:tx>
            <c:strRef>
              <c:f>Hoja1!$C$1</c:f>
              <c:strCache>
                <c:ptCount val="1"/>
                <c:pt idx="0">
                  <c:v>Índice</c:v>
                </c:pt>
              </c:strCache>
            </c:strRef>
          </c:tx>
          <c:spPr>
            <a:solidFill>
              <a:srgbClr val="EB6834"/>
            </a:solidFill>
            <a:ln w="9525">
              <a:noFill/>
            </a:ln>
          </c:spPr>
          <c:invertIfNegative val="0"/>
          <c:cat>
            <c:strRef>
              <c:f>Hoja1!$A$2:$A$3</c:f>
              <c:strCache>
                <c:ptCount val="2"/>
                <c:pt idx="0">
                  <c:v>2024</c:v>
                </c:pt>
                <c:pt idx="1">
                  <c:v>2025</c:v>
                </c:pt>
              </c:strCache>
            </c:strRef>
          </c:cat>
          <c:val>
            <c:numRef>
              <c:f>Hoja1!$C$2:$C$3</c:f>
              <c:numCache>
                <c:formatCode>0"%"</c:formatCode>
                <c:ptCount val="2"/>
                <c:pt idx="0">
                  <c:v>-0.2</c:v>
                </c:pt>
                <c:pt idx="1">
                  <c:v>-8.2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Hoja1!$A$2:$A$4</c:f>
              <c:strCache>
                <c:ptCount val="3"/>
                <c:pt idx="0">
                  <c:v>2023</c:v>
                </c:pt>
                <c:pt idx="1">
                  <c:v>2024</c:v>
                </c:pt>
                <c:pt idx="2">
                  <c:v>2025</c:v>
                </c:pt>
              </c:strCache>
            </c:strRef>
          </c:cat>
          <c:val>
            <c:numRef>
              <c:f>Hoja1!$B$2:$B$4</c:f>
              <c:numCache>
                <c:formatCode>0.0"x"</c:formatCode>
                <c:ptCount val="3"/>
                <c:pt idx="0">
                  <c:v>14.4</c:v>
                </c:pt>
                <c:pt idx="1">
                  <c:v>10.9</c:v>
                </c:pt>
                <c:pt idx="2">
                  <c:v>9.6</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Hoja1!$A$2:$A$4</c:f>
              <c:strCache>
                <c:ptCount val="3"/>
                <c:pt idx="0">
                  <c:v>2023</c:v>
                </c:pt>
                <c:pt idx="1">
                  <c:v>2024</c:v>
                </c:pt>
                <c:pt idx="2">
                  <c:v>2025</c:v>
                </c:pt>
              </c:strCache>
            </c:strRef>
          </c:cat>
          <c:val>
            <c:numRef>
              <c:f>Hoja1!$C$2:$C$4</c:f>
              <c:numCache>
                <c:formatCode>0.0"x"</c:formatCode>
                <c:ptCount val="3"/>
                <c:pt idx="0">
                  <c:v>10.9</c:v>
                </c:pt>
                <c:pt idx="1">
                  <c:v>10.9</c:v>
                </c:pt>
                <c:pt idx="2">
                  <c:v>10.9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(SAR,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2026e</c:v>
                </c:pt>
                <c:pt idx="1">
                  <c:v>2027e</c:v>
                </c:pt>
                <c:pt idx="2">
                  <c:v>2028e</c:v>
                </c:pt>
                <c:pt idx="3">
                  <c:v>2029e</c:v>
                </c:pt>
                <c:pt idx="4">
                  <c:v>2030e</c:v>
                </c:pt>
                <c:pt idx="5">
                  <c:v>2031e</c:v>
                </c:pt>
                <c:pt idx="6">
                  <c:v>2032e</c:v>
                </c:pt>
              </c:strCache>
            </c:strRef>
          </c:cat>
          <c:val>
            <c:numRef>
              <c:f>Hoja1!$B$2:$B$8</c:f>
              <c:numCache>
                <c:formatCode>#,##0</c:formatCode>
                <c:ptCount val="7"/>
                <c:pt idx="0">
                  <c:v>138</c:v>
                </c:pt>
                <c:pt idx="1">
                  <c:v>201</c:v>
                </c:pt>
                <c:pt idx="2">
                  <c:v>221</c:v>
                </c:pt>
                <c:pt idx="3">
                  <c:v>240</c:v>
                </c:pt>
                <c:pt idx="4">
                  <c:v>256</c:v>
                </c:pt>
                <c:pt idx="5">
                  <c:v>272</c:v>
                </c:pt>
                <c:pt idx="6">
                  <c:v>285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(SAR,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1040</c:v>
                </c:pt>
                <c:pt idx="1">
                  <c:v>1528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(SAR) · precio actual 87,80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78.98</c:v>
                </c:pt>
                <c:pt idx="1">
                  <c:v>127.9</c:v>
                </c:pt>
                <c:pt idx="2">
                  <c:v>158.21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(SAR) · precio actual 87,80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(73,00 – 112,20)</c:v>
                </c:pt>
                <c:pt idx="1">
                  <c:v>Precio objetivo de los analistas (118,80 – 133,00)</c:v>
                </c:pt>
                <c:pt idx="2">
                  <c:v>Comparables: PER NTM (84,15 – 102,99)</c:v>
                </c:pt>
                <c:pt idx="3">
                  <c:v>DCF (WACC y g ± 0,5) (117,62 – 140,59)</c:v>
                </c:pt>
                <c:pt idx="4">
                  <c:v>Escenarios (bajista – alcista) (78,98 – 158,21)</c:v>
                </c:pt>
                <c:pt idx="5">
                  <c:v>DCF con la prima implícita del mercado (4,2 %)</c:v>
                </c:pt>
                <c:pt idx="6">
                  <c:v>Precio actual (87,80)</c:v>
                </c:pt>
              </c:strCache>
            </c:strRef>
          </c:cat>
          <c:val>
            <c:numRef>
              <c:f>Hoja1!$B$2:$B$8</c:f>
              <c:numCache>
                <c:formatCode>#,##0</c:formatCode>
                <c:ptCount val="7"/>
                <c:pt idx="0">
                  <c:v>73</c:v>
                </c:pt>
                <c:pt idx="1">
                  <c:v>118.8</c:v>
                </c:pt>
                <c:pt idx="2">
                  <c:v>84.15</c:v>
                </c:pt>
                <c:pt idx="3">
                  <c:v>117.62</c:v>
                </c:pt>
                <c:pt idx="4">
                  <c:v>78.98</c:v>
                </c:pt>
                <c:pt idx="5">
                  <c:v>138.11</c:v>
                </c:pt>
                <c:pt idx="6">
                  <c:v>87.36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(73,00 – 112,20)</c:v>
                </c:pt>
                <c:pt idx="1">
                  <c:v>Precio objetivo de los analistas (118,80 – 133,00)</c:v>
                </c:pt>
                <c:pt idx="2">
                  <c:v>Comparables: PER NTM (84,15 – 102,99)</c:v>
                </c:pt>
                <c:pt idx="3">
                  <c:v>DCF (WACC y g ± 0,5) (117,62 – 140,59)</c:v>
                </c:pt>
                <c:pt idx="4">
                  <c:v>Escenarios (bajista – alcista) (78,98 – 158,21)</c:v>
                </c:pt>
                <c:pt idx="5">
                  <c:v>DCF con la prima implícita del mercado (4,2 %)</c:v>
                </c:pt>
                <c:pt idx="6">
                  <c:v>Precio actual (87,80)</c:v>
                </c:pt>
              </c:strCache>
            </c:strRef>
          </c:cat>
          <c:val>
            <c:numRef>
              <c:f>Hoja1!$C$2:$C$8</c:f>
              <c:numCache>
                <c:formatCode>#,##0</c:formatCode>
                <c:ptCount val="7"/>
                <c:pt idx="0">
                  <c:v>39.2</c:v>
                </c:pt>
                <c:pt idx="1">
                  <c:v>14.200000000000003</c:v>
                </c:pt>
                <c:pt idx="2">
                  <c:v>18.83999999999999</c:v>
                </c:pt>
                <c:pt idx="3">
                  <c:v>22.97</c:v>
                </c:pt>
                <c:pt idx="4">
                  <c:v>79.23</c:v>
                </c:pt>
                <c:pt idx="5">
                  <c:v>18.20999999999998</c:v>
                </c:pt>
                <c:pt idx="6">
                  <c:v>0.8799999999999955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6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