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Pandora A/S</w:t>
      </w:r>
    </w:p>
    <w:p>
      <w:pPr>
        <w:spacing w:after="60"/>
        <w:rPr>
          <w:color w:val="52514E"/>
          <w:sz w:val="22"/>
          <w:szCs w:val="22"/>
        </w:rPr>
      </w:pPr>
      <w:r>
        <w:rPr>
          <w:color w:val="52514E"/>
          <w:sz w:val="22"/>
          <w:szCs w:val="22"/>
        </w:rPr>
        <w:t xml:space="preserve">PNDORA · Nasdaq Copenhague · ISIN DK0060252690 · Consumer Discretionary</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19 oct 2026</w:t>
      </w:r>
      <w:r>
        <w:rPr>
          <w:color w:val="52514E"/>
          <w:sz w:val="18"/>
          <w:szCs w:val="18"/>
        </w:rPr>
        <w:t xml:space="preserve"> · Divisa: </w:t>
      </w:r>
      <w:r>
        <w:rPr>
          <w:b/>
          <w:bCs/>
          <w:color w:val="52514E"/>
          <w:sz w:val="18"/>
          <w:szCs w:val="18"/>
        </w:rPr>
        <w:t xml:space="preserve">DKK</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847,00 DKK</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964,50 DKK</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+16,5 % (base +31,4 %)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827,20 DKK · mercado 1.028,46</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63.525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1,5x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Pandora 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PNDORA / DK0060252690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Copenhague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OMX Copenhagen 25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Consumer Discretionary / Apparel, Accessories &amp; Luxury Goods (GICS 25203010)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Copenhague, Dinamarca · 1982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42.281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https://pandoragroup.com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847,00 (16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430,00 – 904,40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63.525 M DKK</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79.168 M DKK</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204,5 M DKK/día (3 meses; 252 mil acciones)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964,50 DKK</w:t>
      </w:r>
      <w:r>
        <w:t xml:space="preserve"> frente a 847,00 · Rentabilidad a 12 meses </w:t>
      </w:r>
      <w:r>
        <w:rPr>
          <w:b/>
          <w:bCs/>
        </w:rPr>
        <w:t xml:space="preserve">+16,5 % (base +31,4 %)</w:t>
      </w:r>
      <w:r>
        <w:t xml:space="preserve"> · Valor intrínseco 827,20 DKK · con la prima implícita del mercado: 1.028,46 (+21,4 %) · Alcista / bajista +25,9 % / -36,4 %</w:t>
      </w:r>
    </w:p>
    <w:p>
      <w:pPr>
        <w:spacing w:after="100"/>
      </w:pPr>
      <w:r>
        <w:rPr>
          <w:b/>
        </w:rPr>
        <w:t xml:space="preserve">La recomendación y por qué.</w:t>
      </w:r>
      <w:r>
        <w:t xml:space="preserve"> Mantener, con convicción baja. La regla a 12 meses da una ponderada del +16,5 % (base +31,4 %) sobre 847 DKK (cierre del 16-oct-2026 en Copenhague; hoy, 19-oct, 851,80 DKK a las 16:28 CEST según Yahoo) [21], pero no compra porque el valor intrínseco (827 DKK) está por debajo del precio. Y el +16,5 % está inflado: la regla parte de un PER actual de 20,6x calculado sobre nuestro BPA de 2027e (41,1 DKK), el año del golpe de la plata, y aplica 18,7x a un BPA de 2028e ya recuperado (58,4 DKK). Con la mediana de cinco años (14,5x) el base valdría lo que cotiza hoy; con la regla v2 la ponderada es del +6,9 %. El precio ya descuenta que el margen EBIT vuelve al 21 % tras 2027. La convicción es baja porque las dos reglas del valor intrínseco discrepan (con nuestro WACC, Mantener; con la prima del mercado, Comprar), la v2 da poco y el margen de 2027 se conoce el 4-nov; la subiría una guía de margen de 2027 por encima del 17 % o un precio por debajo de 750 DKK, y la bajaría una guía por debajo del 14 %.</w:t>
      </w:r>
    </w:p>
    <w:p>
      <w:pPr>
        <w:spacing w:after="100"/>
      </w:pPr>
      <w:r>
        <w:rPr>
          <w:b/>
        </w:rPr>
        <w:t xml:space="preserve">Por qué ha subido un 96 % desde marzo.</w:t>
      </w:r>
      <w:r>
        <w:t xml:space="preserve"> Del mínimo de 430 DKK (17-mar) a 847 [21]. La plata, que llegó a 93 USD/oz en febrero, ha bajado a 57 [15]; Pandora cubrió 2027 a ≈ 65 USD (unos +200 pb de margen frente a la guía de ≥ 12 %) y subió la guía de 2026 en mayo y en agosto [2, 6]. Antes había caído un 52 % desde octubre de 2025 por la guía incumplida de 2025 y el tráfico flojo en EE. UU. [20]. La consejera delegada compró acciones en agosto [17].</w:t>
      </w:r>
    </w:p>
    <w:p>
      <w:pPr>
        <w:spacing w:after="100"/>
      </w:pPr>
      <w:r>
        <w:rPr>
          <w:b/>
        </w:rPr>
        <w:t xml:space="preserve">El negocio.</w:t>
      </w:r>
      <w:r>
        <w:t xml:space="preserve"> Pandora diseña y fabrica en Tailandia joyería asequible de plata (charms, pulseras, anillos) y la vende con su marca en más de 100 países [1]. </w:t>
      </w:r>
      <w:r>
        <w:rPr>
          <w:b/>
        </w:rPr>
        <w:t xml:space="preserve">Reparto de ventas de 2025: tiendas propias 63 % (tiendas concepto 56,5 % y tiendas en tienda 6,5 %), online propio 22,9 %, franquiciados y mayoristas 11,9 % y distribuidores 2,3 %</w:t>
      </w:r>
      <w:r>
        <w:t xml:space="preserve"> [1]: el 86 % se vende en canales propios (87 % en el 1S26). Es una marca que fabrica (margen bruto del 79 %), pero opera como un minorista: los gastos de venta son el 37 % de las ventas y todos sus locales son alquilados [1]. </w:t>
      </w:r>
      <w:r>
        <w:rPr>
          <w:b/>
        </w:rPr>
        <w:t xml:space="preserve">Calidad: Sí</w:t>
      </w:r>
      <w:r>
        <w:t xml:space="preserve">: ROIC del 33,2 % frente a un WACC del 8,79 % (24,4 puntos) y sostenibilidad del crecimiento «Sí»: el 3,6 % anual proyectado es menor que el del mercado y lo financia de sobra [1].</w:t>
      </w:r>
    </w:p>
    <w:p>
      <w:pPr>
        <w:spacing w:after="100"/>
      </w:pPr>
      <w:r>
        <w:rPr>
          <w:b/>
        </w:rPr>
        <w:t xml:space="preserve">Finanzas.</w:t>
      </w:r>
      <w:r>
        <w:t xml:space="preserve"> Ventas de 32.549 M DKK en 2025 (orgánico +6 %) y EBIT de 7.783 M (margen del 23,9 %) [1]. BPA de 67,9 DKK y dividendo de 22 DKK. Deuda neta con arrendamientos de 15.643 M a jun-26, 1,5 veces el EBITDA; rating BBB/Baa2 [1, 2]. Recompras suspendidas. Guía de 2026: orgánico 0-3 % y margen EBIT 22-23 % [9]; 2027: margen de al menos el 12-14 % antes de la cobertura [2].</w:t>
      </w:r>
    </w:p>
    <w:p>
      <w:pPr>
        <w:spacing w:after="100"/>
      </w:pPr>
      <w:r>
        <w:rPr>
          <w:b/>
        </w:rPr>
        <w:t xml:space="preserve">Equipo y gobierno.</w:t>
      </w:r>
      <w:r>
        <w:t xml:space="preserve"> Berta de Pablos-Barbier (consejera delegada desde 2026, antes directora de marketing y de Moët &amp; Chandon) y un director financiero nuevo, Paulo Garcia, desde el 1-dic [1, 2]. Consejo independiente y sin accionista de control (Parvus 12,5 %, BlackRock 10 %) [1]. Cumplió la guía en 2022 y 2024 y la incumplió en 2025 [3, 19].</w:t>
      </w:r>
    </w:p>
    <w:p>
      <w:pPr>
        <w:spacing w:after="100"/>
      </w:pPr>
      <w:r>
        <w:rPr>
          <w:b/>
        </w:rPr>
        <w:t xml:space="preserve">Valoración.</w:t>
      </w:r>
      <w:r>
        <w:t xml:space="preserve"> El DCF da 862,91 DKK con el Bund al 3,48 % y una beta de 1,15 [25]; el valor intrínseco ponderado (827,20 DKK) está un 2,3 % por debajo del precio. Cotiza a 13,1 veces el BPA de consenso de 2026 y a 14,5 veces nuestro BPA de 2028e, en la mediana de su historia y de sus comparables (14,7x) [22]. Nuestro BPA de 2027e está un 11-15 % por debajo del consenso [22, 23].</w:t>
      </w:r>
    </w:p>
    <w:p>
      <w:pPr>
        <w:spacing w:after="100"/>
      </w:pPr>
      <w:r>
        <w:rPr>
          <w:b/>
        </w:rPr>
        <w:t xml:space="preserve">Riesgos y catalizadores.</w:t>
      </w:r>
      <w:r>
        <w:t xml:space="preserve"> El riesgo principal es la plata cuando acabe la cobertura de 2027 y que la clienta no acepte el platino chapado (bajista a 12 meses: −52 %) [2]; le siguen el consumidor de EE. UU. y los aranceles a Tailandia (12,5 %) [9]. </w:t>
      </w:r>
      <w:r>
        <w:rPr>
          <w:b/>
        </w:rPr>
        <w:t xml:space="preserve">Riesgo de IA: bajo.</w:t>
      </w:r>
      <w:r>
        <w:t xml:space="preserve"> Catalizador: resultados del 3T y actualización estratégica el 4-nov, con la orientación del margen de 2027 [9]. Veredicto de precio y noticias: no cambia. Sentimiento: dividido y mejorando [22].</w:t>
      </w:r>
    </w:p>
    <w:p>
      <w:pPr>
        <w:spacing w:after="100"/>
      </w:pPr>
      <w:r>
        <w:rPr>
          <w:b/>
        </w:rPr>
        <w:t xml:space="preserve">Qué cambiaría la decisión.</w:t>
      </w:r>
      <w:r>
        <w:t xml:space="preserve"> La regla compraría por debajo de 827 DKK (el valor intrínseco), pero la v2 seguiría sin dar Comprar hasta mucho más abajo. Una guía de margen EBIT de 2027 por encima del 17 % el 4-nov nos haría subir el base; por debajo del 14 %, bajarlo.</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964,50 DKK</w:t>
      </w:r>
      <w:r>
        <w:t xml:space="preserve"> (rentabilidad +16,5 % (base +31,4 %)) · Valor intrínseco: 827,20 DKK (-2,3 % sobre 847,00) · con la prima implícita del mercado: 1.028,46 (+21,4 %)</w:t>
      </w:r>
    </w:p>
    <w:p>
      <w:pPr>
        <w:spacing w:after="100"/>
      </w:pPr>
      <w:r>
        <w:t xml:space="preserve">Pandora es una marca de joyería asequible con un ROIC del 33 % que fabrica barato y vende en sus propias tiendas. Su problema es la plata: con el metal a 57-93 USD/oz el margen EBIT cae del 25 % al 15 % en 2027 y el plan es pasar la mitad del surtido a platino chapado [2].</w:t>
      </w:r>
    </w:p>
    <w:p>
      <w:pPr>
        <w:spacing w:after="100"/>
      </w:pPr>
      <w:r>
        <w:t xml:space="preserve">El precio (847 DKK) ya descuenta que el margen vuelve al 21 % tras 2027 (DCF inverso). Si lo hace, a 14,5 veces nuestro BPA de 2028e la acción vale lo que cotiza.</w:t>
      </w:r>
    </w:p>
    <w:p>
      <w:pPr>
        <w:spacing w:after="100"/>
      </w:pPr>
      <w:r>
        <w:t xml:space="preserve">Para que sea una compra hace falta o un precio más bajo o una prueba de que el platino funciona y el margen vuelve al 23-25 %.</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964,50 DKK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 × 43,64 = 388,40 · 18,7x × 58,35 = 1.091,15 · 18,7x × 68,84 = 1.287,31</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16,5 % / 31,4 %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857,17 (nuestro base +27,3 %)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827,20 DKK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25,9 % / -36,4 %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 frente a 8,8 % y 7,6 %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7,6 %)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1.028,46 DKK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(2027e-2032e)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 frente a 4,0 %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(3,6 % anual proyectado; financiable al ROIC actual: 5,3 %)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827,20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827,20 y 1.096,11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1.096,11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827 DKK con la v2 también por encima del 15 %: Comprar.</w:t>
      </w:r>
    </w:p>
    <w:p>
      <w:pPr>
        <w:pStyle w:val="ListParagraph"/>
        <w:numPr>
          <w:ilvl w:val="0"/>
          <w:numId w:val="2"/>
        </w:numPr>
        <w:spacing w:after="60"/>
      </w:pPr>
      <w:r>
        <w:t xml:space="preserve">Guía de margen EBIT de 2027 por encima del 17 % el 4-nov: subiríamos el base de 2027e y 2028e.</w:t>
      </w:r>
    </w:p>
    <w:p>
      <w:pPr>
        <w:pStyle w:val="ListParagraph"/>
        <w:numPr>
          <w:ilvl w:val="0"/>
          <w:numId w:val="2"/>
        </w:numPr>
        <w:spacing w:after="60"/>
      </w:pPr>
      <w:r>
        <w:t xml:space="preserve">Guía de margen de 2027 por debajo del 14 % o plata por encima de 80 USD/oz: pasaríamos al bajista.</w:t>
      </w:r>
    </w:p>
    <w:p>
      <w:pPr>
        <w:pStyle w:val="ListParagraph"/>
        <w:numPr>
          <w:ilvl w:val="0"/>
          <w:numId w:val="2"/>
        </w:numPr>
        <w:spacing w:after="60"/>
      </w:pPr>
      <w:r>
        <w:t xml:space="preserve">Precio por encima de 1.096 DKK: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margen EBIT vuelve al ≈ 21 % tras 2027 y que el platino funciona: el precio equivale a un margen EBITDA del 28,9 % para siempre.</w:t>
      </w:r>
    </w:p>
    <w:p>
      <w:pPr>
        <w:keepNext/>
        <w:spacing w:after="100"/>
      </w:pPr>
      <w:r>
        <w:rPr>
          <w:b/>
          <w:bCs/>
        </w:rPr>
        <w:t xml:space="preserve">Lo que creemos nosotros.</w:t>
      </w:r>
    </w:p>
    <w:p>
      <w:pPr>
        <w:spacing w:after="100"/>
      </w:pPr>
      <w:r>
        <w:t xml:space="preserve">Coincidimos en el destino pero somos más prudentes en el camino: margen EBIT del 15 % en 2027e y del 19 % en 2028e, con un BPA un 9-15 % por debajo del consenso.</w:t>
      </w:r>
    </w:p>
    <w:p>
      <w:pPr>
        <w:keepNext/>
        <w:spacing w:after="100"/>
      </w:pPr>
      <w:r>
        <w:rPr>
          <w:b/>
          <w:bCs/>
        </w:rPr>
        <w:t xml:space="preserve">Por qué podemos tener razón.</w:t>
      </w:r>
    </w:p>
    <w:p>
      <w:pPr>
        <w:spacing w:after="100"/>
      </w:pPr>
      <w:r>
        <w:t xml:space="preserve">La guía de 2027 (≥ 12-14 % con la plata a 82 USD) y la cobertura a 65 USD [2]; el platino se prueba en un solo país y no se mide hasta 2027 [2].</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DKK) · precio actual 847,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832,78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Calidad alta</w:t>
      </w:r>
      <w:r>
        <w:t xml:space="preserve">: ROIC del 33 % y margen bruto del 79 % [1].</w:t>
      </w:r>
    </w:p>
    <w:p>
      <w:pPr>
        <w:pStyle w:val="ListParagraph"/>
        <w:numPr>
          <w:ilvl w:val="0"/>
          <w:numId w:val="2"/>
        </w:numPr>
        <w:spacing w:after="60"/>
      </w:pPr>
      <w:r>
        <w:rPr>
          <w:b/>
        </w:rPr>
        <w:t xml:space="preserve">La plata ha bajado</w:t>
      </w:r>
      <w:r>
        <w:t xml:space="preserve">: de 93 a 57 USD/oz, con 2027 cubierto a 65 [2, 15].</w:t>
      </w:r>
    </w:p>
    <w:p>
      <w:pPr>
        <w:pStyle w:val="ListParagraph"/>
        <w:numPr>
          <w:ilvl w:val="0"/>
          <w:numId w:val="2"/>
        </w:numPr>
        <w:spacing w:after="60"/>
      </w:pPr>
      <w:r>
        <w:rPr>
          <w:b/>
        </w:rPr>
        <w:t xml:space="preserve">Precio razonable sobre 2028</w:t>
      </w:r>
      <w:r>
        <w:t xml:space="preserve">: 14,5 veces nuestro BPA, en la mediana de su historia [21].</w:t>
      </w:r>
    </w:p>
    <w:p>
      <w:pPr>
        <w:pStyle w:val="ListParagraph"/>
        <w:numPr>
          <w:ilvl w:val="0"/>
          <w:numId w:val="2"/>
        </w:numPr>
        <w:spacing w:after="60"/>
      </w:pPr>
      <w:r>
        <w:rPr>
          <w:b/>
        </w:rPr>
        <w:t xml:space="preserve">Directivos comprando</w:t>
      </w:r>
      <w:r>
        <w:t xml:space="preserve">: la consejera delegada el 17-ago y dos consejeros en febrero [17].</w:t>
      </w:r>
    </w:p>
    <w:p>
      <w:pPr>
        <w:pStyle w:val="Heading2"/>
      </w:pPr>
      <w:r>
        <w:t xml:space="preserve">En contra</w:t>
      </w:r>
    </w:p>
    <w:p>
      <w:pPr>
        <w:pStyle w:val="ListParagraph"/>
        <w:numPr>
          <w:ilvl w:val="0"/>
          <w:numId w:val="2"/>
        </w:numPr>
        <w:spacing w:after="60"/>
      </w:pPr>
      <w:r>
        <w:rPr>
          <w:b/>
        </w:rPr>
        <w:t xml:space="preserve">Valor intrínseco por debajo del precio</w:t>
      </w:r>
      <w:r>
        <w:t xml:space="preserve">: 827 DKK frente a 847 [1].</w:t>
      </w:r>
    </w:p>
    <w:p>
      <w:pPr>
        <w:pStyle w:val="ListParagraph"/>
        <w:numPr>
          <w:ilvl w:val="0"/>
          <w:numId w:val="2"/>
        </w:numPr>
        <w:spacing w:after="60"/>
      </w:pPr>
      <w:r>
        <w:rPr>
          <w:b/>
        </w:rPr>
        <w:t xml:space="preserve">2027 deprimido</w:t>
      </w:r>
      <w:r>
        <w:t xml:space="preserve">: margen EBIT del 12-14 % antes de cobertura [2].</w:t>
      </w:r>
    </w:p>
    <w:p>
      <w:pPr>
        <w:pStyle w:val="ListParagraph"/>
        <w:numPr>
          <w:ilvl w:val="0"/>
          <w:numId w:val="2"/>
        </w:numPr>
        <w:spacing w:after="60"/>
      </w:pPr>
      <w:r>
        <w:rPr>
          <w:b/>
        </w:rPr>
        <w:t xml:space="preserve">Riesgo de marca del platino</w:t>
      </w:r>
      <w:r>
        <w:t xml:space="preserve">: sin datos de ventas fuera del piloto [2].</w:t>
      </w:r>
    </w:p>
    <w:p>
      <w:pPr>
        <w:pStyle w:val="ListParagraph"/>
        <w:numPr>
          <w:ilvl w:val="0"/>
          <w:numId w:val="2"/>
        </w:numPr>
        <w:spacing w:after="60"/>
      </w:pPr>
      <w:r>
        <w:rPr>
          <w:b/>
        </w:rPr>
        <w:t xml:space="preserve">Sube un 96 % desde marzo</w:t>
      </w:r>
      <w:r>
        <w:t xml:space="preserve">: buena parte de la recuperación ya está en el precio [21].</w:t>
      </w:r>
    </w:p>
    <w:p>
      <w:pPr>
        <w:pStyle w:val="Heading2"/>
      </w:pPr>
      <w:r>
        <w:t xml:space="preserve">Qué tiene que pasar para que la tesis funcione</w:t>
      </w:r>
    </w:p>
    <w:p>
      <w:pPr>
        <w:spacing w:after="100"/>
      </w:pPr>
      <w:r>
        <w:t xml:space="preserve">La orientación del margen de 2027 el 4-nov, el LFL de Norteamérica y la plata. La tesis aguanta si el margen de 2027 queda en el 15 % o más y el LFL es positivo; falla si la guía de 2027 baja del 14 % o la plata sube de 80 USD/oz.</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 de 2027 (guía)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12 % (≥ 14 % sin costes únicos) con plata a 82 USD; +200 pb por la cobertura [2]</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14 % el 4-nov</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el BPA de 2027 y 2028.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Plata (USD/oz)</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 (19-oct) [15]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encima de 80</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la materia prima de 2028.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LFL de Norteamérica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 en el 2T26 [2]</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 −3 %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36 % de las ventas.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del platino chapado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Piloto en Países Bajos desde julio [2]</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LFL negativo en los mercados del piloto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marca de la tesis.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 a jun-26 [2]</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encima de 2x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Condiciona la vuelta de las recompras.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12,5x / 17,0x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 · 1,5x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Pandora nace en 1982 como joyería familiar en Copenhague (Per y Winnie Enevoldsen) y en 2000 lanza la pulsera de charms intercambiables que define la marca [4]. Crece con distribuidores hasta salir a bolsa en Copenhague en 2010 [4]. En 2018 la acción cae un 61 % por el frenazo de ventas y los descuentos; Alexander Lacik (2019) hace un plan de reestructuración y en 2021 lanza la estrategia Phoenix: marca, diseño, personalización y mercados núcleo, con más tiendas propias y online [4]. Entre 2021 y 2024 crece un 7-13 % orgánico al año con márgenes EBIT del 25 % [1]. En 2025 la plata se triplica y en 2026 la nueva consejera delegada, Berta de Pablos-Barbier, anuncia el paso de buena parte del surtido de plata a platino chapado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Copenhague [4].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la pulsera de charms [4].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fábrica en Tailandia, base de su integración vertical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Nasdaq Copenhague [4].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 ventas comparables y de la acción (−61 %) [4].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 Phoenix y vuelta al crecimiento (23 % orgánico) [4].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Día del inversor: crecimiento orgánico «alto de un dígito» con la plata a ≈ 24 USD/oz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Nueva consejera delegada; suspensión de recompras y paso al platino chapado [5].</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Pandora diseña, fabrica y vende joyería asequible de marca propia: charms y pulseras (Core, 74 % de las ventas en 2025) y colecciones como Timeless, Signature, ESSENCE y diamantes de laboratorio (Fuel with more, 26 %) [5]. Fabrica casi todo en sus talleres de Tailandia (y pronto Vietnam) con plata y oro 100 % reciclados [1]. Vende en más de 100 países en ≈ 7.000 puntos de venta, de ellos 2.811 tiendas concepto [2]. </w:t>
      </w:r>
      <w:r>
        <w:rPr>
          <w:b/>
        </w:rPr>
        <w:t xml:space="preserve">Reparto por canal (2025): 85,8 % en canales propios —tiendas concepto propias 56,5 %, otros puntos propios (tiendas en tienda) 6,5 % y online propio 22,9 %—, 11,9 % a franquiciados y mayoristas y 2,3 % a distribuidores</w:t>
      </w:r>
      <w:r>
        <w:t xml:space="preserve"> [5]. En el primer semestre de 2026 los canales propios llegan al 87 % (tiendas 66 %, online 20 %) y franquicia y mayoristas al 11 %, más un 3 % de distribuidores [2]. Pandora no posee ningún local: todos son alquilados [2].</w:t>
      </w:r>
    </w:p>
    <w:p>
      <w:pPr>
        <w:pStyle w:val="Heading2"/>
      </w:pPr>
      <w:r>
        <w:t xml:space="preserve">Cómo gana dinero</w:t>
      </w:r>
    </w:p>
    <w:p>
      <w:pPr>
        <w:spacing w:after="100"/>
      </w:pPr>
      <w:r>
        <w:t xml:space="preserve">Pandora es una marca que controla toda la cadena: diseña, fabrica y vende sobre todo en sus propias tiendas, como Hermès o las marcas de LVMH, pero a precios accesibles (un charm cuesta 50-100 USD) [1]. El margen bruto ronda el 79-80 % porque el producto cuesta poco frente al precio [1]; el beneficio depende de las ventas comparables de las tiendas (que diluyen los alquileres y el personal) y del precio de la plata y el oro, que pesan en el coste de ventas con 5-10 meses de retraso por las coberturas [2]. Los gastos de venta y distribución son el 37 % de las ventas y el marketing el 14 % [2]. Es muy estacional: el cuarto trimestre (Navidad) da en torno al 36 % de las ventas [5]. Nada es recurrente por contrato; la recompra viene de la colección de charms.</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24.235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Fuel with more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8.314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23.542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24.235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Fuel with more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8.139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8.314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Clientela minorista muy dispersa: no hay clientes relevantes salvo los franquiciados y mayoristas (14 % de las ventas en 2025) [5]. El poder de precios está demostrado: entre 2021 y 2024 subió el margen bruto 3,7 puntos con la plata al alza [1], y en 2026 reposicionó precios en Latinoamérica con un LFL del 18 % en el 2T [2]. Su límite también: con la plata a 70-90 USD/oz no pudo subir precios lo suficiente sin perder el posicionamiento asequible, y por eso cambia de material [5]. El LFL del Core (charms) es −1 % en el 2T26: la marca ha perdido algo de tirón en sus mercados más maduros (Italia, Reino Unido, Alemania, Francia) [2].</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(2025); 2 %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0-3 % [2,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comparable (LFL)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 (2025); 0 %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 −1 %, Fuel with more +6 % en el 2T26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 en canales propios (tiendas y online)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85,8 % (2025); 87 %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Online propio 22,9 % de las ventas en 2025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Tiendas concepto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2.788 (jun-25)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2.811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2.213 propias; −95 netas en China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Plata, oro y aranceles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22-23 % con ≈ 100 pb no recurrentes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ROIC publicado (EBIT / capital invertido)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 (2025); 39 %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Definición de la empresa, antes de impuestos [1, 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joyería mundial al por menor (con y sin marca), donde Pandora tiene una cuota en torno al 1,4 %. McKinsey estimaba 280.000 M USD en 2019 y 340.000-360.000 M USD para 2025 [11]; una estimación de prensa sectorial da 381.500 M USD en 2025 [12]. Usamos la de McKinsey (360.000 M USD, ≈ 2,4 billones de DKK al cambio de hoy) por ser la fuente más conocida y por coincidir en orden de magnitud con la otra. La joyería de marca es solo el 25-30 % del mercado y gana cuota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360.000 M USD en 2025 (≈ 2.400.000 M DKK) [11]; 381.500 M USD según otra estimación [12]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DKK (al cambio de hoy, 6,66 DKK por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de joyería sin marca a joyería de marca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 marca pasaría del 20 % a 25-30 % del mercado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 la plata y el oro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Plata de 30 a 93 USD/oz entre 2025 y febrero de 2026; 57 USD/oz hoy [15].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Confianza del consumidor de rentas medias en EE. UU. y Europa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Menos tráfico en EE. UU.: LFL de −1 % en Norteamérica en el 2T26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a las importaciones de Tailandia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19 % en 2025-2026, 12,5 % desde julio de 2026; 100 pb de margen en 2026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Diamantes de laboratorio que abaratan la joyería con diamante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Pandora Lab-Grown Diamonds +15 % LFL en 2025 [5].</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fragmentado con miles de joyeros locales, marcas de moda y competidores online baratos; Pandora tiene ≈ 1,4 % de cuota [11].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individuales sin poder de negociación; el 86 % de la venta es en canales propios [5].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plata y el oro cotizan en mercados mundiales; su precio se triplicó y obliga a cambiar de material [5, 15].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Fabricar es fácil; crear una marca global con 2.800 tiendas no. Las marcas nativas digitales entran por precio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Compite con otros regalos y con la bisutería de moda; el diamante de laboratorio sustituye al natural [5].</w:t>
            </w:r>
          </w:p>
        </w:tc>
      </w:tr>
    </w:tbl>
    <w:p>
      <w:pPr>
        <w:spacing w:after="160" w:before="0"/>
      </w:pPr>
    </w:p>
    <w:p>
      <w:pPr>
        <w:pStyle w:val="Heading2"/>
      </w:pPr>
      <w:r>
        <w:t xml:space="preserve">Ciclo</w:t>
      </w:r>
    </w:p>
    <w:p>
      <w:pPr>
        <w:spacing w:after="100"/>
      </w:pPr>
      <w:r>
        <w:t xml:space="preserve">La joyería asequible depende del consumo discrecional de rentas medias. En 2020 las ventas de Pandora cayeron un 13 % y se recuperaron un 23 % en 2021 [4]; en 2008-09 la empresa todavía crecía por expansión. Hoy el tráfico en EE. UU. está bajo por la confianza del consumidor, Europa está plana (LFL −2 % en EMEA en el 2T26) y crecen Latinoamérica y Asia [2]. Los indicadores que lo dicen: LFL por región y comentarios sobre tráfico en tienda.</w:t>
      </w:r>
    </w:p>
    <w:p>
      <w:pPr>
        <w:pStyle w:val="Heading2"/>
      </w:pPr>
      <w:r>
        <w:t xml:space="preserve">Regulación</w:t>
      </w:r>
    </w:p>
    <w:p>
      <w:pPr>
        <w:spacing w:after="100"/>
      </w:pPr>
      <w:r>
        <w:t xml:space="preserve">Lo que más pesa son los aranceles de EE. UU.: la joyería de Tailandia pagó un 19 % en 2025 y paga un 12,5 % desde el anuncio de julio de 2026; además el Tribunal Supremo de EE. UU. anuló los aranceles IEEPA y Pandora recupera 72 M USD (vendió el derecho por 55 M USD en mayo de 2026) [2]. En Europa, la directiva de información de sostenibilidad (CSRD) ya se aplica en su informe anual [1]. Tailandia retira algunos incentivos fiscales en 2026 (tipo efectivo ≈ 25 %) [2].</w:t>
      </w:r>
    </w:p>
    <w:p>
      <w:pPr>
        <w:pStyle w:val="Heading2"/>
      </w:pPr>
      <w:r>
        <w:t xml:space="preserve">Tendencias y disrupción</w:t>
      </w:r>
    </w:p>
    <w:p>
      <w:pPr>
        <w:spacing w:after="100"/>
      </w:pPr>
      <w:r>
        <w:t xml:space="preserve">El diamante de laboratorio abarata la joyería con piedra y Pandora lo vende desde 2021 [5]. El cambio de material (plata a platino chapado sobre su aleación EVERSHINE) es la apuesta de 2026-2028 para reducir la dependencia de la plata: si el cliente lo acepta como «joya de verdad», la marca gana margen; si no, pierde posicionamiento [2, 14]. Las redes sociales y las colaboraciones (Collabs +18 % LFL en 2025: Disney, Marvel, Harry Potter) mueven la demanda más que la publicidad tradicional [5]. Pandora gana con la marca y la integración vertical, y pierde si el charm pasa de moda.</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1.ª marca de joyería del mundo por unidades y la única global en joyería asequible; ≈ 1,4 % del mercado mundial de joyería y ≈ 2 % en Norteamérica [1, 11].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Chow Tai Fook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Hong Kong</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1929.HK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80.100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joyero del mundo por ventas, sobre todo oro en China; margen operativo de Yahoo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Richemont (joyería: Cartier, Van Cleef &amp; Arpels)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CFR.SW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167.600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Lujo alto, no asequible; ingresos del grupo y margen operativo de Yahoo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Signet Jewelers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SIG</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minorista de joyería con diamantes de EE. UU. (Kay, Zales, Jared): minorista multimarca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Luk Fook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Hong Kong</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0590.HK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Joyería de oro en China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Titan (Tanishq)</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TITAN.NS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marca de joyería de la India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Swarovski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Austria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Competidor directo en joyería asequible de cristal; no cotiza ni publica márgenes completos.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pulsera de charms crea colección: el cliente vuelve a comprar sobre su pulsera; Moments es el 61 % de las ventas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con el mayor reconocimiento del sector y margen bruto del 79 % durante años [1]; licencias de Disney, Marvel y otras (Collabs, 10 % de las ventas)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Fabricación propia a escala en Tailandia; margen EBIT del 24-25 % frente al 6 % de Signet y el 12-21 % de los grandes joyeros [1,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2.811 tiendas concepto y 7.000 puntos de venta; ningún competidor asequible tiene esa red global [2].</w:t>
            </w:r>
          </w:p>
        </w:tc>
      </w:tr>
    </w:tbl>
    <w:p>
      <w:pPr>
        <w:spacing w:after="160" w:before="0"/>
      </w:pPr>
    </w:p>
    <w:p>
      <w:pPr>
        <w:pStyle w:val="Heading2"/>
      </w:pPr>
      <w:r>
        <w:t xml:space="preserve">Amenazas</w:t>
      </w:r>
    </w:p>
    <w:p>
      <w:pPr>
        <w:spacing w:after="100"/>
      </w:pPr>
      <w:r>
        <w:t xml:space="preserve">Tres amenazas: (1) que el charm pase de moda en los mercados maduros (Core LFL −1 % en el 2T26; en 2018 la acción perdió el 61 % por eso) [2, 4]; (2) que el platino chapado se perciba como un producto de menos valor que la plata de ley y dañe la marca [14]; (3) marcas digitales y de moda que copian el formato a menor precio. La probabilidad de las dos primeras es media; se sabrá en 2027 con el LFL y la aceptación del platino.</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32.549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10.316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7.783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spacing w:after="100"/>
      </w:pPr>
      <w:r>
        <w:t xml:space="preserve">Crecimiento anual compuesto 2021-2025: ingresos </w:t>
      </w:r>
      <w:r>
        <w:rPr>
          <w:b/>
          <w:bCs/>
        </w:rPr>
        <w:t xml:space="preserve">8,6 %</w:t>
      </w:r>
      <w:r>
        <w:t xml:space="preserve">, EBITDA </w:t>
      </w:r>
      <w:r>
        <w:rPr>
          <w:b/>
          <w:bCs/>
        </w:rPr>
        <w:t xml:space="preserve">7,1 %</w:t>
      </w:r>
      <w:r>
        <w:t xml:space="preserve">, BPA </w:t>
      </w:r>
      <w:r>
        <w:rPr>
          <w:b/>
          <w:bCs/>
        </w:rPr>
        <w:t xml:space="preserve">13,0 %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DKK,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pasan de 23.394 M DKK en 2021 a 32.549 M en 2025 (crecimiento orgánico del 23 %, 7 %, 8 %, 13 % y 6 %) [1, 3, 4]. El crecimiento de 2025 en coronas fue solo del 3 % por la caída del dólar [1]. La compra de tiendas a franquiciados («integración hacia delante») añade algo cada año (adquisiciones de 66-562 M), pero no cambia el perímetro de forma relevante [1, 3]. El margen bruto sube de 76,1 % en 2021 a 79,8 % en 2024 por la mezcla de canal (más tienda propia) y precio, y cae a 79,1 % en 2025 por la plata, el oro y los aranceles de EE. UU. [1]. El margen EBIT se mueve entre 25,0 % y 25,5 % de 2021 a 2024 y baja a 23,9 % en 2025 (−130 pb) [1]. En el primer semestre de 2026 el margen EBIT es del 20,6 % (20,3 % en 2025), con 180 M de devolución de aranceles IEEPA y gastos retrasados al segundo semestre [2]. El negocio es muy estacional: el cuarto trimestre aporta en torno al 36 % de las ventas y más del 50 % del EBIT [5].</w:t>
      </w:r>
    </w:p>
    <w:p>
      <w:pPr>
        <w:pStyle w:val="Heading2"/>
      </w:pPr>
      <w:r>
        <w:t xml:space="preserve">Ajustes y partidas no recurrentes</w:t>
      </w:r>
    </w:p>
    <w:p>
      <w:pPr>
        <w:spacing w:after="100"/>
      </w:pPr>
      <w:r>
        <w:t xml:space="preserve">Cifras publicadas NIIF. Pandora no publica un EBIT ajustado: los costes de reestructuración y de la transición al platino van dentro del EBIT. EBITDA = EBIT + amortizaciones según la empresa (2025: 10.316 M; el estado de flujos suma 2.586 M de «amortización, etc.» porque incluye otras partidas) [1]. En los últimos doce meses a junio de 2026 hay un ingreso no recurrente de 180 M (devolución parcial de aranceles IEEPA de EE. UU., en coste de ventas) que restamos del EBITDA recurrente (−180) [2]; el resto de la reclamación (44 M USD) se reconocerá en el segundo semestre [2]. En 2025 hubo un beneficio fiscal no recurrente por el acuerdo de precios de transferencia entre Dinamarca y Australia (tipo efectivo 24,2 % frente al ≈ 25 % previsto en 2026) [2].</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febrero de 2026 la nueva consejera delegada, Berta de Pablos-Barbier, rebajó el tono: 2025 cerró con un 6 % orgánico (guía 7-8 %), la guía de 2026 fue de −1 % a +2 % orgánico y 21-22 % de margen EBIT, se suspendieron las recompras y se anunció el paso de la plata al platino chapado (≥ 12 % de margen EBIT en 2027 con la plata a 82 USD/oz) [5]. En mayo (1T26: 2 % orgánico, LFL 0 %) mantuvo la guía y fijó el calendario del platino [6]. En agosto (2T26: 3 % orgánico, LFL 1 %, 20,3 % de margen EBIT con 250 pb de la devolución de aranceles) subió la guía a 0-3 % y 22-23 %, dijo que la plata de 2027 está cubierta al 90-100 % a ≈ 65 USD/oz (unos +200 pb frente al plan) y que el 3T empezó con LFL de un dígito medio, avisando de que julio no es representativo por el calendario de rebajas [2, 9]. Los analistas preguntaron sobre todo por el margen de 2027, por cuándo vuelven las recompras y por el LFL negativo del Core (−1 %) en Europa y Estados Unidos; la dirección remitió la respuesta sobre 2027 a la actualización estratégica del 4-nov [2, 9].</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18.542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22.013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23.798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27.758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29.603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9.356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5.282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neta (con arrendamientos) sube de 2.882 M en 2021 a 13.719 M en 2025 y 15.643 M en junio de 2026, porque Pandora devolvió más del 100 % de su caja libre con recompras (4.000-5.000 M al año) [1, 2]. El apalancamiento pasó de 0,4 a 1,3 veces el EBITDA en 2025 y está en 1,5 en junio; la empresa espera ≈ 1,5 a final de 2026 [2]. El patrimonio es pequeño (4.305 M) por las recompras. El circulante sin derivados es ≈ 3 % de las ventas, pero las existencias suben al 17,8 % de las ventas (14,6 % un año antes) por el precio de los metales y la transición al platino, y seguirán altas en 2026-2027 [2].</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5.241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54,28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21.686</w:t>
      </w:r>
      <w:r>
        <w:t xml:space="preserve">, conversión </w:t>
      </w:r>
      <w:r>
        <w:rPr>
          <w:b/>
          <w:bCs/>
        </w:rPr>
        <w:t xml:space="preserve">89 %</w:t>
      </w:r>
      <w:r>
        <w:t xml:space="preserve"> del beneficio neto; adquisiciones 1.544, dividendos 7.443, recompras 20.271.</w:t>
      </w:r>
    </w:p>
    <w:p>
      <w:pPr>
        <w:spacing w:after="100"/>
      </w:pPr>
      <w:r>
        <w:t xml:space="preserve">La caja libre después de arrendamientos fue de 5.137, 2.602, 5.489, 6.767 y 5.022 M de 2021 a 2025 [1, 3]. 2022 fue anómalo (más existencias, 1.012 M) y 2025 bajó por las existencias y los derivados de metales [1]. La conversión de caja (caja libre con arrendamientos entre beneficio) fue del 65 % en 2025 y del 85 % en 2024 [1]. El capex (inmovilizado e intangibles) sube del 2,7 % de las ventas en 2021 al 6,0 % en 2025 y a ≈ 7 % en 2026 (unos 400 M para la capacidad de chapado en platino, de un total de ≈ 600 M) [1, 2]. A eso se suman las altas de derechos de uso de tiendas (2.102 M en 2025) [1]. Estimación propia: el capex de mantenimiento ronda el 3 % de las ventas (refrescos de tiendas e informática); el resto es expansión de tiendas propias, ERP y platino.</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EY Godkendt Revisionspartnerselskab</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EY audita Pandora desde 2011 y fue reelegida en 2025 tras un concurso [1]. No hay cambios de criterio relevantes: NIIF 16 desde 2019 y presentación de la cuenta por función [1]. Puntos que mirar: (1) las coberturas de plata y oro se registran en patrimonio y pasan a existencias y luego a coste de ventas con 5-10 meses de retraso, así que el margen de un año refleja los precios del año anterior [2]; (2) el ingreso de 180 M por la devolución de aranceles de 2026 es no recurrente [2]; (3) la financiación de proveedores (1.300 M) mejora la caja operativa [2]; (4) los pagos en acciones son pequeños (103 M en 2025) [1]. Los indicadores del motor (Altman, Piotroski, Beneish) se leen con cuidado: el patrimonio es pequeño por las recompras y eso baja el Altman sin que haya tensión de liquidez.</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Financiación de proveedores creciente (770 → 1.300 M en seis meses)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alarga plazos según la empresa; mejora la caja operativa de 2026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 no recurrente por aranceles IEEPA en el margen de 2026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100 pb del margen EBIT de 2026 [2]; separado en el LTM.</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Coberturas de metales con efecto retardado en el margen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margen de 2026 refleja plata a ≈ 32 USD/oz y el de 2027 a ≈ 65 USD/oz [2].</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9.884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14.543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15.820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17.758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5.020 M en 2025 (el 29 % del capital invertido medio); ha subido más de un 5 % en 1 de 4 años: compras pequeñas. ROIC publicado 33,2 %; sin fondo de comercio, 46,5 %.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17,6 % · </w:t>
      </w:r>
      <w:r>
        <w:rPr>
          <w:b/>
          <w:bCs/>
        </w:rPr>
        <w:t xml:space="preserve">WACC</w:t>
      </w:r>
      <w:r>
        <w:t xml:space="preserve">: 8,8 %.</w:t>
      </w:r>
    </w:p>
    <w:p>
      <w:pPr>
        <w:spacing w:after="100"/>
      </w:pPr>
      <w:r>
        <w:t xml:space="preserve">El ROIC (NOPAT entre capital invertido con fondo de comercio y derechos de uso) fue del 45,7 % en 2021, 43,5 % en 2022, 36,8 % en 2023, 38,0 % en 2024 y 33,2 % en 2025, frente a un WACC del 8,79 %: 24,4 puntos por encima en 2025 [1]. Baja porque el capital invertido crece más que el beneficio (más tiendas propias con arrendamientos, más existencias por la plata cara). El ROE (97 % en 2025) no sirve: el patrimonio es pequeño por las recompras de 2021-2025 (20.300 M) [1]. El ROIC incremental histórico es del 17,6 %. En 2027e, con el margen EBIT del 15 %, el ROIC bajaría a ≈ 20 %, todavía muy por encima del WACC. Es una calidad alta y probada: una marca que fabrica barato en Tailandia y vende con un margen bruto del 79 % [1].</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15.643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908 M y líneas comprometidas sin disponer de 6.721 M a 30-jun-2026 [2]. Además usa financiación a corto no comprometida (≈ 0,9 M de millones) y un programa de financiación de proveedores de 1.300 M que no alarga los plazos de pago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BBB (estable); Moody's Baa2 (estable)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La deuda financiera son sobre todo dos bonos de 500 M EUR (2028 y 2030, emitidos en 2023 y 2024, permutados a DKK a tipo fijo) y créditos bancarios renovables [1]. Los arrendamientos (6.291 M a junio de 2026) son de tiendas: Pandora no posee ningún local [2]. Provisiones de 556 M y pasivos por devoluciones de 571 M [2]. El programa de financiación de proveedores (1.300 M en junio frente a 770 M en diciembre) se clasifica como proveedores; si se tratara como deuda, la deuda neta subiría un 8 % [2]. La venta del derecho a la devolución de aranceles IEEPA (55 M USD cobrados) es un pasivo financiero que se cancela con las devoluciones [2]. Sin covenants publicados relevantes; política de apalancamiento de 0,5-1,5 veces la deuda neta sobre EBITDA [1].</w:t>
      </w:r>
    </w:p>
    <w:p>
      <w:pPr>
        <w:pStyle w:val="Heading1"/>
      </w:pPr>
      <w:r>
        <w:t xml:space="preserve">12. Asignación de capital</w:t>
      </w:r>
    </w:p>
    <w:p>
      <w:pPr>
        <w:pStyle w:val="Confianza"/>
        <w:spacing w:after="100"/>
      </w:pPr>
      <w:r>
        <w:t xml:space="preserve">Confianza: Alta</w:t>
      </w:r>
    </w:p>
    <w:p>
      <w:pPr>
        <w:spacing w:after="100"/>
      </w:pPr>
      <w:r>
        <w:t xml:space="preserve">Dividendo ordinario creciente (22 DKK por acción por 2025, +10 %) y, hasta 2025, recompras grandes: Pandora ha devuelto más del 100 % de su caja libre (payout total del 114 % en 2025 y del 105-136 % en 2022-2024) [1]. En 2026 no hay recompras: se reanudarán cuando la transición al platino esté más avanzada [2]. Política de apalancamiento: 0,5-1,5 veces la deuda neta sobre EBITDA a final de año; objetivo de ≈ 1,5 veces a final de 2026 [1,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Tiendas de franquiciados (integración hacia delante, varios mercados)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164 M; arrastre temporal en el margen de 2025 que se revierte en 2026 [1,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Tiendas de franquiciados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deterioros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Tiendas de franquiciados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deterioros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Tiendas de franquiciados (incluidas en Estados Unidos)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deterioros [3].</w:t>
            </w:r>
          </w:p>
        </w:tc>
      </w:tr>
    </w:tbl>
    <w:p>
      <w:pPr>
        <w:spacing w:after="160" w:before="0"/>
      </w:pPr>
    </w:p>
    <w:p>
      <w:pPr>
        <w:spacing w:after="100"/>
      </w:pPr>
      <w:r>
        <w:t xml:space="preserve">Pandora no hace compras grandes: sus adquisiciones son tiendas de sus propios franquiciados (≈ 1.500 M en cuatro años) [1, 3]. El capital va a dividendos y recompras: entre 2021 y 2025 recompró acciones por 20.271 M y redujo el número de acciones diluidas de 99,7 a 77,2 M (−23 %), lo que explica que el BPA creciera un 13 % anual con un beneficio que creció un 6 % [1, 3, 4]. Las recompras de 2024 se hicieron a precios de 1.000-1.300 DKK, muy por encima del precio actual: con la caída de 2025-2026 destruyeron valor [1]. La pausa de 2026 es prudente con la deuda neta en 1,5 veces el EBITDA.</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Berta de Pablos-Barbier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y consejera delegada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de marketing de Pandora desde 2024; antes presidenta de Moët &amp; Chandon, Dom Pérignon y Mercier (LVMH), directora de crecimiento en Mars Wrigley y de marketing en Lacoste [1]. Sus resultados en el cargo: guía de 2026 subida en agosto y LFL de 0 % a 1 % en el 1S26 [2].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Anders Boyer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(sale el 30-nov-2026)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director financiero de Hempel y GN Store Nord. Con Lacik dirigió la reestructuración de 2019-2020 y la estrategia Phoenix; ingresos +389 % durante su mandato según la empresa [2].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Paulo Garcia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el 1-dic-2026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 Walmart México y Centroamérica (Walmex); antes en Ahold Delhaize y Unilever [2].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Peter A. Ruzicka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Royal Unibrew y de Aspelin Eiendom; ex consejero delegado de Orkla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Philippa Newman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 de producto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Lidera la estrategia de diseño y los nuevos materiales desde el 9-mar-2026 [6].</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3-6 %; margen EBIT 25,0-25,5 % [3]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7 %; margen 25,5 %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25-27 % (objetivo) [3]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8 %; margen 25,0 %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6-9 %; margen ≈ 25 % [3]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13 %; margen 25,2 % [19]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Orgánico 7-8 %; margen ≈ 24,5 % (rebajado a ≈ 24 % en mayo) [19]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Orgánico 6 %; margen 23,9 % [19, 20]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t xml:space="preserve">La credibilidad fue alta en 2021-2024 (guías cumplidas o batidas) y se rompió en 2025: el 9-ene-2026 la empresa avisó de un 6 % orgánico frente al 7-8 % y la acción cayó un 13 % [20]. El equipo está en plena renovación: nueva consejera delegada desde enero de 2026, nueva directora de producto en marzo, nuevo presidente para Norteamérica en agosto y nuevo director financiero en diciembre [1, 2, 6]. Es un riesgo de ejecución, mitigado porque la consejera delegada venía del propio equipo y el director financiero saliente se queda hasta marzo de 2027 para el relevo [2]. La guía de 2026 se ha subido una vez (agosto) [2].</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Peter A. Ruzicka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(presidente),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Marianne Kirkegaard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(presidenta),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Lilian Fossum Biner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Birgitta Stymne Göransson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Catherine Spindler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Jan Zijderveld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Lars Sandahl Sørensen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1,71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Parvus Asset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activista (Jersey)</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Comunicado en 2025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de 8,3 % a 10 % en 2026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Pandora A/S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5,6 % a dic-25; 4,0 M de acciones amortizadas en marzo de 2026 [1, 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Berta de Pablos-Barbier (consejera delegada)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Lilian Fossum Biner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Jan Zijderveld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0,14</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29,50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15,90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13,60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variable anual (STIP, 80 % del fijo como objetivo) depende en un 60 % del crecimiento comparable y en un 40 % del margen EBIT; en 2025 pagó 0 % porque no se alcanzaron los umbrales [16]. El variable a largo plazo (acciones de rendimiento con cinco años de bloqueo) depende en un 75 % del BPA y en un 25 % de objetivos de sostenibilidad [16]. El BPA como métrica premia las recompras con deuda, algo a vigilar. El consejero delegado saliente, Alexander Lacik, cobró 29,5 M DKK en 2025 y recibe 43,6 M DKK por su salida (sueldo y bonus del preaviso) más 12 M en acciones aceleradas [1, 16]. Hay cláusula de recuperación (clawback) según la política de 2024 [16]. La junta danesa aprueba el informe de remuneración sin publicar el recuento [16].</w:t>
      </w:r>
    </w:p>
    <w:p>
      <w:pPr>
        <w:pStyle w:val="Heading2"/>
      </w:pPr>
      <w:r>
        <w:t xml:space="preserve">Operaciones vinculadas, estructura de control y defensas</w:t>
      </w:r>
    </w:p>
    <w:p>
      <w:pPr>
        <w:spacing w:after="100"/>
      </w:pPr>
      <w:r>
        <w:t xml:space="preserve">Sin accionista de control: el mayor es Parvus con el 12,5 % y BlackRock tiene el 10 % [1]. Una sola clase de acciones con un voto por acción [1]. Consejo de siete miembros, todos independientes tras la salida de Christian Frigast en la junta de 2026, elegidos cada año [1, 6]. Sin operaciones vinculadas relevantes ni blindajes conocidos [1, 18]. La presencia de un fondo activista con el 12,5 % puede presionar por recompras o por una venta, pero no hay nada anunciado.</w:t>
      </w:r>
    </w:p>
    <w:p>
      <w:pPr>
        <w:pStyle w:val="Heading2"/>
      </w:pPr>
      <w:r>
        <w:t xml:space="preserve">Señales de alerta</w:t>
      </w:r>
    </w:p>
    <w:p>
      <w:pPr>
        <w:pStyle w:val="ListParagraph"/>
        <w:numPr>
          <w:ilvl w:val="0"/>
          <w:numId w:val="2"/>
        </w:numPr>
        <w:spacing w:after="60"/>
      </w:pPr>
      <w:r>
        <w:t xml:space="preserve">Rotación casi completa de la cúpula en 2026: consejera delegada (enero), directora de producto (marzo), presidente de Norteamérica (agosto) y director financiero (diciembre) [1, 2, 6].</w:t>
      </w:r>
    </w:p>
    <w:p>
      <w:pPr>
        <w:pStyle w:val="ListParagraph"/>
        <w:numPr>
          <w:ilvl w:val="0"/>
          <w:numId w:val="2"/>
        </w:numPr>
        <w:spacing w:after="60"/>
      </w:pPr>
      <w:r>
        <w:t xml:space="preserve">Indemnización de salida de 43,6 M DKK al consejero delegado anterior más acciones aceleradas [16].</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(12-ago-2026, confirmada en la nota previa al 3T del 7-oct): crecimiento orgánico del 0-3 % (LFL −2 % a +1 %, red +3 %, venta a socios −1 %), efecto divisa ≈ −0,6 %, margen EBIT del 22-23 % (incluye ≈ 100 pb de la devolución de aranceles IEEPA), capex ≈ 7 % de las ventas, tipo impositivo ≈ 25 % y gastos financieros netos de 1.100-1.150 M [2]. Para 2027: margen EBIT de al menos 12 % (14 % sin costes únicos de la transición) con la plata a 82 USD/oz; con la plata de 2027 cubierta al 90-100 % a ≈ 65 USD/oz, unos +200 pb. A medio plazo: margen EBIT por encima del 21 % [2]. Habrá una actualización de 2027 y de la estrategia el 4-nov-2026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43"/>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recogido por Pandora (Visible Alpha, 28-ago-2026; 14-15 analistas) [23]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34.884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Ídem [23]; Yahoo 48,44 (18 analistas) [22]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36.544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7.311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Ídem [23]</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33.102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33.364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10.162</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34.426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34.884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7.987</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35.976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36.544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9.785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 13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857,17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440,00 – 1.300,00</w:t>
            </w:r>
          </w:p>
        </w:tc>
      </w:tr>
    </w:tbl>
    <w:p>
      <w:pPr>
        <w:spacing w:after="160" w:before="0"/>
      </w:pPr>
    </w:p>
    <w:p>
      <w:pPr>
        <w:pStyle w:val="Heading2"/>
      </w:pPr>
      <w:r>
        <w:t xml:space="preserve">Revisiones de estimaciones</w:t>
      </w:r>
    </w:p>
    <w:p>
      <w:pPr>
        <w:spacing w:after="100"/>
      </w:pPr>
      <w:r>
        <w:t xml:space="preserve">Subidas desde junio: el BPA de 2027 de Yahoo pasó de 41,16 a 48,44 DKK en 90 días y el de 2026 de 62,07 a 64,82 DKK, por la caída de la plata (de 75 a 57 USD/oz) y la subida de la guía de agosto [22]. El consenso recogido por la empresa da un margen EBIT de 15,9 % en 2027 y de 20,0 % en 2028 [23]. Las recomendaciones son sobre todo «mantener» (13 de 19) y el objetivo medio, 857 DKK, coincide con el precio [22].</w:t>
      </w:r>
    </w:p>
    <w:p>
      <w:pPr>
        <w:pStyle w:val="Heading1"/>
      </w:pPr>
      <w:r>
        <w:t xml:space="preserve">16. Comportamiento en bolsa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-66,8 %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cerró a 847 DKK el 16-oct-2026, un 6 % por debajo del máximo de 52 semanas (904,4 el 28-oct-2025) y un 97 % por encima del mínimo (430 el 17-mar-2026) [21]. En el año sube un 19,7 % frente al +2,3 % del OMXC25 y al −8,7 % del sector europeo de bienes personales [21]. El recorrido tiene dos fases: de enero de 2025 a marzo de 2026 cae un 67 % (aviso de ventas de 2025, plata a 93 USD/oz, aranceles y pausa de las recompras) y desde marzo casi se duplica con la caída de la plata y dos trimestres mejores de lo esperado [2, 21]. A cinco y diez años la rentabilidad de precio es prácticamente nula (−0,4 % y −0,6 % anual) [21]. Beta mensual a 5 años de 1,34 frente al OMXC25 (1,05 semanal a 5 años; 0,76 semanal a 2 años) [21].</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 / +10,3 % / +63,2 % / +6,7 %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 / +96,0 %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2026-11-04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nov-2025-mar-2026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máximo de 904 DKK (28-oct-2025) al mínimo de 430 (17-mar-2026): resultados del 3T25 (5-nov, −5,4 %), avance de 2025 del 9-ene (orgánico del 6 % frente a una guía del 7-8 %, tráfico débil en EE. UU.: −13 % en un día; −28 % en enero), −5,5 % el 19-ene y la plata de 56 a 93 USD/oz en febrero (+9,2 % el 2-feb y −9,3 % el 3-feb con la volatilidad del metal; −5,9 % el 9-feb, días después de los resultados de 2025 del 4-feb con la guía de margen de 2027 y el plan del platino [5]), que llevó a una guía de margen de 2027 de solo el 12 % [15, 20, 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abr-ago-2026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 483,8 DKK a fin de abril a 850,2 a fin de agosto: la plata bajó de 93 a ≈ 58-66 USD/oz, los resultados del 1T26 (6-may, +14,3 %) y del 2T26 (13-ago, +8,5 %) subieron la guía de 2026 y la cobertura de 2027 a 65 USD añadió ≈ 200 pb al margen de 2027 [2, 6, 21]. La consejera delegada compró 1.620 acciones el 17-ago [17].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2026-11-04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y actualización estratégica con la orientación del margen de 2027 [9]. Pueden mover el precio más de un 5 %, pero unos resultados cercanos no aplazan una decisión (reglas 11 y 13 del método); nuestro 2027e ya usa la cobertura a 65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Periodo de silencio previo al 3T. La plata está en 57,4 USD/oz (19-oct), por debajo de la cobertura de 2027 (65 USD): la bajada no ayuda a 2027 pero sí a 2028 [2, 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2026-08-12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la guía de 2026 (orgánico 0-3 %, margen EBIT 22-23 % con ≈ 100 pb de la devolución de aranceles IEEPA, cuyo derecho se vendió) y nombra a Paulo Garcia director financiero desde el 1-dic [2, 9]. Recogido en el informe.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2026-08-17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consejera delegada compra 1.620 acciones por 1,30 M DKK (ya tiene 6.320); en febrero compraron dos consejeros. En 12 meses no hay ventas de directivos [17].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fija un arancel del 12,5 % a Tailandia, donde Pandora fabrica casi todo; el efecto es sobre todo en 2027 [9]. Recogido en el margen de 2027e.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ampliaciones, colocaciones, ofertas ni ventas de bloques anunciadas. Las recompras están suspendidas hasta que avance el platino [2]. Parvus (12,5 %) y BlackRock (10 %) son los mayores accionistas.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ha subido un 96 % desde el mínimo de marzo y está a un 4 % del máximo de 52 semanas. Las causas de la caída (plata cara, guía incumplida, EE. UU.) y de la subida (plata más barata, cobertura de 2027 a 65 USD, guía de 2026 al alza) son conocidas, publicadas y están en este informe. No hay hechos pendientes salvo los resultados y la actualización estratégica del 4-nov, que no aplazan según el método. No hay ventas de directivos (solo compras), ni ampliaciones ni colocaciones. Tendencia alcista (32 % por encima de la media de 200 sesiones), sin avisos. Veredicto: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Cierres de diciembre de Yahoo [21]. PER adelantado = cierre ÷ BPA diluido real del año siguiente (2021: 815,4 ÷ 53,7; 2024: 1.317 ÷ 67,9) [21]. La acción ha cotizado entre 9 y 19 veces el beneficio del año siguiente: el mínimo de 2022 coincide con el miedo a la recesión y el máximo de 2024 con el 13 % de crecimiento orgánico. Hoy cotiza a ≈ 13 veces el BPA de consenso de 2026 y a ≈ 17-18 veces el de 2027, el año del golpe de la plata [22]: la prima frente a la historia es solo aparente si 2027 es un año de beneficio deprimido y no la nueva normalidad.</w:t>
      </w:r>
    </w:p>
    <w:p>
      <w:pPr>
        <w:pStyle w:val="Heading1"/>
      </w:pPr>
      <w:r>
        <w:t xml:space="preserve">18. Comparables cotizados</w:t>
      </w:r>
    </w:p>
    <w:p>
      <w:pPr>
        <w:pStyle w:val="Confianza"/>
        <w:spacing w:after="100"/>
      </w:pPr>
      <w:r>
        <w:t xml:space="preserve">Confianza: Media</w:t>
      </w:r>
    </w:p>
    <w:p>
      <w:pPr>
        <w:spacing w:after="100"/>
      </w:pPr>
      <w:r>
        <w:t xml:space="preserve">Marcas de joyería y de lujo accesible con tienda propia y fabricación o diseño propios: Richemont (Cartier, Van Cleef), Swatch, Chow Tai Fook, Luk Fook, Tapestry (Coach, Kate Spade), Kering y LVMH (Tiffany, Bulgari), más Signet como minorista de joyería de EE. UU. Se excluye Titan (India), que cotiza a ≈ 50 veces el beneficio por su crecimiento del 17-29 % y distorsiona la mediana, y Laopu Gold por la misma razón. Ninguno es un comparable puro: Pandora es la única marca global de joyería asequible.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Pandora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63.525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Richemont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831.387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Signet Jewelers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30.324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Swatch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76.778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Chow Tai Fook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Tapestry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155.282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Kering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197.605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Luk Fook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LVMH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1.433.374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4"/>
        <w:gridCol w:w="1056"/>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10.240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 / 12,1x / 15,3x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863,21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1.450,31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1.883,80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 / 14,7x / 22,2x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484,28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729,53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1.104,26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32.456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 / 2,0x / 2,9x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324,79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639,61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1.058,29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-24,5 %</w:t>
            </w:r>
          </w:p>
        </w:tc>
      </w:tr>
    </w:tbl>
    <w:p>
      <w:pPr>
        <w:spacing w:after="160" w:before="0"/>
      </w:pPr>
    </w:p>
    <w:p>
      <w:pPr>
        <w:spacing w:after="100"/>
      </w:pPr>
      <w:r>
        <w:t xml:space="preserve">Los comparables cotizan a 5,6-24,9 veces el beneficio del próximo ejercicio (mediana 14,7x, sin Titan, a 49,5x) [22]: joyeros de oro chinos y minoristas de EE. UU. baratos (Luk Fook 5,6x, Signet 8,6x, Chow Tai Fook 10,1x), marcas de lujo caras (Richemont 22,1x, Kering 22,4x, Swatch 24,9x). Pandora, a 13,1 veces el BPA de consenso de 2026 y 17,5 veces el de 2027, está en medio. Por calidad (ROIC del 33 %, margen EBITDA del 32 %) está más cerca de las marcas que de los minoristas; por exposición a la plata y al consumidor medio de EE. UU., más cerca de Signet. El tipo de cambio de los comparables en francos, dólares de Hong Kong y rupias es el del BCE del 19-oct [24].</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Las ventas pasaron de 23.394 M en 2021 a 32.549 M en 2025 (8,6 % anual; orgánico del 23 %, 7 %, 8 %, 13 % y 6 %) [1]. En 2026 la guía es de un orgánico del 0-3 % con un LFL de −2 % a +1 % y ≈ 3 % de aperturas, y un 0,6 % en contra por el dólar [9]: 2026e +1,7 % en coronas. 2027e +4,0 %: LFL plano (el platino se lanza a la mitad del surtido) y precio y tiendas. 2028e-2029e +4,5 % (LFL del 1-2 % y aperturas), bajando al 3 % en 2032e. El mercado de joyería crece ≈ 4 % al año [11, 12]; nuestro 3,6 % anual deja la cuota algo por debajo de la actual (1,3 % frente a 1,4 %).</w:t>
      </w:r>
    </w:p>
    <w:p>
      <w:pPr>
        <w:keepNext/>
        <w:spacing w:after="100"/>
      </w:pPr>
      <w:r>
        <w:rPr>
          <w:b/>
          <w:bCs/>
        </w:rPr>
        <w:t xml:space="preserve">Márgenes.</w:t>
      </w:r>
    </w:p>
    <w:p>
      <w:pPr>
        <w:spacing w:after="100"/>
      </w:pPr>
      <w:r>
        <w:t xml:space="preserve">Margen EBITDA publicado: 33,5 % en 2021, 32,9 % en 2022, 32,4 % en 2023, 32,6 % en 2024 y 31,7 % en 2025 [1]. 2026e: 30,7 % (margen EBIT del 22,5 %, centro de la guía, con ≈ 100 pb de devolución de aranceles y la plata cubierta a 32 USD/oz [9]). 2027e: 23,2 % (EBIT del 15 %): guía de ≥ 12 % con costes únicos y ≥ 14 % sin ellos con la plata a 82 USD; la plata está cubierta al 90-100 % a ≈ 65 USD, unos +200 pb [2]. 2028e: 27,2 % (EBIT del 19 %: plata sin cubrir más barata y la mitad del surtido en platino). Después, 28,7 % y 29,2 % (EBIT del 21 %, el objetivo de medio plazo [2]), por debajo del 25 % de EBIT de 2021-2024: no volvemos al pico de la plata barata.</w:t>
      </w:r>
    </w:p>
    <w:p>
      <w:pPr>
        <w:keepNext/>
        <w:spacing w:after="100"/>
      </w:pPr>
      <w:r>
        <w:rPr>
          <w:b/>
          <w:bCs/>
        </w:rPr>
        <w:t xml:space="preserve">Inversión y circulante.</w:t>
      </w:r>
    </w:p>
    <w:p>
      <w:pPr>
        <w:spacing w:after="100"/>
      </w:pPr>
      <w:r>
        <w:t xml:space="preserve">Capex = inmovilizado e intangibles (1.911 M en 2025, 5,9 % de las ventas; guía de ≈ 7 % en 2026 con 400 M para la capacidad de chapado en platino [2, 9]) + altas de derechos de uso de las tiendas (2.102 M en 2025, 6,5 %, con renovaciones de contratos) [1]: 12,5 % en 2026e bajando al 9,5 % en 2031e, frente a una amortización del 8,2 %. Los arrendamientos van en el puente como deuda (6.291 M). Circulante del 5,5 % de las ventas en 2026e y 6,0 % en 2027e (más existencias durante la transición al platino [2]) y 5,0 % después (4,4 % en 2025 [1]).</w:t>
      </w:r>
    </w:p>
    <w:p>
      <w:pPr>
        <w:keepNext/>
        <w:spacing w:after="100"/>
      </w:pPr>
      <w:r>
        <w:rPr>
          <w:b/>
          <w:bCs/>
        </w:rPr>
        <w:t xml:space="preserve">Coste del capital.</w:t>
      </w:r>
    </w:p>
    <w:p>
      <w:pPr>
        <w:spacing w:after="100"/>
      </w:pPr>
      <w:r>
        <w:t xml:space="preserve">Todo en coronas danesas, atadas al euro: Bund a 10 años del 3,48 % (16-oct-2026; 3,49 % hoy) [25]. Beta de 1,15: entre la ajustada de la acción (1,23, mensual a 5 años frente al OMXC25) y la semanal a 2 años (0,76) [21]. Prima de mercado del 5,5 % y prima adicional de 0,5 puntos por la exposición a la plata y a un consumidor discrecional. Coste de la deuda del 4,0 % antes de impuestos (bonos en EUR y DKK; rating BBB/Baa2 [1]) y un 20,7 % de deuda (con arrendamientos, a precios de mercado). WACC del 8,79 %.</w:t>
      </w:r>
    </w:p>
    <w:p>
      <w:pPr>
        <w:keepNext/>
        <w:spacing w:after="100"/>
      </w:pPr>
      <w:r>
        <w:rPr>
          <w:b/>
          <w:bCs/>
        </w:rPr>
        <w:t xml:space="preserve">Valor terminal.</w:t>
      </w:r>
    </w:p>
    <w:p>
      <w:pPr>
        <w:spacing w:after="100"/>
      </w:pPr>
      <w:r>
        <w:t xml:space="preserve">Crecimiento a perpetuidad del 2,5 %, por debajo del Bund (3,48 %) y del mercado de joyería (≈ 4 %). El valor terminal pesa el 72 % del valor y el múltiplo implícito es de ≈ 8 veces el EBITDA, por debajo de la media de los comparables de marca (Tapestry 13,2x, Kering 14,7x) [22].</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7,61 %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3.688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Flujo de caja libre para la empresa proyectado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97.113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121.708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22.776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57.585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80.361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64.718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862,91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De dónde sale el valor empresa del DCF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983,24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1.070,99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1.177,04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1.307,80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1.043,56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1.147,09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933,25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1.016,88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840,58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631,44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669,27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712,29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761,65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818,84</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793,46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841,52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914,91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969,15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975,63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1.032,97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869,83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922,97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978,45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1.036,36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1.096,79</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6.246 M (16 %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 (ROIC 33,2 %)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 frente al 3,6 %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 (histórico: 17,6 %)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2030e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 (hoy: 1,4 %)</w:t>
            </w:r>
          </w:p>
        </w:tc>
      </w:tr>
    </w:tbl>
    <w:p>
      <w:pPr>
        <w:spacing w:after="160" w:before="0"/>
      </w:pPr>
    </w:p>
    <w:p>
      <w:pPr>
        <w:spacing w:after="100"/>
      </w:pPr>
      <w:r>
        <w:t xml:space="preserve">La proyección reinvierte el 16 % del NOPAT. Con el ROIC del último ejercicio (33,2 %), eso financia un crecimiento del 5,3 % anual, frente al 3,6 % de ingresos proyectado. Supone que el capital nuevo rinde un 10,6 %, frente a un ROIC incremental histórico del 17,6 %; la cuota de mercado pasaría al 1,3 % desde el 1,4 %.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−1 % (LFL de −2 % a +1 % [9]), precio +4 % (subidas de precio de 2025-2026 por la plata y los aranceles) y otros −1,3 % (dólar −0,6 % y venta a franquiciados −1 %, compensados en parte por ≈ 3 % de aperturas [9]).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plano (lanzamiento del platino en la mitad del surtido [2]), precio +3 % y otros +1 % (tiendas nuevas).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+1,5 %, precio +2 % y otros +1 % (aperturas).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+1,5 %, precio +2 % y otros +1 %.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+1,5 %, precio +2 % y otros +0,5 %. Ventas de ≈ 37.400 M. Mercado final: joyería mundial (≈ 2.397.000 M DKK en 2025 [11, 12]) creciendo un 4 % al año, ≈ 2.917.000 M en 2030: Pandora pasaría del 1,4 % al 1,3 %.</w:t>
            </w:r>
          </w:p>
        </w:tc>
      </w:tr>
    </w:tbl>
    <w:p>
      <w:pPr>
        <w:spacing w:after="160" w:before="0"/>
      </w:pPr>
    </w:p>
    <w:p>
      <w:pPr>
        <w:spacing w:after="100"/>
      </w:pPr>
      <w:r>
        <w:t xml:space="preserve">Sí. Las pruebas del motor pasan: el crecimiento proyectado (3,6 % anual) es menor que el histórico (8,6 %) y que el del mercado (≈ 4 %), la cuota baja del 1,4 % al 1,3 % y la reinversión neta (20 % del NOPAT) financia de sobra ese crecimiento con un ROIC del 33 %. Pandora tiene poder de precios demostrado: subió precios en 2025-2026 para compensar la plata y los aranceles y el LFL se quedó cerca de cero, no se hundió [2, 5]. El riesgo no es el crecimiento sino el margen: si el platino no convence o la plata vuelve a subir, el margen de 2027-2028 queda por debajo del nuestro; eso va en el bajista.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3,6 % (base: 3,9 %)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28,9 % (base: 29,2 %)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 (WACC: 8,8 %)</w:t>
            </w:r>
          </w:p>
        </w:tc>
      </w:tr>
    </w:tbl>
    <w:p>
      <w:pPr>
        <w:spacing w:after="160" w:before="0"/>
      </w:pPr>
    </w:p>
    <w:p>
      <w:pPr>
        <w:spacing w:after="100"/>
      </w:pPr>
      <w:r>
        <w:t xml:space="preserve">El DCF da 862,91 DKK por acción, un 1,9 % por encima del precio, con el valor terminal en el 72 % del valor; con el WACC y el crecimiento terminal ± 0,5 puntos, entre 731 y 1.044 DKK. El DCF inverso dice que el precio de 847 DKK equivale a un crecimiento de las ventas del 3,6 % anual en 2027e-2032e (base: 3,9 %) o a un margen EBITDA del 28,9 % para siempre (base: 29,2 %), es decir, un margen EBIT de ≈ 21 %, el objetivo de medio plazo de la empresa [2]. El precio ya descuenta que Pandora vuelve a ese margen tras 2027; no descuenta que vuelva al 25 % de 2021-2024. La rentabilidad implícita (8,9 %) es igual al WACC: la acción está a precio justo.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538,56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plata vuelve por encima de 80 USD/oz cuando acaba la cobertura de 2027, el platino chapado no convence a la clienta (la marca pierde el «plata de ley») y el tráfico de EE. UU. sigue flojo: dos puntos menos de crecimiento y 3,5 puntos menos de margen EBITDA cada año y crecimiento terminal del 2 %.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862,91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2027 es el año malo de la plata (margen EBIT del 15 %) y 2028 se recupera al 19 % con la mitad del surtido en platino; después el margen llega al 21 %, el objetivo de la empresa, sin volver al 25 % de antes.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1.066,72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plata se queda en ≈ 57 USD/oz, el platino rebaja el coste del metal y el nuevo diseño devuelve el LFL al 3-4 %: un punto más de crecimiento y 2,5 puntos más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Valor por acción por escenario (DKK) · precio actual 847,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rPr>
          <w:b/>
          <w:bCs/>
        </w:rPr>
        <w:t xml:space="preserve">Valor ponderado por probabilidad:</w:t>
      </w:r>
      <w:r>
        <w:t xml:space="preserve"> 832,78 DKK (-1,7 %).</w:t>
      </w:r>
    </w:p>
    <w:p>
      <w:pPr>
        <w:spacing w:after="100"/>
      </w:pPr>
      <w:r>
        <w:t xml:space="preserve">En el DCF el bajista vale 538,56 DKK (−36 %) y el alcista 1.066,72 DKK (+26 %): con un 25 % de probabilidad cada uno, la asimetría es desfavorable (el bajista pierde más de lo que gana el alcista). A 12 meses, con el PER propio, el bajista pierde un 52 % (8,9x × 43,6 DKK) y el alcista gana un 55 % (18,7x × 68,8 DKK): la acción cayó un 67 % entre el 30-ene-2025 y el 17-mar-2026 [21].</w:t>
      </w:r>
    </w:p>
    <w:p>
      <w:pPr>
        <w:pStyle w:val="Heading1"/>
      </w:pPr>
      <w:r>
        <w:t xml:space="preserve">22. Suma de partes</w:t>
      </w:r>
    </w:p>
    <w:p>
      <w:pPr>
        <w:pStyle w:val="Confianza"/>
        <w:spacing w:after="100"/>
      </w:pPr>
      <w:r>
        <w:t xml:space="preserve">Confianza: Media</w:t>
      </w:r>
    </w:p>
    <w:p>
      <w:pPr>
        <w:spacing w:after="100"/>
      </w:pPr>
      <w:r>
        <w:t xml:space="preserve">No aplica: Pandora es un solo negocio (joyería de marca propia) con dos segmentos de producto que comparten fábricas y tiendas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5" name="Gráfico 25" descr="Valor por acción según cada método (DKK) · precio actual 847,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904,40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857,17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729,53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1.104,26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862,91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1.043,56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832,78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1.066,72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1.118,62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1.266,21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842,77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847,00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851,23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832,78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827,20 DKK (-2,3 % sobre 847,00).</w:t>
      </w:r>
    </w:p>
    <w:p>
      <w:pPr>
        <w:spacing w:after="100"/>
      </w:pPr>
      <w:r>
        <w:t xml:space="preserve">Pesamos el DCF un 50 %, los escenarios un 30 % y los comparables (PER de los próximos 12 meses) un 20 %. El DCF da 862,91 DKK por acción con un WACC del 8,79 % y un crecimiento a perpetuidad del 2,5 %; restamos la deuda neta de junio con arrendamientos (15.643 M) [2]. El valor intrínseco ponderado (827,20 DKK) queda un 2,3 % por debajo del precio: la acción está a precio justo, no barata. Lo que la hace parecer barata (7,7 veces el EBITDA, rentabilidad de caja libre del 9 %) es el beneficio de los últimos 12 meses, con la plata cubierta a 32 USD/oz en 2026 [9]; a partir de 2027 la cobertura sube a 65 USD y el margen baja [2]. Los comparables por EV/EBITDA dan más valor (1.450 DKK en el centro), pero mezclan lujo (Richemont 18,7x) con minoristas (Signet 8,2x) y no los pesamos.</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388,40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(20.6x) ÷ 1.1 (tope: la mediana de 5 años, 14.5x,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1.091,15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68,84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1.287,31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+54,6 %</w:t>
            </w:r>
          </w:p>
        </w:tc>
      </w:tr>
    </w:tbl>
    <w:p>
      <w:pPr>
        <w:spacing w:after="160" w:before="0"/>
      </w:pPr>
    </w:p>
    <w:p>
      <w:pPr>
        <w:spacing w:after="100"/>
      </w:pPr>
      <w:r>
        <w:rPr>
          <w:b/>
          <w:bCs/>
        </w:rPr>
        <w:t xml:space="preserve">Objetivo a 12 meses (ponderado):</w:t>
      </w:r>
      <w:r>
        <w:t xml:space="preserve"> 964,50 DKK · rentabilidad +16,5 % (base +31,4 %) · señal Mantener.</w:t>
      </w:r>
    </w:p>
    <w:p>
      <w:pPr>
        <w:spacing w:after="100"/>
      </w:pPr>
      <w:r>
        <w:t xml:space="preserve">Para comparar, con la regla v2 (historia al cierre, mismo precio): 9,1x / 16,9x / 16,9x, 6,9 % Mantener; con el tope anterior del base (×1,3, 14-oct mediodía): 8,3 %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2027e (41,1 DKK) está un 15 % por debajo del consenso de Yahoo (48,44; 41,16 hace 90 días) [22] y un 11 % por debajo del de Visible Alpha tras el 2T26 (46) [23]; el de 2028e (58,4) un 9 % por debajo del de Visible Alpha (64) [23]. La diferencia es el margen: tomamos un 15 % de margen EBIT en 2027e (guía de ≥ 14 % sin costes únicos con la plata a 82 USD, más ≈ 200 pb por la cobertura a 65 USD [2]) y un 19 % en 2028e, por debajo del objetivo de &gt; 21 %. El consenso ha subido el BPA de 2027 un 18 % en 90 días con la bajada de la plata (de 93 a 57 USD/oz [15]); el de los analistas previos al 2T26 era más bajo [27]. Nuestro objetivo base a 12 meses (1.091 DKK) queda un 27 % por encima del objetivo medio (857 DKK; rango 440-1.300) [22], pero solo porque la regla aplica un PER de 18,7x a nuestro BPA de 2028e (ver el comentario).</w:t>
      </w:r>
    </w:p>
    <w:p>
      <w:pPr>
        <w:keepNext/>
        <w:spacing w:after="100"/>
      </w:pPr>
      <w:r>
        <w:rPr>
          <w:b/>
          <w:bCs/>
        </w:rPr>
        <w:t xml:space="preserve">Del valor intrínseco al objetivo a 12 meses.</w:t>
      </w:r>
    </w:p>
    <w:p>
      <w:pPr>
        <w:spacing w:after="100"/>
      </w:pPr>
      <w:r>
        <w:t xml:space="preserve">Decide la v3 (cinco años de historia adelantada, sin marcas del selector): ponderada del +16,5 % y base del +31,4 % sobre 847 DKK, con el dividendo. Pero la regla no da Comprar porque el valor intrínseco (827 DKK) está por debajo del precio. Y hay que leer la v3 con cuidado: el PER actual (20,6x) se calcula sobre nuestro BPA de 2027e (41,1 DKK), el año del golpe de la plata. Con un beneficio deprimido ese PER sale alto, y la regla aplica al base un PER de 18,7x (el actual ÷ 1,1, el tope) sobre un BPA de 2028e ya recuperado (58,4 DKK): es pagar en 2027 un múltiplo de año malo por un beneficio de año normal. Con la mediana de 5 años (14,5x) el base valdría 846 DKK más dividendo, la cotización de hoy. La v2 (historia al cierre: mediana 16,9x) da una ponderada del +6,9 % y un base del +19 %. El bajista pierde un 52 % (8,9x × 43,6 DKK); el alcista se queda en el PER del base (ni la historia ni los comparables pagan más de 18,7x): +55 %.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2026-11-04</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y actualización estratégica: orientación del margen de 2027 y del paso al platino [9]</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 que más puede mover la acción: guía de margen EBIT de 2027 por encima o por debajo del 15 %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2026-12-01</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 Paulo Garcia como director financiero (Boyer se queda de apoyo hasta el 31-mar-2027) [2]</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Continuidad; señal sobre la política de recompras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guía de 2027 y dividendo (22 DKK en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Confirmación del margen de 2027 y posible vuelta de las recompras [2]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Vuelta de las recompras «significativas» cuando avance el platino [2]</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2021 y 2025 recompró ≈ 4.000-5.000 M al año, un 6-7 % de la capitalización actual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Menos aranceles de EE. UU. a Tailandia (12,5 % desde julio de 2026) [9]</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Beneficio sobre todo desde 2027, cuando se importa el inventario nuevo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Plata: sube de nuevo cuando acaba la cobertura de 2027 (65 USD/oz)</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 materias primas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−52 % a 12 meses en el bajista (8,9x × 43,6 DKK)</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Política de cubrir al menos el 70 %; paso al platino de la mitad del surtido en 2027 y del resto en 2028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Plata por encima de 80 USD/oz en el 1S27 [15]</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Platino: la clienta no acepta la joya chapada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 marca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Un punto de LFL ≈ 300 M de ventas y ≈ 3 DKK de BPA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piloto en Países Bajos y en varios mercados en el 4T26 antes de extenderlo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LFL negativo en los mercados del piloto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Consumidor de EE. UU. flojo y aranceles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Macro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Norteamérica es el 36 % de las ventas [1]; el avance de 2025 tumbó la acción un 13 % en un día [21]</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Fábricas fuera de China; arancel a Tailandia del 12,5 % [9]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LFL de Norteamérica por debajo de −3 %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equipo: consejera delegada, director financiero y directora de producto nuevos en 2026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Riesgo de ejecución del plan del 4-nov</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consejera delegada era la directora de marketing desde 2024 y compró acciones el 17-ago [17]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 de la guía o del objetivo de medio plazo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1,5 veces el EBITDA con arrendamientos y sin recompras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Con un EBIT de 2027 del 12 % la deuda subiría a ≈ 2 veces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 BBB/Baa2 y 6.721 M de líneas sin disponer [1,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 EBITDA por encima de 2x</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Riesgo de IA: bajo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entra en los escenarios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Producto físico de regalo y tienda propia; la IA se usa en diseño y previsión de la demanda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 del tráfico de la web propia (23 % de las ventas)</w:t>
            </w:r>
          </w:p>
        </w:tc>
      </w:tr>
    </w:tbl>
    <w:p>
      <w:pPr>
        <w:spacing w:after="160" w:before="0"/>
      </w:pPr>
    </w:p>
    <w:p>
      <w:pPr>
        <w:pStyle w:val="Heading2"/>
      </w:pPr>
      <w:r>
        <w:t xml:space="preserve">Pre-mortem</w:t>
      </w:r>
    </w:p>
    <w:p>
      <w:pPr>
        <w:spacing w:after="100"/>
      </w:pPr>
      <w:r>
        <w:t xml:space="preserve">Octubre de 2027: la acción ha perdido un 45 %. El 4-nov la dirección guió un margen EBIT de 2027 del 13 %, la plata volvió a 85 USD/oz en primavera y la cobertura de 2028 se hizo cara. El platino chapado se vendió peor de lo esperado en EE. UU. y el LFL fue de −3 %. El mercado volvió a pagar 9 veces un BPA de 45 DKK, como en 2022. Las señales habrían sido: guía de 2027 por debajo del 14 % el 4-nov, plata por encima de 80 USD y LFL negativo en el piloto.</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Neutral · </w:t>
      </w:r>
      <w:r>
        <w:rPr>
          <w:b/>
          <w:bCs/>
        </w:rPr>
        <w:t xml:space="preserve">Efecto en valor (3-5 años):</w:t>
      </w:r>
      <w:r>
        <w:t xml:space="preserve"> Sin efecto en el valor; no se recoge en ningún escenario</w:t>
      </w:r>
    </w:p>
    <w:p>
      <w:pPr>
        <w:spacing w:after="100"/>
      </w:pPr>
      <w:r>
        <w:t xml:space="preserve">Pandora vende un producto físico, de regalo y de marca, el 63 % en tiendas propias [1]. Un asistente de IA puede cambiar cómo se busca un regalo, pero no sustituye la joya ni la tienda. La empresa usa la IA en diseño, en la previsión de la demanda y en el marketing. Riesgo bajo y neutral.</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(clima)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Supplier Engagement Assessment</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(cuarto año)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TIME World's Most Sustainable Companies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Puesto 14</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2026-06</w:t>
            </w:r>
          </w:p>
        </w:tc>
      </w:tr>
    </w:tbl>
    <w:p>
      <w:pPr>
        <w:spacing w:after="160" w:before="0"/>
      </w:pPr>
    </w:p>
    <w:p>
      <w:pPr>
        <w:pStyle w:val="Heading2"/>
      </w:pPr>
      <w:r>
        <w:t xml:space="preserve">Asuntos materiales</w:t>
      </w:r>
    </w:p>
    <w:p>
      <w:pPr>
        <w:spacing w:after="100"/>
      </w:pPr>
      <w:r>
        <w:t xml:space="preserve">Lo que mueve las cifras: (1) los metales: Pandora usa plata y oro 100 % reciclados, lo que le da una historia de marca pero no le libra del precio de mercado; el paso al platino cambia su exposición [1, 2]; (2) las emisiones: −17 % en alcances 1-3 desde 2019 con ventas +49 % y objetivo de reducirlas a la mitad en 2030 [2]; (3) las condiciones laborales en sus talleres de Tailandia, con ≈ 39.000 empleados en el grupo [2]. El diamante de laboratorio lleva etiqueta de carbono (12,58 kg de CO₂e por quilate) [2].</w:t>
      </w:r>
    </w:p>
    <w:p>
      <w:pPr>
        <w:pStyle w:val="Heading2"/>
      </w:pPr>
      <w:r>
        <w:t xml:space="preserve">Controversias</w:t>
      </w:r>
    </w:p>
    <w:p>
      <w:pPr>
        <w:spacing w:after="100"/>
      </w:pPr>
      <w:r>
        <w:t xml:space="preserve">Sin sanciones ni litigios relevantes en los últimos tres años en los informes anuales y trimestrales revisados [1, 2]. La reclamación de aranceles IEEPA es a favor de Pandora [2].</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2027</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EBIT de 2027 dan con la plata cubierta a 65 USD y cuánto son los costes únicos del platino?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el BPA de 2027 y el PER actual que usa la regla [2].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Platino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dicen las ventas del piloto de Países Bajos frente a la plata de ley en precio y en devoluciones?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de marca de toda la tesis [2].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qué deuda / EBITDA vuelven las recompras y en qué año?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Recompraba un 6-7 % de la capitalización al año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EE. UU.</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LFL de mediados de un dígito del 3T es el calendario de rebajas y cuánto la nueva dirección de diseño?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propia empresa pide no extrapolar julio [9].</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Medio plazo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¿Mantienen el margen EBIT de más del 21 % y en qué año?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el margen que descuenta el precio actual (DCF inverso).</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 (Yahoo)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Trece de diecinueve recomiendan mantener; el objetivo medio (857 DKK) coincide con el precio; el BPA de 2027 sube un 18 % en 90 días [22].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 económica internacional (Bloomberg, Reuters)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Dudan de que el cliente acepte el platino chapado como joya de valor; otros lo ven como una protección del margen que llega tarde [14, 28].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 económica (avance de 2025)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Tráfico débil en EE. UU. y guía incumplida: la acción toca mínimos desde 2023 [20].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Plata y paso al platino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plata ha bajado de 93 a 57 USD/oz y 2027 está cubierto a ≈ 65; el riesgo de marca del platino no se medirá hasta 2027.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Tráfico débil en EE. UU. y Europa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LFL −1 % en Norteamérica y −2 % en EMEA en el 2T26; mejora en el 3T según la empresa.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Vuelta de las recompras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fecha: dependen del avance del platino; el apalancamiento está en 1,5 veces.</w:t>
            </w:r>
          </w:p>
        </w:tc>
      </w:tr>
    </w:tbl>
    <w:p>
      <w:pPr>
        <w:spacing w:after="160" w:before="0"/>
      </w:pPr>
    </w:p>
    <w:p>
      <w:pPr>
        <w:spacing w:after="100"/>
      </w:pPr>
      <w:r>
        <w:t xml:space="preserve">Sin foros accesibles, el pulso viene de analistas y prensa: el sentimiento ha pasado de la capitulación de marzo (acción en 430 DKK) a una neutralidad prudente tras subir un 97 %. No hay euforia: la mayoría de analistas recomienda mantener y su objetivo medio está en el precio. No aporta riesgos nuevos frente a los del informe; confirma que la tesis depende del margen de 2027-2028.</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21 de 21 controles correctos. Fuentes: 28 (16 primarias); citas distintas en el texto: 28.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10,6 % frente a un ROIC de 33,2 % y un incremental histórico de 17,6 %: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1,3 % en 2030e frente al 1,4 %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5,5 % frente a 4,4 % real: genera una variación de circulante de 398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72 %.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fuentes (16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Comparación con el consenso de 3T24-4T25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Consenso previo recogido por Pandora (solo bajados el de 1T26 y 2T26); 2) Yahoo (sin histórico de sorpresas para DKK); 3) prensa (sin cifras de EBIT esperado)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Core / Fuel with more antes de 2024 y resultado por segmento (solo margen bruto)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(dos ejercicios); 2) informe anual 2023 (otra segmentación por colecciones); 3) informes trimestrales (solo margen bruto por segmento)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los cinco primeros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de Pandora (no la da); 2) McKinsey (solo la cuota de la joyería de marca); 3) prensa sectorial (sin cifra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 en contra de la remuneración en las tres últimas juntas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Actas de la junta del 11-mar-2026 (Dinamarca no publica recuento de este punto); 2) informe de remuneración 2025 (solo menciona la opinión de los accionistas); 3) prensa (sin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Participación de cada directivo y consejero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(total del consejo 85.264 y de la dirección 386.104 acciones); 2) informe de remuneración (solo consejo); 3) anuncios de operaciones (solo la consejera delegada: 6.320 acciones)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comparables con múltiplos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Compras de tiendas de franquiciados de Pandora (sin múltiplos publicados); 2) LVMH-Tiffany (2021) y Signet-Blue Nile/Diamonds Direct (2021-2022): sin EBITDA publicado en la nota oficial accesible; 3) prensa (múltiplos con perímetros mezclados)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Finanstilsynet (xlsx mensual no descargado a tiempo); 2) Yahoo (sin dato para Copenhague); 3) prensa (sin cifra)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del 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Consenso recogido por Pandora (no lo incluye); 2) Yahoo (solo ventas y BPA); 3) MarketScreener (sin acceso)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de inversores (Euroinvestor, Shareville, Reddit, Stocktwits, Seeking Alpha)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Stocktwits (PANDY, PNDZY y PNDZF sin mensajes) y Seeking Alpha (RSS 404); 2) Euroinvestor y Shareville (contenido en JavaScript, sin acceso); 3) Reddit y Simply Wall St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2025: estados consolidados 2025 y 2024, resumen de cinco años, notas de deuda, arrendamientos, capital, financieros y remuneración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Pandora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https://pandora.a.bigcontent.io/v1/static/Annual%20Report%202025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Interim Financial Report Q2 2026 (Company announcement 1015): cuenta, balance a 30-jun-2026, flujos, canales, deuda neta, coberturas, guía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Pandora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https://pandora.a.bigcontent.io/v1/static/Pandora%20Q2%202026%20Interim%20Report%20Company%20announcement_No_1015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2023: estados consolidados 2023 y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Pandora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https://pandora.a.bigcontent.io/v1/static/Annual%20Report%202023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2021: estados consolidados 2021 y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Pandora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https://pandora.a.bigcontent.io/v1/static/Annual%20Report%202021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Financial Report Q4 2025 (Company announcement 997): 4T25, segmentos, colecciones, regiones y canales de 2025; plan de platino y margen EBIT de 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Pandora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https://pandora.a.bigcontent.io/v1/static/Pandora%20Q4%202025%20Interim%20Report%20Company%20Announcement%20No%20997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Financial Report Q1 2026 (Company announcement 1012)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Pandora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https://pandora.a.bigcontent.io/v1/static/Pandora%20Q1%202026%20Interim%20Report%20Company%20announcement_No_1012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Financial Reports Q3 2024, Q4 2024, Q1 2025, Q2 2025 y Q3 2025 (comparativos trimestrales)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Pandora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https://pandora.a.bigcontent.io/v1/static/Pandora%20Q3%202025%20Interim%20Report%20Company%20Announcement%20No%20981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 anuales ESEF 2024 y 2025 en XBRL (LEI 5299007OWYZ6I1E46843)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International (filings.xbrl.org) / Pandora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https://filings.xbrl.org/api/filings?filter[entity.identifier]=5299007OWYZ6I1E46843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Q3 2026 Aide Memoire (guía vigente, comentario del 3T en curso, fecha del 4-nov)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Pandora A/S, Investor Relations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https://pandora.a.bigcontent.io/v1/static/Pandora%20Q3%202026%20-%20Aide%20Memoire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Presentation Q2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Pandora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https://pandora.a.bigcontent.io/v1/static/Investor%20Presentation%20Q2%202026_website%20version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State of Fashion: Watches and Jewellery (mercado de joyería de 280.000 M USD en 2019 y 340.000-360.000 M USD previstos para 2025; joyería de marca 25-30 %)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McKinsey &amp; Company (resumido por FashionNetwork y Centurion)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https://hk.fashionnetwork.com/news/McKinsey-Fine-jewellery-to-see-growth-of-8-12-in-next-5-years,1319607.html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Jewellery Market Forecast to Reach US$578 Billion by 2033 (381.500 M USD en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Jewellery World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https://jewelleryworld.net.au/?p=275264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 de los competidores (ingresos y margen operativo de los últimos doce meses)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https://finance.yahoo.com/quote/SIG/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Silver is so pricey that the world's largest jeweler is switching to platinum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Der Standard / Bloomberg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https://www.derstandard.at/story/3000000307417/silver-is-so-pricey-that-the-worlds-largest-jeweler-is-switching-to-platinum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Plata (SI=F) y oro (GC=F): cierres mensuales de futuros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https://finance.yahoo.com/quote/SI%3DF/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Remuneration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Pandora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https://pandora.a.bigcontent.io/v1/static/Remuneration%20Report%202025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in Pandora A/S shares by Board members, Executives and Associated persons (compra de 1.620 acciones por la consejera delegada)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Pandora A/S (vía Inderes)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https://www.inderes.dk/releases/trading-in-pandora-as-shares-by-board-members-executives-and-associated-persons-38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Corporate Governance Statement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Pandora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https://pandora.a.bigcontent.io/v1/static/Corporate_Governance_Statement_2025_107b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Financial Reports Q4 2024 y Q4 2025 (guía y real)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Pandora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https://pandora.a.bigcontent.io/v1/static/Pandora%20Q4%202024%20Interim%20Report%20Company%20Announcement%20No%20921_1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Jewellery maker Pandora hit by weak US holiday shopping (avance de 2025 del 9-ene-2026)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Reuters / Global Banking &amp; Finance Review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https://www.globalbankingandfinance.com/jewellery-maker-pandora-weak-consumer-sentiment-hits-growth/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PNDORA.CO, OMXC25 y STOXX Europe 600 Personal &amp; Household Goods (EXH7.DE)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https://finance.yahoo.com/quote/PNDORA.CO/history/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de Pandora y de los comparables (quoteSummary: PER adelantado, múltiplos, estimaciones, recomendaciones y objetivos)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https://finance.yahoo.com/quote/PNDORA.CO/analysis/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Consensus - Post-Q2 2026 results (Visible Alpha, 28-ago-2026; 11-15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Pandora A/S, Investor Relations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https://pandora.a.bigcontent.io/v1/static/Post-Q2_2026_collected%20consensus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Bund a 10 años (curva de Svensson, BBSIS)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https://api.statistiken.bundesbank.de/rest/data/BBSIS/D.I.ZST.ZI.EUR.S1311.B.A604.R10XX.R.A.A._Z._Z.A?format=csv&amp;lastNObservations=5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Consensus - Pre-Q2 2026 y Pre-Q1 2026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Pandora A/S, Investor Relations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https://pandora.a.bigcontent.io/v1/static/Pre-Q2_2026_collected%20consensus-PDF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Pandora shares rise as jeweller plans shift to platinum amid silver challenges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 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https://finance.yahoo.com/news/pandora-misses-growth-target-shares-082805337.html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85,6 %</w:t>
      </w:r>
      <w:r>
        <w:t xml:space="preserve"> · Secciones con menos del 60 % de campos cubiertos: </w:t>
      </w:r>
      <w:r>
        <w:rPr>
          <w:b/>
          <w:bCs/>
        </w:rPr>
        <w:t xml:space="preserve">transacciones</w:t>
      </w:r>
      <w:r>
        <w:t xml:space="preserve"> · Generado el 19 oct 2026.</w:t>
      </w:r>
    </w:p>
    <w:p>
      <w:pPr>
        <w:pStyle w:val="Nota"/>
        <w:spacing w:after="100"/>
      </w:pPr>
      <w:r>
        <w:t xml:space="preserve">Cuentas consolidadas NIIF en millones de DKK; ejercicio natural. 2024-2025 salen del XBRL ESEF del regulador danés (cuentas.mjs --esef con el LEI 5299007OWYZ6I1E46843) [8], completado con los informes anuales 2025, 2023 y 2021 [1, 3, 4]; los trimestres, de los informes de 3T24 a 2T26 [2, 6, 7]. El balance del puente es el de 30-jun-2026 [2], con más deuda que la de diciembre por la estacionalidad (el 4T da más de la mitad del EBIT): no se ajusta, lo que es prudente. Acciones: 75,0 M diluidas; recompras suspendidas en 2026 [2]. 2026e va fijo con la guía del 12-ago (orgánico 0-3 %, margen EBIT 22-23 %, ≈ 100 pb de devolución de aranceles IEEPA) [9]. La dirección dará el 4-nov-2026, con los resultados del 3T, la orientación del margen de 2027 y una actualización estratégica: el informe se hace antes y es lo que más puede moverlo. Precio: cierre del 16-oct-2026 en Nasdaq Copenhague (847 DKK) [21]; hoy, 19-oct, a las 16:28 CEST (14:28 UTC), 851,80 DKK (Yahoo, sesión abierta). Sin acceso a foros de inversores ni al recuento del voto de remuneración (Dinamarca no lo publica): huecos en E y C.</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Pandora A/S (PNDORA)</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(DKK) · precio actual 847,00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(430,00 – 904,40)</c:v>
                </c:pt>
                <c:pt idx="1">
                  <c:v>Precio objetivo de los analistas (440,00 – 1.300,00)</c:v>
                </c:pt>
                <c:pt idx="2">
                  <c:v>Comparables: PER NTM (484,28 – 1.104,26)</c:v>
                </c:pt>
                <c:pt idx="3">
                  <c:v>DCF (WACC y g ± 0,5) (731,47 – 1.043,56)</c:v>
                </c:pt>
                <c:pt idx="4">
                  <c:v>Escenarios (bajista – alcista) (538,56 – 1.066,72)</c:v>
                </c:pt>
                <c:pt idx="5">
                  <c:v>DCF con la prima implícita del mercado (4,2 %)</c:v>
                </c:pt>
                <c:pt idx="6">
                  <c:v>Precio actual (847,00)</c:v>
                </c:pt>
              </c:strCache>
            </c:strRef>
          </c:cat>
          <c:val>
            <c:numRef>
              <c:f>Hoja1!$B$2:$B$8</c:f>
              <c:numCache>
                <c:formatCode>#,##0</c:formatCode>
                <c:ptCount val="7"/>
                <c:pt idx="0">
                  <c:v>430</c:v>
                </c:pt>
                <c:pt idx="1">
                  <c:v>440</c:v>
                </c:pt>
                <c:pt idx="2">
                  <c:v>484.28</c:v>
                </c:pt>
                <c:pt idx="3">
                  <c:v>731.47</c:v>
                </c:pt>
                <c:pt idx="4">
                  <c:v>538.56</c:v>
                </c:pt>
                <c:pt idx="5">
                  <c:v>997.5</c:v>
                </c:pt>
                <c:pt idx="6">
                  <c:v>842.77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(430,00 – 904,40)</c:v>
                </c:pt>
                <c:pt idx="1">
                  <c:v>Precio objetivo de los analistas (440,00 – 1.300,00)</c:v>
                </c:pt>
                <c:pt idx="2">
                  <c:v>Comparables: PER NTM (484,28 – 1.104,26)</c:v>
                </c:pt>
                <c:pt idx="3">
                  <c:v>DCF (WACC y g ± 0,5) (731,47 – 1.043,56)</c:v>
                </c:pt>
                <c:pt idx="4">
                  <c:v>Escenarios (bajista – alcista) (538,56 – 1.066,72)</c:v>
                </c:pt>
                <c:pt idx="5">
                  <c:v>DCF con la prima implícita del mercado (4,2 %)</c:v>
                </c:pt>
                <c:pt idx="6">
                  <c:v>Precio actual (847,00)</c:v>
                </c:pt>
              </c:strCache>
            </c:strRef>
          </c:cat>
          <c:val>
            <c:numRef>
              <c:f>Hoja1!$C$2:$C$8</c:f>
              <c:numCache>
                <c:formatCode>#,##0</c:formatCode>
                <c:ptCount val="7"/>
                <c:pt idx="0">
                  <c:v>474.4</c:v>
                </c:pt>
                <c:pt idx="1">
                  <c:v>860</c:v>
                </c:pt>
                <c:pt idx="2">
                  <c:v>619.98</c:v>
                </c:pt>
                <c:pt idx="3">
                  <c:v>312.0899999999999</c:v>
                </c:pt>
                <c:pt idx="4">
                  <c:v>528.1600000000001</c:v>
                </c:pt>
                <c:pt idx="5">
                  <c:v>268.71000000000004</c:v>
                </c:pt>
                <c:pt idx="6">
                  <c:v>8.460000000000036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(DKK, millones)</a:t>
            </a:r>
          </a:p>
        </c:rich>
      </c:tx>
      <c:overlay val="0"/>
    </c:title>
    <c:autoTitleDeleted val="0"/>
    <c:plotArea>
      <c:layout/>
      <c:barChart>
        <c:barDir val="col"/>
        <c:grouping val="stacked"/>
        <c:varyColors val="0"/>
        <c:ser>
          <c:idx val="0"/>
          <c:order val="0"/>
          <c:tx>
            <c:strRef>
              <c:f>Hoja1!$B$1</c:f>
              <c:strCache>
                <c:ptCount val="1"/>
                <c:pt idx="0">
                  <c:v>Core</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23542</c:v>
                </c:pt>
                <c:pt idx="1">
                  <c:v>24235</c:v>
                </c:pt>
              </c:numCache>
            </c:numRef>
          </c:val>
        </c:ser>
        <c:ser>
          <c:idx val="1"/>
          <c:order val="1"/>
          <c:tx>
            <c:strRef>
              <c:f>Hoja1!$C$1</c:f>
              <c:strCache>
                <c:ptCount val="1"/>
                <c:pt idx="0">
                  <c:v>Fuel with more</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8139</c:v>
                </c:pt>
                <c:pt idx="1">
                  <c:v>8314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Core</c:v>
                </c:pt>
                <c:pt idx="1">
                  <c:v>Fuel with more</c:v>
                </c:pt>
              </c:strCache>
            </c:strRef>
          </c:cat>
          <c:val>
            <c:numRef>
              <c:f>Hoja1!$B$2:$B$3</c:f>
              <c:numCache>
                <c:formatCode>General</c:formatCode>
                <c:ptCount val="2"/>
                <c:pt idx="0">
                  <c:v>74.5</c:v>
                </c:pt>
                <c:pt idx="1">
                  <c:v>25.5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EMEA</c:v>
                </c:pt>
                <c:pt idx="1">
                  <c:v>Norteamérica</c:v>
                </c:pt>
                <c:pt idx="2">
                  <c:v>Latinoamérica</c:v>
                </c:pt>
                <c:pt idx="3">
                  <c:v>Asia-Pacífico</c:v>
                </c:pt>
              </c:strCache>
            </c:strRef>
          </c:cat>
          <c:val>
            <c:numRef>
              <c:f>Hoja1!$B$2:$B$5</c:f>
              <c:numCache>
                <c:formatCode>0"%"</c:formatCode>
                <c:ptCount val="4"/>
                <c:pt idx="0">
                  <c:v>49.6</c:v>
                </c:pt>
                <c:pt idx="1">
                  <c:v>36.1</c:v>
                </c:pt>
                <c:pt idx="2">
                  <c:v>6.5</c:v>
                </c:pt>
                <c:pt idx="3">
                  <c:v>7.8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DKK (al cambio de hoy, 6,66 DKK por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2019</c:v>
                </c:pt>
                <c:pt idx="1">
                  <c:v>2025</c:v>
                </c:pt>
                <c:pt idx="2">
                  <c:v>2030e</c:v>
                </c:pt>
              </c:strCache>
            </c:strRef>
          </c:cat>
          <c:val>
            <c:numRef>
              <c:f>Hoja1!$B$2:$B$4</c:f>
              <c:numCache>
                <c:formatCode>#,##0</c:formatCode>
                <c:ptCount val="3"/>
                <c:pt idx="0">
                  <c:v>1864000</c:v>
                </c:pt>
                <c:pt idx="1">
                  <c:v>2397000</c:v>
                </c:pt>
                <c:pt idx="2">
                  <c:v>2917000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2</c:v>
                </c:pt>
                <c:pt idx="2">
                  <c:v>4</c:v>
                </c:pt>
                <c:pt idx="3">
                  <c:v>3</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Pandora</c:v>
                </c:pt>
                <c:pt idx="1">
                  <c:v>Chow Tai Fook</c:v>
                </c:pt>
                <c:pt idx="2">
                  <c:v>Richemont (joyería: Cartier, Van Cleef &amp; Arpels)</c:v>
                </c:pt>
                <c:pt idx="3">
                  <c:v>Signet Jewelers</c:v>
                </c:pt>
                <c:pt idx="4">
                  <c:v>Luk Fook</c:v>
                </c:pt>
                <c:pt idx="5">
                  <c:v>Titan (Tanishq)</c:v>
                </c:pt>
                <c:pt idx="6">
                  <c:v>Swarovski</c:v>
                </c:pt>
              </c:strCache>
            </c:strRef>
          </c:cat>
          <c:val>
            <c:numRef>
              <c:f>Hoja1!$B$2:$B$8</c:f>
              <c:numCache>
                <c:formatCode>0.0"%"</c:formatCode>
                <c:ptCount val="7"/>
                <c:pt idx="0">
                  <c:v>23.9</c:v>
                </c:pt>
                <c:pt idx="1">
                  <c:v>21</c:v>
                </c:pt>
                <c:pt idx="2">
                  <c:v>19.4</c:v>
                </c:pt>
                <c:pt idx="3">
                  <c:v>6.3</c:v>
                </c:pt>
                <c:pt idx="4">
                  <c:v>18.1</c:v>
                </c:pt>
                <c:pt idx="5">
                  <c:v>12.3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2</c:v>
                </c:pt>
                <c:pt idx="2">
                  <c:v>4</c:v>
                </c:pt>
                <c:pt idx="3">
                  <c:v>4</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(DKK,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Hoja1!$B$2:$B$13</c:f>
              <c:numCache>
                <c:formatCode>#,##0</c:formatCode>
                <c:ptCount val="12"/>
                <c:pt idx="0">
                  <c:v>23394</c:v>
                </c:pt>
                <c:pt idx="1">
                  <c:v>26463</c:v>
                </c:pt>
                <c:pt idx="2">
                  <c:v>28136</c:v>
                </c:pt>
                <c:pt idx="3">
                  <c:v>31680</c:v>
                </c:pt>
                <c:pt idx="4">
                  <c:v>32549</c:v>
                </c:pt>
                <c:pt idx="5">
                  <c:v>33102</c:v>
                </c:pt>
                <c:pt idx="6">
                  <c:v>34426</c:v>
                </c:pt>
                <c:pt idx="7">
                  <c:v>35976</c:v>
                </c:pt>
                <c:pt idx="8">
                  <c:v>37595</c:v>
                </c:pt>
                <c:pt idx="9">
                  <c:v>39098</c:v>
                </c:pt>
                <c:pt idx="10">
                  <c:v>40467</c:v>
                </c:pt>
                <c:pt idx="11">
                  <c:v>41681</c:v>
                </c:pt>
              </c:numCache>
            </c:numRef>
          </c:val>
        </c:ser>
        <c:ser>
          <c:idx val="1"/>
          <c:order val="1"/>
          <c:tx>
            <c:strRef>
              <c:f>Hoja1!$C$1</c:f>
              <c:strCache>
                <c:ptCount val="1"/>
                <c:pt idx="0">
                  <c:v>EBITDA</c:v>
                </c:pt>
              </c:strCache>
            </c:strRef>
          </c:tx>
          <c:spPr>
            <a:solidFill>
              <a:srgbClr val="EB6834"/>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Hoja1!$C$2:$C$13</c:f>
              <c:numCache>
                <c:formatCode>#,##0</c:formatCode>
                <c:ptCount val="12"/>
                <c:pt idx="0">
                  <c:v>7838</c:v>
                </c:pt>
                <c:pt idx="1">
                  <c:v>8716</c:v>
                </c:pt>
                <c:pt idx="2">
                  <c:v>9118</c:v>
                </c:pt>
                <c:pt idx="3">
                  <c:v>10327</c:v>
                </c:pt>
                <c:pt idx="4">
                  <c:v>10316</c:v>
                </c:pt>
                <c:pt idx="5">
                  <c:v>10162</c:v>
                </c:pt>
                <c:pt idx="6">
                  <c:v>7987</c:v>
                </c:pt>
                <c:pt idx="7">
                  <c:v>9785</c:v>
                </c:pt>
                <c:pt idx="8">
                  <c:v>10790</c:v>
                </c:pt>
                <c:pt idx="9">
                  <c:v>11417</c:v>
                </c:pt>
                <c:pt idx="10">
                  <c:v>11816</c:v>
                </c:pt>
                <c:pt idx="11">
                  <c:v>12171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76.1</c:v>
                </c:pt>
                <c:pt idx="1">
                  <c:v>76.3</c:v>
                </c:pt>
                <c:pt idx="2">
                  <c:v>78.6</c:v>
                </c:pt>
                <c:pt idx="3">
                  <c:v>79.8</c:v>
                </c:pt>
                <c:pt idx="4">
                  <c:v>79.1</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33.5</c:v>
                </c:pt>
                <c:pt idx="1">
                  <c:v>32.9</c:v>
                </c:pt>
                <c:pt idx="2">
                  <c:v>32.4</c:v>
                </c:pt>
                <c:pt idx="3">
                  <c:v>32.6</c:v>
                </c:pt>
                <c:pt idx="4">
                  <c:v>31.7</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25</c:v>
                </c:pt>
                <c:pt idx="1">
                  <c:v>25.5</c:v>
                </c:pt>
                <c:pt idx="2">
                  <c:v>25</c:v>
                </c:pt>
                <c:pt idx="3">
                  <c:v>25.2</c:v>
                </c:pt>
                <c:pt idx="4">
                  <c:v>23.9</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17.8</c:v>
                </c:pt>
                <c:pt idx="1">
                  <c:v>19</c:v>
                </c:pt>
                <c:pt idx="2">
                  <c:v>16.8</c:v>
                </c:pt>
                <c:pt idx="3">
                  <c:v>16.5</c:v>
                </c:pt>
                <c:pt idx="4">
                  <c:v>16.1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10</c:v>
                </c:pt>
                <c:pt idx="1">
                  <c:v>11</c:v>
                </c:pt>
                <c:pt idx="2">
                  <c:v>8</c:v>
                </c:pt>
                <c:pt idx="3">
                  <c:v>4</c:v>
                </c:pt>
                <c:pt idx="4">
                  <c:v>3</c:v>
                </c:pt>
                <c:pt idx="5">
                  <c:v>-1</c:v>
                </c:pt>
                <c:pt idx="6">
                  <c:v>-3</c:v>
                </c:pt>
                <c:pt idx="7">
                  <c:v>2</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11</c:v>
                </c:pt>
                <c:pt idx="1">
                  <c:v>11</c:v>
                </c:pt>
                <c:pt idx="2">
                  <c:v>7</c:v>
                </c:pt>
                <c:pt idx="3">
                  <c:v>8</c:v>
                </c:pt>
                <c:pt idx="4">
                  <c:v>6</c:v>
                </c:pt>
                <c:pt idx="5">
                  <c:v>4</c:v>
                </c:pt>
                <c:pt idx="6">
                  <c:v>2</c:v>
                </c:pt>
                <c:pt idx="7">
                  <c:v>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16</c:v>
                </c:pt>
                <c:pt idx="1">
                  <c:v>17</c:v>
                </c:pt>
                <c:pt idx="2">
                  <c:v>17</c:v>
                </c:pt>
                <c:pt idx="3">
                  <c:v>14</c:v>
                </c:pt>
                <c:pt idx="4">
                  <c:v>13</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195</c:v>
                </c:pt>
                <c:pt idx="1">
                  <c:v>245</c:v>
                </c:pt>
                <c:pt idx="2">
                  <c:v>253</c:v>
                </c:pt>
                <c:pt idx="3">
                  <c:v>253</c:v>
                </c:pt>
                <c:pt idx="4">
                  <c:v>262</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213</c:v>
                </c:pt>
                <c:pt idx="1">
                  <c:v>182</c:v>
                </c:pt>
                <c:pt idx="2">
                  <c:v>195</c:v>
                </c:pt>
                <c:pt idx="3">
                  <c:v>222</c:v>
                </c:pt>
                <c:pt idx="4">
                  <c:v>248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(DKK,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4652</c:v>
                </c:pt>
                <c:pt idx="1">
                  <c:v>2175</c:v>
                </c:pt>
                <c:pt idx="2">
                  <c:v>4789</c:v>
                </c:pt>
                <c:pt idx="3">
                  <c:v>5880</c:v>
                </c:pt>
                <c:pt idx="4">
                  <c:v>4190</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4160</c:v>
                </c:pt>
                <c:pt idx="1">
                  <c:v>5029</c:v>
                </c:pt>
                <c:pt idx="2">
                  <c:v>4740</c:v>
                </c:pt>
                <c:pt idx="3">
                  <c:v>5227</c:v>
                </c:pt>
                <c:pt idx="4">
                  <c:v>5241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45.7</c:v>
                </c:pt>
                <c:pt idx="1">
                  <c:v>43.5</c:v>
                </c:pt>
                <c:pt idx="2">
                  <c:v>36.8</c:v>
                </c:pt>
                <c:pt idx="3">
                  <c:v>38</c:v>
                </c:pt>
                <c:pt idx="4">
                  <c:v>33.2</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8.8</c:v>
                </c:pt>
                <c:pt idx="1">
                  <c:v>8.8</c:v>
                </c:pt>
                <c:pt idx="2">
                  <c:v>8.8</c:v>
                </c:pt>
                <c:pt idx="3">
                  <c:v>8.8</c:v>
                </c:pt>
                <c:pt idx="4">
                  <c:v>8.8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59.4</c:v>
                </c:pt>
                <c:pt idx="1">
                  <c:v>71</c:v>
                </c:pt>
                <c:pt idx="2">
                  <c:v>75.7</c:v>
                </c:pt>
                <c:pt idx="3">
                  <c:v>96.2</c:v>
                </c:pt>
                <c:pt idx="4">
                  <c:v>97.1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0.37</c:v>
                </c:pt>
                <c:pt idx="1">
                  <c:v>0.78</c:v>
                </c:pt>
                <c:pt idx="2">
                  <c:v>1.07</c:v>
                </c:pt>
                <c:pt idx="3">
                  <c:v>1.07</c:v>
                </c:pt>
                <c:pt idx="4">
                  <c:v>1.33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(DKK,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2026</c:v>
                </c:pt>
                <c:pt idx="1">
                  <c:v>2027-2030</c:v>
                </c:pt>
              </c:strCache>
            </c:strRef>
          </c:cat>
          <c:val>
            <c:numRef>
              <c:f>Hoja1!$B$2:$B$3</c:f>
              <c:numCache>
                <c:formatCode>#,##0</c:formatCode>
                <c:ptCount val="2"/>
                <c:pt idx="0">
                  <c:v>1735</c:v>
                </c:pt>
                <c:pt idx="1">
                  <c:v>8902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(DKK,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66</c:v>
                </c:pt>
                <c:pt idx="1">
                  <c:v>562</c:v>
                </c:pt>
                <c:pt idx="2">
                  <c:v>349</c:v>
                </c:pt>
                <c:pt idx="3">
                  <c:v>194</c:v>
                </c:pt>
                <c:pt idx="4">
                  <c:v>373</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1479</c:v>
                </c:pt>
                <c:pt idx="1">
                  <c:v>1514</c:v>
                </c:pt>
                <c:pt idx="2">
                  <c:v>1412</c:v>
                </c:pt>
                <c:pt idx="3">
                  <c:v>1471</c:v>
                </c:pt>
                <c:pt idx="4">
                  <c:v>1567</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3325</c:v>
                </c:pt>
                <c:pt idx="1">
                  <c:v>3527</c:v>
                </c:pt>
                <c:pt idx="2">
                  <c:v>5022</c:v>
                </c:pt>
                <c:pt idx="3">
                  <c:v>4013</c:v>
                </c:pt>
                <c:pt idx="4">
                  <c:v>4384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c:f>
              <c:strCache>
                <c:ptCount val="1"/>
                <c:pt idx="0">
                  <c:v>Independiente</c:v>
                </c:pt>
              </c:strCache>
            </c:strRef>
          </c:cat>
          <c:val>
            <c:numRef>
              <c:f>Hoja1!$B$2</c:f>
              <c:numCache>
                <c:formatCode>0</c:formatCode>
                <c:ptCount val="1"/>
                <c:pt idx="0">
                  <c:v>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Parvus Asset Management</c:v>
                </c:pt>
                <c:pt idx="1">
                  <c:v>BlackRock</c:v>
                </c:pt>
                <c:pt idx="2">
                  <c:v>Autocartera</c:v>
                </c:pt>
              </c:strCache>
            </c:strRef>
          </c:cat>
          <c:val>
            <c:numRef>
              <c:f>Hoja1!$B$2:$B$4</c:f>
              <c:numCache>
                <c:formatCode>0.0"%"</c:formatCode>
                <c:ptCount val="3"/>
                <c:pt idx="0">
                  <c:v>12.5</c:v>
                </c:pt>
                <c:pt idx="1">
                  <c:v>10</c:v>
                </c:pt>
                <c:pt idx="2">
                  <c:v>0.3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6</c:v>
                </c:pt>
                <c:pt idx="1">
                  <c:v>-26.9</c:v>
                </c:pt>
                <c:pt idx="2">
                  <c:v>-60.7</c:v>
                </c:pt>
                <c:pt idx="3">
                  <c:v>9.2</c:v>
                </c:pt>
                <c:pt idx="4">
                  <c:v>135</c:v>
                </c:pt>
                <c:pt idx="5">
                  <c:v>19.7</c:v>
                </c:pt>
                <c:pt idx="6">
                  <c:v>-40.1</c:v>
                </c:pt>
                <c:pt idx="7">
                  <c:v>91.2</c:v>
                </c:pt>
                <c:pt idx="8">
                  <c:v>41.1</c:v>
                </c:pt>
                <c:pt idx="9">
                  <c:v>-46.3</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1">
                  <c:v>12.8</c:v>
                </c:pt>
                <c:pt idx="2">
                  <c:v>-13.2</c:v>
                </c:pt>
                <c:pt idx="3">
                  <c:v>26</c:v>
                </c:pt>
                <c:pt idx="4">
                  <c:v>33.7</c:v>
                </c:pt>
                <c:pt idx="5">
                  <c:v>17.2</c:v>
                </c:pt>
                <c:pt idx="6">
                  <c:v>-13.5</c:v>
                </c:pt>
                <c:pt idx="7">
                  <c:v>7.1</c:v>
                </c:pt>
                <c:pt idx="8">
                  <c:v>-2.4</c:v>
                </c:pt>
                <c:pt idx="9">
                  <c:v>2.7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10.7</c:v>
                </c:pt>
                <c:pt idx="1">
                  <c:v>6</c:v>
                </c:pt>
                <c:pt idx="2">
                  <c:v>9.9</c:v>
                </c:pt>
                <c:pt idx="3">
                  <c:v>11.4</c:v>
                </c:pt>
                <c:pt idx="4">
                  <c:v>6.6</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9.9</c:v>
                </c:pt>
                <c:pt idx="1">
                  <c:v>9.9</c:v>
                </c:pt>
                <c:pt idx="2">
                  <c:v>9.9</c:v>
                </c:pt>
                <c:pt idx="3">
                  <c:v>9.9</c:v>
                </c:pt>
                <c:pt idx="4">
                  <c:v>9.9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(DKK,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3765</c:v>
                </c:pt>
                <c:pt idx="1">
                  <c:v>2664</c:v>
                </c:pt>
                <c:pt idx="2">
                  <c:v>4566</c:v>
                </c:pt>
                <c:pt idx="3">
                  <c:v>5023</c:v>
                </c:pt>
                <c:pt idx="4">
                  <c:v>5457</c:v>
                </c:pt>
                <c:pt idx="5">
                  <c:v>5779</c:v>
                </c:pt>
                <c:pt idx="6">
                  <c:v>5962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(DKK,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22776</c:v>
                </c:pt>
                <c:pt idx="1">
                  <c:v>57585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(DKK) · precio actual 847,00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538.56</c:v>
                </c:pt>
                <c:pt idx="1">
                  <c:v>862.91</c:v>
                </c:pt>
                <c:pt idx="2">
                  <c:v>1066.72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(DKK) · precio actual 847,00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(430,00 – 904,40)</c:v>
                </c:pt>
                <c:pt idx="1">
                  <c:v>Precio objetivo de los analistas (440,00 – 1.300,00)</c:v>
                </c:pt>
                <c:pt idx="2">
                  <c:v>Comparables: PER NTM (484,28 – 1.104,26)</c:v>
                </c:pt>
                <c:pt idx="3">
                  <c:v>DCF (WACC y g ± 0,5) (731,47 – 1.043,56)</c:v>
                </c:pt>
                <c:pt idx="4">
                  <c:v>Escenarios (bajista – alcista) (538,56 – 1.066,72)</c:v>
                </c:pt>
                <c:pt idx="5">
                  <c:v>DCF con la prima implícita del mercado (4,2 %)</c:v>
                </c:pt>
                <c:pt idx="6">
                  <c:v>Precio actual (847,00)</c:v>
                </c:pt>
              </c:strCache>
            </c:strRef>
          </c:cat>
          <c:val>
            <c:numRef>
              <c:f>Hoja1!$B$2:$B$8</c:f>
              <c:numCache>
                <c:formatCode>#,##0</c:formatCode>
                <c:ptCount val="7"/>
                <c:pt idx="0">
                  <c:v>430</c:v>
                </c:pt>
                <c:pt idx="1">
                  <c:v>440</c:v>
                </c:pt>
                <c:pt idx="2">
                  <c:v>484.28</c:v>
                </c:pt>
                <c:pt idx="3">
                  <c:v>731.47</c:v>
                </c:pt>
                <c:pt idx="4">
                  <c:v>538.56</c:v>
                </c:pt>
                <c:pt idx="5">
                  <c:v>997.5</c:v>
                </c:pt>
                <c:pt idx="6">
                  <c:v>842.77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(430,00 – 904,40)</c:v>
                </c:pt>
                <c:pt idx="1">
                  <c:v>Precio objetivo de los analistas (440,00 – 1.300,00)</c:v>
                </c:pt>
                <c:pt idx="2">
                  <c:v>Comparables: PER NTM (484,28 – 1.104,26)</c:v>
                </c:pt>
                <c:pt idx="3">
                  <c:v>DCF (WACC y g ± 0,5) (731,47 – 1.043,56)</c:v>
                </c:pt>
                <c:pt idx="4">
                  <c:v>Escenarios (bajista – alcista) (538,56 – 1.066,72)</c:v>
                </c:pt>
                <c:pt idx="5">
                  <c:v>DCF con la prima implícita del mercado (4,2 %)</c:v>
                </c:pt>
                <c:pt idx="6">
                  <c:v>Precio actual (847,00)</c:v>
                </c:pt>
              </c:strCache>
            </c:strRef>
          </c:cat>
          <c:val>
            <c:numRef>
              <c:f>Hoja1!$C$2:$C$8</c:f>
              <c:numCache>
                <c:formatCode>#,##0</c:formatCode>
                <c:ptCount val="7"/>
                <c:pt idx="0">
                  <c:v>474.4</c:v>
                </c:pt>
                <c:pt idx="1">
                  <c:v>860</c:v>
                </c:pt>
                <c:pt idx="2">
                  <c:v>619.98</c:v>
                </c:pt>
                <c:pt idx="3">
                  <c:v>312.0899999999999</c:v>
                </c:pt>
                <c:pt idx="4">
                  <c:v>528.1600000000001</c:v>
                </c:pt>
                <c:pt idx="5">
                  <c:v>268.71000000000004</c:v>
                </c:pt>
                <c:pt idx="6">
                  <c:v>8.460000000000036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