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Straumann Holding AG</w:t>
      </w:r>
    </w:p>
    <w:p>
      <w:pPr>
        <w:spacing w:after="60"/>
        <w:rPr>
          <w:color w:val="52514E"/>
          <w:sz w:val="22"/>
          <w:szCs w:val="22"/>
        </w:rPr>
      </w:pPr>
      <w:r>
        <w:rPr>
          <w:color w:val="52514E"/>
          <w:sz w:val="22"/>
          <w:szCs w:val="22"/>
        </w:rPr>
        <w:t xml:space="preserve">STMN · SIX Swiss Exchange · ISIN CH1175448666 · Salud</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14 oct 2026</w:t>
      </w:r>
      <w:r>
        <w:rPr>
          <w:color w:val="52514E"/>
          <w:sz w:val="18"/>
          <w:szCs w:val="18"/>
        </w:rPr>
        <w:t xml:space="preserve"> · Divisa: </w:t>
      </w:r>
      <w:r>
        <w:rPr>
          <w:b/>
          <w:bCs/>
          <w:color w:val="52514E"/>
          <w:sz w:val="18"/>
          <w:szCs w:val="18"/>
        </w:rPr>
        <w:t xml:space="preserve">CHF</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Mantener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92,00 CHF</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104,34 CHF</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+14,5 % (base +10,2 %)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75,97 CHF · mercado 92,49</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Baja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14.674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n.d.</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0,2x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Straumann Holding AG</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STMN / CH1175448666</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SIX Swiss Exchange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SMI</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Salud / Equipos y suministros sanitarios (dental)</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Basilea (Suiza) · 1954</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https://www.straumann.com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92,00 (3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73,00 – n.d.</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159,5</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14.674 M CHF</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14.802 M CHF</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 oct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Mantener</w:t>
      </w:r>
      <w:r>
        <w:t xml:space="preserve"> · Convicción Baja · Objetivo a 12 meses </w:t>
      </w:r>
      <w:r>
        <w:rPr>
          <w:b/>
          <w:bCs/>
        </w:rPr>
        <w:t xml:space="preserve">104,34 CHF</w:t>
      </w:r>
      <w:r>
        <w:t xml:space="preserve"> frente a 92,00 · Rentabilidad a 12 meses </w:t>
      </w:r>
      <w:r>
        <w:rPr>
          <w:b/>
          <w:bCs/>
        </w:rPr>
        <w:t xml:space="preserve">+14,5 % (base +10,2 %)</w:t>
      </w:r>
      <w:r>
        <w:t xml:space="preserve"> · Valor intrínseco 75,97 CHF · con la prima implícita del mercado: 92,49 (+0,5 %) · Alcista / bajista -3,3 % / -42,2 %</w:t>
      </w:r>
    </w:p>
    <w:p>
      <w:pPr>
        <w:spacing w:after="100"/>
      </w:pPr>
      <w:r>
        <w:rPr>
          <w:b/>
        </w:rPr>
        <w:t xml:space="preserve">La recomendación y por qué.</w:t>
      </w:r>
      <w:r>
        <w:t xml:space="preserve"> Mantener con convicción baja. El objetivo a 12 meses es de 104,34 CHF (nuestro PER por nuestro BPA de 2028e), una rentabilidad ponderada del 14,5 % y del 10,2 % en el caso base, con dividendo; el valor intrínseco es de 75,97 CHF (−17,4 %) y el objetivo medio de los analistas, de 114,75 CHF. No llega a Comprar porque la base queda por debajo del 12 % y el valor intrínseco por debajo del precio de 92,00 CHF. La convicción es baja porque las reglas discrepan (Vender con nuestro WACC, Mantener con la prima del mercado) y la diferencia es de tasa de descuento, no de cifras; subiría si los resultados de febrero de 2027 confirman un margen core publicado por encima del 26 % y APAC vuelve a crecer.</w:t>
      </w:r>
    </w:p>
    <w:p>
      <w:pPr>
        <w:spacing w:after="100"/>
      </w:pPr>
      <w:r>
        <w:rPr>
          <w:b/>
        </w:rPr>
        <w:t xml:space="preserve">El negocio.</w:t>
      </w:r>
      <w:r>
        <w:t xml:space="preserve"> Straumann es el primer fabricante mundial de implantes dentales (&gt;32 % de cuota) con un margen bruto del 70 % y un ROIC del 25,6 %, más de 18 puntos por encima del WACC (7,41 %) [24, 26]. </w:t>
      </w:r>
      <w:r>
        <w:rPr>
          <w:b/>
        </w:rPr>
        <w:t xml:space="preserve">Sostenibilidad: Sí</w:t>
      </w:r>
      <w:r>
        <w:t xml:space="preserve">: el 5,7 % anual que proyectamos está por debajo del orgánico de cada uno de los últimos cinco años y del mercado (6,9-8,3 %), y no necesita ganar cuota. El problema no es el negocio sino que su BPA core apenas ha subido desde 2021 (2,85 a 3,00) [10, 11].</w:t>
      </w:r>
    </w:p>
    <w:p>
      <w:pPr>
        <w:spacing w:after="100"/>
      </w:pPr>
      <w:r>
        <w:rPr>
          <w:b/>
        </w:rPr>
        <w:t xml:space="preserve">Finanzas.</w:t>
      </w:r>
      <w:r>
        <w:t xml:space="preserve"> El crecimiento orgánico fue del 8,9 % en 2025 y del 7,8 % en el 1S26, pero en francos solo del 4,1 % y del 2,3 %: la divisa resta ≈5 puntos y ≈1,2 de margen [1, 3]. La caja libre fue de 290 M en 2025 (11,1 % de las ventas) por un capex alto del 8,6 %; la deuda neta es casi nula. El beneficio IFRS (≈356 M) queda ≈120 M por debajo del core [2].</w:t>
      </w:r>
    </w:p>
    <w:p>
      <w:pPr>
        <w:spacing w:after="100"/>
      </w:pPr>
      <w:r>
        <w:rPr>
          <w:b/>
        </w:rPr>
        <w:t xml:space="preserve">Equipo y gobierno.</w:t>
      </w:r>
      <w:r>
        <w:t xml:space="preserve"> En 2026 coinciden la salida del fundador del consejo y el relevo del primer ejecutivo (Norbye desde el 1-dic); el bono de retención solo obtuvo un 74 % de votos [31]. Sin accionista de control: los dos fundadores suman el 25,7 % [21].</w:t>
      </w:r>
    </w:p>
    <w:p>
      <w:pPr>
        <w:spacing w:after="100"/>
      </w:pPr>
      <w:r>
        <w:rPr>
          <w:b/>
        </w:rPr>
        <w:t xml:space="preserve">Valoración.</w:t>
      </w:r>
      <w:r>
        <w:t xml:space="preserve"> El DCF da 75,15 CHF y el DCF inverso dice que el precio descuenta un crecimiento del 9,3 % anual de 2027e a 2032e, frente al 6,2 % de nuestro base: exigente. Con la prima implícita del mercado (4,2 %) el valor sube a 92,49 CHF, el precio. Los comparables cotizan a ≈23x frente a 26,2x de Straumann. El PER core está en mínimos de su historia limpia (28,6x frente a una mediana de 34,9x), y por eso el objetivo a 12 meses, que usa el PER actual de 26,7x, sí da rentabilidad: es apuesta por el crecimiento del BPA (≈10 % anual hasta 2028e), no por la expansión del múltiplo. Nuestro base queda un 12,5 % por debajo del consenso porque proyectamos menos ventas en francos.</w:t>
      </w:r>
    </w:p>
    <w:p>
      <w:pPr>
        <w:spacing w:after="100"/>
      </w:pPr>
      <w:r>
        <w:rPr>
          <w:b/>
        </w:rPr>
        <w:t xml:space="preserve">Riesgos y catalizadores.</w:t>
      </w:r>
      <w:r>
        <w:t xml:space="preserve"> El mayor riesgo es la segunda licitación de implantes en China, que puede favorecer a los locales (APAC creció un 0,5 % en el 1T26) [16]; el segundo, el franco. Catalizadores: ventas del 3T26 el 28-oct, llegada de Norbye el 1-dic y resultados y guía en febrero de 2027. Los foros están divididos y no señalan un riesgo nuevo.</w:t>
      </w:r>
    </w:p>
    <w:p>
      <w:pPr>
        <w:spacing w:after="100"/>
      </w:pPr>
      <w:r>
        <w:rPr>
          <w:b/>
        </w:rPr>
        <w:t xml:space="preserve">Qué cambiaría la decisión.</w:t>
      </w:r>
      <w:r>
        <w:t xml:space="preserve"> Compraríamos por debajo de 75,97 CHF, donde el precio quedaría bajo el valor intrínseco y, con el objetivo de hoy fijo, la ponderada y la base superarían el 15 % y el 12 %; venderíamos por encima de 117,05 CHF. Pasaríamos a Comprar si el BPA core de 2026 supera 3,40 CHF con guía de margen al alza para 2027, y a Vender si APAC cae dos trimestres o el nuevo CEO rebaja los objetivos.</w:t>
      </w:r>
    </w:p>
    <w:p>
      <w:r>
        <w:br w:type="page"/>
      </w:r>
    </w:p>
    <w:p>
      <w:pPr>
        <w:pStyle w:val="Heading1"/>
      </w:pPr>
      <w:r>
        <w:t xml:space="preserve">Resumen ejecutivo</w:t>
      </w:r>
    </w:p>
    <w:p>
      <w:pPr>
        <w:pStyle w:val="Confianza"/>
        <w:spacing w:after="100"/>
      </w:pPr>
      <w:r>
        <w:t xml:space="preserve">Confianza: Baja</w:t>
      </w:r>
    </w:p>
    <w:p>
      <w:pPr>
        <w:spacing w:after="100"/>
      </w:pPr>
      <w:r>
        <w:rPr>
          <w:b/>
          <w:bCs/>
        </w:rPr>
        <w:t xml:space="preserve">Recomendación: Mantener</w:t>
      </w:r>
      <w:r>
        <w:t xml:space="preserve"> · Convicción: Baja · Horizonte: 12 meses · Objetivo a 12 meses: </w:t>
      </w:r>
      <w:r>
        <w:rPr>
          <w:b/>
          <w:bCs/>
        </w:rPr>
        <w:t xml:space="preserve">104,34 CHF</w:t>
      </w:r>
      <w:r>
        <w:t xml:space="preserve"> (rentabilidad +14,5 % (base +10,2 %)) · Valor intrínseco: 75,97 CHF (-17,4 % sobre 92,00) · con la prima implícita del mercado: 92,49 (+0,5 %)</w:t>
      </w:r>
    </w:p>
    <w:p>
      <w:pPr>
        <w:spacing w:after="100"/>
      </w:pPr>
      <w:r>
        <w:t xml:space="preserve">Straumann es el líder mundial de implantes dentales, con un 32 % de cuota, un margen bruto del 70 % y un ROIC del 25,6 %; crece al 8-9 % orgánico en un mercado que lo hará al 7-8 % durante una década [1, 24, 26]. Su foso (evidencia clínica, costes de cambio de los componentes y ecosistema digital) es amplio y estable.</w:t>
      </w:r>
    </w:p>
    <w:p>
      <w:pPr>
        <w:spacing w:after="100"/>
      </w:pPr>
      <w:r>
        <w:t xml:space="preserve">El precio (92,00 CHF, 26,2x el BPA de los próximos 12 meses) descuenta un crecimiento del 9,3 % anual hasta 2032, más del que esperamos (6,2 %) y del previsto para el mercado; el DCF da 75,15 CHF con nuestro WACC y 92,49 CHF con la prima de riesgo que hoy pide el mercado.</w:t>
      </w:r>
    </w:p>
    <w:p>
      <w:pPr>
        <w:spacing w:after="100"/>
      </w:pPr>
      <w:r>
        <w:t xml:space="preserve">El mercado acierta al pagar calidad, pero lleva cuatro años sin que el BPA crezca por la divisa, China y el capex. Para invertir hay que creer que el BPA core sube un 10 % anual hasta 2028 y que el franco deja de restar: entonces el PER actual basta para ganar un 10 % al año. No da margen de seguridad frente al valor intrínseco.</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2028e, ponderado 25/50/25)</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104,34 CHF</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22,7x × 3,35 = 76,05 · 26,7x × 3,76 = 100,39 · 34,7x × 4,05 = 140,54</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14,5 % / 10,2 %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114,75 (nuestro base -12,5 %)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75,97 CHF</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-3,3 % / -42,2 %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-0,08x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6,3 % frente a 7,4 % y 6,0 %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6,0 %)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92,49 CHF</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0,96x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anual implícito en el precio (2027e-2032e) frente al previsto para su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9,3 % frente a 6,9 %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 (5,7 %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(las reglas discrepan (absoluta Vender, relativa Mantener))</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Baja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75,97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75,97 y 117,05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117,05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Precio por debajo de 75,97 CHF: pasaríamos a Comprar (valor intrínseco ≥ precio; con el objetivo fijo, ponderada &gt; 15 % y base &gt; 12 %).</w:t>
      </w:r>
    </w:p>
    <w:p>
      <w:pPr>
        <w:pStyle w:val="ListParagraph"/>
        <w:numPr>
          <w:ilvl w:val="0"/>
          <w:numId w:val="2"/>
        </w:numPr>
        <w:spacing w:after="60"/>
      </w:pPr>
      <w:r>
        <w:t xml:space="preserve">Precio por encima de 117,05 CHF: Vender.</w:t>
      </w:r>
    </w:p>
    <w:p>
      <w:pPr>
        <w:pStyle w:val="ListParagraph"/>
        <w:numPr>
          <w:ilvl w:val="0"/>
          <w:numId w:val="2"/>
        </w:numPr>
        <w:spacing w:after="60"/>
      </w:pPr>
      <w:r>
        <w:t xml:space="preserve">BPA core de 2026 por encima de 3,40 CHF con guía de margen al alza para 2027: revisaríamos al alza la base.</w:t>
      </w:r>
    </w:p>
    <w:p>
      <w:pPr>
        <w:pStyle w:val="ListParagraph"/>
        <w:numPr>
          <w:ilvl w:val="0"/>
          <w:numId w:val="2"/>
        </w:numPr>
        <w:spacing w:after="60"/>
      </w:pPr>
      <w:r>
        <w:t xml:space="preserve">Crecimiento de APAC negativo en el 3T26 o en el 4T26: rebajaríamos a la mitad la probabilidad del alcista.</w:t>
      </w:r>
    </w:p>
    <w:p>
      <w:pPr>
        <w:pStyle w:val="Heading2"/>
      </w:pPr>
      <w:r>
        <w:t xml:space="preserve">Dónde discrepamos del mercado</w:t>
      </w:r>
    </w:p>
    <w:p>
      <w:pPr>
        <w:keepNext/>
        <w:spacing w:after="100"/>
      </w:pPr>
      <w:r>
        <w:rPr>
          <w:b/>
          <w:bCs/>
        </w:rPr>
        <w:t xml:space="preserve">Lo que descuenta el precio.</w:t>
      </w:r>
    </w:p>
    <w:p>
      <w:pPr>
        <w:spacing w:after="100"/>
      </w:pPr>
      <w:r>
        <w:t xml:space="preserve">Que Straumann volverá a crecer al ritmo de 2022-2024 (≈9 % anual) y que su prima sobre los comparables se mantiene; los analistas, con un objetivo medio de 114,75 CHF, esperan un BPA de 4,17 CHF en 2028.</w:t>
      </w:r>
    </w:p>
    <w:p>
      <w:pPr>
        <w:keepNext/>
        <w:spacing w:after="100"/>
      </w:pPr>
      <w:r>
        <w:rPr>
          <w:b/>
          <w:bCs/>
        </w:rPr>
        <w:t xml:space="preserve">Lo que creemos nosotros.</w:t>
      </w:r>
    </w:p>
    <w:p>
      <w:pPr>
        <w:spacing w:after="100"/>
      </w:pPr>
      <w:r>
        <w:t xml:space="preserve">El negocio es igual de bueno, pero la divisa y China dejan el crecimiento en francos en el 6-7 % y el BPA de 2028e en 3,76 CHF; a nuestro coste de capital el valor es de 75,97 CHF.</w:t>
      </w:r>
    </w:p>
    <w:p>
      <w:pPr>
        <w:keepNext/>
        <w:spacing w:after="100"/>
      </w:pPr>
      <w:r>
        <w:rPr>
          <w:b/>
          <w:bCs/>
        </w:rPr>
        <w:t xml:space="preserve">Por qué podemos tener razón.</w:t>
      </w:r>
    </w:p>
    <w:p>
      <w:pPr>
        <w:spacing w:after="100"/>
      </w:pPr>
      <w:r>
        <w:t xml:space="preserve">Cuatro años de BPA plano con crecimiento orgánico alto demuestran que la divisa no es un efecto pasajero para una empresa con costes en francos; el consenso de ingresos ya ha bajado de 2.818 a 2.749 M para 2026 desde diciembre [32].</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CHF) · precio actual 92,0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75,15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80,45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73,11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r>
    </w:tbl>
    <w:p>
      <w:pPr>
        <w:spacing w:after="160" w:before="0"/>
      </w:pPr>
    </w:p>
    <w:p>
      <w:pPr>
        <w:pStyle w:val="Heading2"/>
      </w:pPr>
      <w:r>
        <w:t xml:space="preserve">A favor</w:t>
      </w:r>
    </w:p>
    <w:p>
      <w:pPr>
        <w:pStyle w:val="ListParagraph"/>
        <w:numPr>
          <w:ilvl w:val="0"/>
          <w:numId w:val="2"/>
        </w:numPr>
        <w:spacing w:after="60"/>
      </w:pPr>
      <w:r>
        <w:rPr>
          <w:b/>
        </w:rPr>
        <w:t xml:space="preserve">Líder con foso amplio</w:t>
      </w:r>
      <w:r>
        <w:t xml:space="preserve">: &gt;32 % de cuota mundial y margen bruto del 70 % [24, 26].</w:t>
      </w:r>
    </w:p>
    <w:p>
      <w:pPr>
        <w:pStyle w:val="ListParagraph"/>
        <w:numPr>
          <w:ilvl w:val="0"/>
          <w:numId w:val="2"/>
        </w:numPr>
        <w:spacing w:after="60"/>
      </w:pPr>
      <w:r>
        <w:rPr>
          <w:b/>
        </w:rPr>
        <w:t xml:space="preserve">ROIC del 25,6 %</w:t>
      </w:r>
      <w:r>
        <w:t xml:space="preserve">, más de 18 puntos por encima del WACC.</w:t>
      </w:r>
    </w:p>
    <w:p>
      <w:pPr>
        <w:pStyle w:val="ListParagraph"/>
        <w:numPr>
          <w:ilvl w:val="0"/>
          <w:numId w:val="2"/>
        </w:numPr>
        <w:spacing w:after="60"/>
      </w:pPr>
      <w:r>
        <w:rPr>
          <w:b/>
        </w:rPr>
        <w:t xml:space="preserve">PER en mínimos</w:t>
      </w:r>
      <w:r>
        <w:t xml:space="preserve">: 28,6x los últimos 12 meses frente a una mediana histórica de 34,9x.</w:t>
      </w:r>
    </w:p>
    <w:p>
      <w:pPr>
        <w:pStyle w:val="ListParagraph"/>
        <w:numPr>
          <w:ilvl w:val="0"/>
          <w:numId w:val="2"/>
        </w:numPr>
        <w:spacing w:after="60"/>
      </w:pPr>
      <w:r>
        <w:rPr>
          <w:b/>
        </w:rPr>
        <w:t xml:space="preserve">Guía de margen al alza</w:t>
      </w:r>
      <w:r>
        <w:t xml:space="preserve">: +140-170 pb a tipos constantes en 2026, confirmada en agosto [3, 15].</w:t>
      </w:r>
    </w:p>
    <w:p>
      <w:pPr>
        <w:pStyle w:val="ListParagraph"/>
        <w:numPr>
          <w:ilvl w:val="0"/>
          <w:numId w:val="2"/>
        </w:numPr>
        <w:spacing w:after="60"/>
      </w:pPr>
      <w:r>
        <w:rPr>
          <w:b/>
        </w:rPr>
        <w:t xml:space="preserve">Balance sin deuda neta</w:t>
      </w:r>
      <w:r>
        <w:t xml:space="preserve"> y caja libre del 11-12 % de las ventas [2, 3].</w:t>
      </w:r>
    </w:p>
    <w:p>
      <w:pPr>
        <w:pStyle w:val="Heading2"/>
      </w:pPr>
      <w:r>
        <w:t xml:space="preserve">En contra</w:t>
      </w:r>
    </w:p>
    <w:p>
      <w:pPr>
        <w:pStyle w:val="ListParagraph"/>
        <w:numPr>
          <w:ilvl w:val="0"/>
          <w:numId w:val="2"/>
        </w:numPr>
        <w:spacing w:after="60"/>
      </w:pPr>
      <w:r>
        <w:rPr>
          <w:b/>
        </w:rPr>
        <w:t xml:space="preserve">BPA core plano</w:t>
      </w:r>
      <w:r>
        <w:t xml:space="preserve"> desde 2021 (2,85 a 3,00 CHF) [10, 11].</w:t>
      </w:r>
    </w:p>
    <w:p>
      <w:pPr>
        <w:pStyle w:val="ListParagraph"/>
        <w:numPr>
          <w:ilvl w:val="0"/>
          <w:numId w:val="2"/>
        </w:numPr>
        <w:spacing w:after="60"/>
      </w:pPr>
      <w:r>
        <w:rPr>
          <w:b/>
        </w:rPr>
        <w:t xml:space="preserve">Valor intrínseco de 75,97 CHF</w:t>
      </w:r>
      <w:r>
        <w:t xml:space="preserve">, un 17,4 % bajo el precio.</w:t>
      </w:r>
    </w:p>
    <w:p>
      <w:pPr>
        <w:pStyle w:val="ListParagraph"/>
        <w:numPr>
          <w:ilvl w:val="0"/>
          <w:numId w:val="2"/>
        </w:numPr>
        <w:spacing w:after="60"/>
      </w:pPr>
      <w:r>
        <w:rPr>
          <w:b/>
        </w:rPr>
        <w:t xml:space="preserve">China</w:t>
      </w:r>
      <w:r>
        <w:t xml:space="preserve">: APAC creció un 0,5 % en el 1T26 y la licitación puede favorecer a los locales [16].</w:t>
      </w:r>
    </w:p>
    <w:p>
      <w:pPr>
        <w:pStyle w:val="ListParagraph"/>
        <w:numPr>
          <w:ilvl w:val="0"/>
          <w:numId w:val="2"/>
        </w:numPr>
        <w:spacing w:after="60"/>
      </w:pPr>
      <w:r>
        <w:rPr>
          <w:b/>
        </w:rPr>
        <w:t xml:space="preserve">Divisa</w:t>
      </w:r>
      <w:r>
        <w:t xml:space="preserve">: resta ≈5 puntos de crecimiento y ≈1,2 de margen [3].</w:t>
      </w:r>
    </w:p>
    <w:p>
      <w:pPr>
        <w:pStyle w:val="ListParagraph"/>
        <w:numPr>
          <w:ilvl w:val="0"/>
          <w:numId w:val="2"/>
        </w:numPr>
        <w:spacing w:after="60"/>
      </w:pPr>
      <w:r>
        <w:rPr>
          <w:b/>
        </w:rPr>
        <w:t xml:space="preserve">Doble relevo</w:t>
      </w:r>
      <w:r>
        <w:t xml:space="preserve"> (fundador y CEO) en 2026 con un bono de retención al 74 % de votos [31].</w:t>
      </w:r>
    </w:p>
    <w:p>
      <w:pPr>
        <w:pStyle w:val="Heading2"/>
      </w:pPr>
      <w:r>
        <w:t xml:space="preserve">Qué tiene que pasar para que la tesis funcione</w:t>
      </w:r>
    </w:p>
    <w:p>
      <w:pPr>
        <w:spacing w:after="100"/>
      </w:pPr>
      <w:r>
        <w:t xml:space="preserve">La tesis depende de que el BPA core crezca al 10 % anual hasta 2028e (de 3,00 a 3,76 CHF). La señal de que no se cumple sería un margen EBIT core publicado de 2026 por debajo del 25 %, APAC por debajo del 3 % orgánico dos trimestres seguidos o una rebaja de los objetivos a medio plazo del nuevo CEO en febrero de 2027.</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orgánico del grupo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6 %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del crecimiento del BPA.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EBIT core publicado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25,7 % (1S26)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25 % en 2026</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de +140-170 pb.</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orgánico de APAC</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 (1T26)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0 % dos trimestres</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Licitación china.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Diferencia orgánico − francos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puntos (1S26)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&gt; 6 puntos</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Efecto divisa.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Caja libre sobre ventas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12,2 % (1S26)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&lt; 10 %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 del ciclo de capex.</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18,7x / n.d.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28,6x / 26,2x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22,7x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5,62x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(2021-2025)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6,5 %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30,1 %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7,4 %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0,2x · 0,2x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 de 13 (4 sin dato)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Media</w:t>
      </w:r>
    </w:p>
    <w:p>
      <w:pPr>
        <w:spacing w:after="100"/>
      </w:pPr>
      <w:r>
        <w:t xml:space="preserve">Fundada en 1954 en Waldenburg (Suiza) como instituto de investigación de metalurgia, Straumann se especializó en implantes dentales en los años setenta y salió a bolsa en 1998. Desde 2012 ha pasado de ser un fabricante premium a un grupo multimarca: compró Neodent (Brasil) para entrar en el segmento de valor, añadió Anthogyr, Medentika y ClearCorrect (ortodoncia invisible) y escáneres y software digitales. La apuesta por la ortodoncia directa al paciente (DrSmile) terminó en una pérdida de 202 M en 2023 y su venta en 2024. En 2022 desdobló la acción 1:10. En 2026 el fundador Thomas Straumann dejó el consejo y Christopher Norbye sustituirá a Guillaume Daniellot como primer ejecutivo el 1-dic-2026 [18, 21, 22].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1954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Reinhard Straumann funda el instituto en Waldenburg [21].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1998</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Salida a bolsa en la SIX [21].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2012-2015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Entrada en Neodent (Brasil), base del negocio de valor en Latinoamérica y Asia [21].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2017</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ClearCorrect: entrada en la ortodoncia invisible [21].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Desdoblamiento 1:10 de la acción (20-abr-2022) [11].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2023-2024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DrSmile pasa a operación interrumpida (−202 M en 2023) y se vende [5].</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Thomas Straumann deja la presidencia de honor del consejo; Petra Rumpf, presidenta; Norbye, CEO desde el 1-dic [18, 22].</w:t>
            </w:r>
          </w:p>
        </w:tc>
      </w:tr>
    </w:tbl>
    <w:p>
      <w:pPr>
        <w:spacing w:after="160" w:before="0"/>
      </w:pPr>
    </w:p>
    <w:p>
      <w:pPr>
        <w:pStyle w:val="Heading1"/>
      </w:pPr>
      <w:r>
        <w:t xml:space="preserve">2. Modelo de negocio</w:t>
      </w:r>
    </w:p>
    <w:p>
      <w:pPr>
        <w:pStyle w:val="Confianza"/>
        <w:spacing w:after="100"/>
      </w:pPr>
      <w:r>
        <w:t xml:space="preserve">Confianza: Media</w:t>
      </w:r>
    </w:p>
    <w:p>
      <w:pPr>
        <w:spacing w:after="100"/>
      </w:pPr>
      <w:r>
        <w:t xml:space="preserve">Straumann es el mayor fabricante mundial de implantes dentales y uno de los primeros de ortodoncia invisible. Vende implantes, pilares y prótesis (marcas Straumann en premium y Neodent, Anthogyr y Medentika en el segmento de valor), biomateriales para regenerar hueso, alineadores transparentes (ClearCorrect) y un ecosistema digital (escáneres intraorales, software de planificación, fresado e impresión 3D). Sus clientes son clínicas dentales, cirujanos maxilofaciales, ortodoncistas y laboratorios en más de 100 países, a los que llega sobre todo con fuerza de ventas propia. EMEA es la primera región (≈43 % de las ventas), seguida de Norteamérica, Asia-Pacífico (con China) y Latinoamérica [2, 23].</w:t>
      </w:r>
    </w:p>
    <w:p>
      <w:pPr>
        <w:pStyle w:val="Heading2"/>
      </w:pPr>
      <w:r>
        <w:t xml:space="preserve">Cómo gana dinero</w:t>
      </w:r>
    </w:p>
    <w:p>
      <w:pPr>
        <w:spacing w:after="100"/>
      </w:pPr>
      <w:r>
        <w:t xml:space="preserve">El implante es un producto de bajo coste de fabricación y precio alto: el margen bruto ronda el 70 % [24]. El beneficio depende del volumen de tratamientos (pacientes que pagan de su bolsillo, sensible a la confianza del consumidor), de la mezcla premium/valor (el valor crece más, pero con menos margen) y de la divisa: más del 95 % de las ventas está fuera de Suiza y los costes en francos pesan, por lo que el franco fuerte resta ≈1,3 puntos de margen en 2025. Los consumibles y la recompra de componentes por los mismos dentistas dan ingresos muy recurrentes; la formación clínica fideliza [2, 23].</w:t>
      </w:r>
    </w:p>
    <w:p>
      <w:pPr>
        <w:pStyle w:val="Heading2"/>
      </w:pPr>
      <w:r>
        <w:t xml:space="preserve">Segmentos (2025)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78"/>
        <w:gridCol w:w="1320"/>
        <w:gridCol w:w="1320"/>
        <w:gridCol w:w="1320"/>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Grupo (un solo segmento operativo publicado por regiones)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2.605</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100,0 %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CHF,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25"/>
        <w:gridCol w:w="1302"/>
        <w:gridCol w:w="1302"/>
        <w:gridCol w:w="1302"/>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2021</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2022</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2023</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2024</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Grupo (un solo segmento operativo publicado por regiones)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2.022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2.321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2.277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2.504</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2.605</w:t>
            </w:r>
          </w:p>
        </w:tc>
      </w:tr>
    </w:tbl>
    <w:p>
      <w:pPr>
        <w:spacing w:after="160" w:before="0"/>
      </w:pPr>
    </w:p>
    <w:p>
      <w:pPr>
        <w:pStyle w:val="Heading2"/>
      </w:pPr>
      <w:r>
        <w:t xml:space="preserve">Clientes, recurrencia y poder de precios</w:t>
      </w:r>
    </w:p>
    <w:p>
      <w:pPr>
        <w:spacing w:after="100"/>
      </w:pPr>
      <w:r>
        <w:t xml:space="preserve">Muy atomizados: decenas de miles de clínicas, ningún cliente relevante. El poder de precios se ve en el margen bruto estable (≈70 %) y en que el grupo absorbió los aranceles de EE. UU. de 2025-2026 y aun así elevó la guía de margen (+140-170 puntos básicos a tipos constantes) [15, 24]. En China, la compra centralizada (VBP) de 2023 bajó los precios de los implantes un 50-60 % pero multiplicó el volumen; la segunda ronda, retrasada a 2026, puede favorecer a los fabricantes locales [25].</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orgánico del grupo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8,9 % (2025); 7,8 % en el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 puntos</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Normalización tras el rebote pospandemia; el 2T26 acelera al 8,5 % [1, 3, 9].</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EBIT core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25,2 % (2025); 25,7 % en el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 puntos</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Divisa: a tipos constantes 26,5 % en 2025 y 26,9 % en el 1S26 [1, 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Caja libre sobre ventas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n.d.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11,1 % (2025); 12,2 % en el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puntos</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Ciclo de capex alto en 2025 (8,6 % de las ventas) [2, 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sobre ventas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6,7 % (2024, estimación con el estado de flujos)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puntos</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Ampliaciones de capacidad y digital [2, 6].</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orgánico de EMEA</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 (1T25)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15,3 % (4T25)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puntos</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región más grande (~43 % de las ventas) [1, 17].</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orgánico de China</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débil en 2025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+0,5 % en APAC en el 1T26 por el retraso de la segunda licitación centralizada (VBP)</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China, el grupo habría crecido ~10 % en el 1T26 [16].</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Mercado mundial de implantes dentales (implantes y pilares), el que más pesa en el beneficio de Straumann. Las estimaciones varían por perímetro: 4.000 M USD (iData, solo implantes) a 7.000 M USD con pilares finales; uso como referencia Global Market Insights (5.200 M USD en 2025) porque publica también cuotas [26, 27]. La ortodoncia invisible es otro mercado (Align domina) que no se suma aquí.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≈5.200 M USD en 2025 (Global Market Insights), 5.640 M USD (Market Research Future) [26, 28]</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Recuperación</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6,9 %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los 5 primeros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Concentrada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4" name="Gráfico 4" descr="Tamaño del mercado (millones de USD)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Envejecimiento y pérdida de piezas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Previsiones de 6,9-8,3 % anual hasta 2034-2035 [26, 28].</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Penetración baja en países emergentes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China multiplicó volúmenes tras la VBP de 2023; Latinoamérica crece a doble dígito [23, 25].</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Pago del bolsillo del paciente</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Norteamérica creció solo 1,8 % orgánico en el 1T25 con consumo débil, y 7,7 % en el 1T26 [16, 23].</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 centralizada en China (VBP)</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Segunda ronda retrasada; APAC creció 0,5 % en el 1T26 [16, 25].</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Digitalización del flujo clínico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Escáneres y planificación digital fidelizan al dentista y suben el ticket [2].</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5" name="Gráfico 5"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Cuatro grandes (Straumann, Envista/Nobel, Dentsply Sirona, Osstem) con el 80 % del mercado, pero guerra de precios en el segmento de valor [26].</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Clientes atomizados; solo los compradores públicos chinos (VBP) negocian precio [25].</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Titanio y cerámica, coste pequeño frente al precio (margen bruto ≈70 %) [24].</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Barreras clínicas y regulatorias en premium; fabricantes coreanos y chinos entran por precio [26].</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Puentes y prótesis removibles son peores clínicamente; el implante gana cuota a largo plazo [26].</w:t>
            </w:r>
          </w:p>
        </w:tc>
      </w:tr>
    </w:tbl>
    <w:p>
      <w:pPr>
        <w:spacing w:after="160" w:before="0"/>
      </w:pPr>
    </w:p>
    <w:p>
      <w:pPr>
        <w:pStyle w:val="Heading2"/>
      </w:pPr>
      <w:r>
        <w:t xml:space="preserve">Ciclo</w:t>
      </w:r>
    </w:p>
    <w:p>
      <w:pPr>
        <w:spacing w:after="100"/>
      </w:pPr>
      <w:r>
        <w:t xml:space="preserve">Tras el pico pospandemia (2021-2022, crecimiento orgánico del 15,7 % en 2022) el mercado se enfrió en 2023-2025 con el consumo débil en EE. UU. y China; en 2026 Norteamérica vuelve al 7-8 % orgánico. En 2008-09 y en 2020 los tratamientos electivos cayeron de forma brusca y se recuperaron en uno o dos años; el mercado no tiene ciclo de inventario largo [10, 16, 23].</w:t>
      </w:r>
    </w:p>
    <w:p>
      <w:pPr>
        <w:pStyle w:val="Heading2"/>
      </w:pPr>
      <w:r>
        <w:t xml:space="preserve">Regulación</w:t>
      </w:r>
    </w:p>
    <w:p>
      <w:pPr>
        <w:spacing w:after="100"/>
      </w:pPr>
      <w:r>
        <w:t xml:space="preserve">Reglamento europeo de productos sanitarios (MDR) que encarece la certificación de los fabricantes pequeños; aranceles de EE. UU. sobre importaciones suizas (2025-2026), que Straumann absorbió mejor de lo esperado y por los que subió la guía en junio de 2026; segunda ronda de compra centralizada de implantes en China, retrasada a 2026, en la que los productos locales pueden tener preferencia [15, 25].</w:t>
      </w:r>
    </w:p>
    <w:p>
      <w:pPr>
        <w:pStyle w:val="Heading2"/>
      </w:pPr>
      <w:r>
        <w:t xml:space="preserve">Tendencias y disrupción</w:t>
      </w:r>
    </w:p>
    <w:p>
      <w:pPr>
        <w:spacing w:after="100"/>
      </w:pPr>
      <w:r>
        <w:t xml:space="preserve">Flujo digital (escáner intraoral, planificación guiada, impresión 3D) que favorece a quien tiene el ecosistema completo; segmento de valor que crece más rápido que el premium, donde Straumann compite con Neodent; fabricantes coreanos (Osstem, Dentium, Megagen) y chinos que ganan cuota en Asia; consolidación de clínicas (DSO) que compran con volumen [26, 27].</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32,0 %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1.º mundial en implantes dentales (&gt;32 % en 2024); también relevante en ortodoncia invisible (2.º-3.º tras Align)</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Amplio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59"/>
        <w:gridCol w:w="847"/>
        <w:gridCol w:w="953"/>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Envista (Nobel Biocare, Implant Direct)</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NVST</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N.º 2 en implantes, a pocos puntos de Straumann en implantes y pilares según iData [27].</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Dentsply Sirona (MIS, Astra Tech)</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XRAY</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N.º 3; MIS en el segmento de valor [26].</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Osstem Implant</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Corea del Sur</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Líder en Asia por precio; excluido de bolsa tras la OPA de MBK en 2023 [26].</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Align Technology</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ALGN</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Líder en alineadores (Invisalign) y escáneres iTero; competidor de ClearCorrect [29].</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6" name="Gráfico 6"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7" name="Gráfico 7"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Red de formación clínica (ITI) y comunidad de dentistas que forman a otros en el sistema Straumann [6].</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Componentes protésicos y kits quirúrgicos propios: el dentista que coloca el implante compra los pilares durante años [6].</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Marca premium con evidencia clínica de décadas; cuota del 32 % y margen bruto ≈70 % estables [8, 11].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Neodent y producción en Brasil y China permiten competir en valor [6].</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Fuerza de ventas directa y logística global que los nuevos no igualan [11].</w:t>
            </w:r>
          </w:p>
        </w:tc>
      </w:tr>
    </w:tbl>
    <w:p>
      <w:pPr>
        <w:spacing w:after="160" w:before="0"/>
      </w:pPr>
    </w:p>
    <w:p>
      <w:pPr>
        <w:pStyle w:val="Heading2"/>
      </w:pPr>
      <w:r>
        <w:t xml:space="preserve">Amenazas</w:t>
      </w:r>
    </w:p>
    <w:p>
      <w:pPr>
        <w:spacing w:after="100"/>
      </w:pPr>
      <w:r>
        <w:t xml:space="preserve">La principal es el precio en China: una segunda VBP que prime a los locales recortaría volumen y precio en el mercado que más crecía (probabilidad media). La segunda, la entrada de fabricantes coreanos y chinos en el segmento de valor fuera de Asia (Latinoamérica, Europa del Este), que presiona a Neodent. La tercera, la consolidación de clínicas (DSO) en EE. UU., que negocian precio [25, 26].</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90"/>
        <w:gridCol w:w="973"/>
        <w:gridCol w:w="778"/>
        <w:gridCol w:w="876"/>
        <w:gridCol w:w="827"/>
        <w:gridCol w:w="827"/>
        <w:gridCol w:w="778"/>
        <w:gridCol w:w="827"/>
        <w:gridCol w:w="681"/>
        <w:gridCol w:w="681"/>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0,68</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0,80</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0,85</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796</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0,95</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2.605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797</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r>
    </w:tbl>
    <w:p>
      <w:pPr>
        <w:spacing w:after="160" w:before="0"/>
      </w:pPr>
    </w:p>
    <w:p>
      <w:pPr>
        <w:spacing w:after="100"/>
      </w:pPr>
      <w:r>
        <w:t xml:space="preserve">Crecimiento anual compuesto 2021-2025: ingresos </w:t>
      </w:r>
      <w:r>
        <w:rPr>
          <w:b/>
          <w:bCs/>
        </w:rPr>
        <w:t xml:space="preserve">6,5 %</w:t>
      </w:r>
      <w:r>
        <w:t xml:space="preserve">, EBITDA </w:t>
      </w:r>
      <w:r>
        <w:rPr>
          <w:b/>
          <w:bCs/>
        </w:rPr>
        <w:t xml:space="preserve">n.d.</w:t>
      </w:r>
      <w:r>
        <w:t xml:space="preserve">, BPA </w:t>
      </w:r>
      <w:r>
        <w:rPr>
          <w:b/>
          <w:bCs/>
        </w:rPr>
        <w:t xml:space="preserve">1,3 %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8" name="Gráfico 8" descr="Ingresos y EBITDA (CHF,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spacing w:after="100"/>
      </w:pPr>
      <w:r>
        <w:t xml:space="preserve">Las ventas pasaron de 2.022 M en 2021 a 2.605 M en 2025 (con DrSmile fuera desde 2023): el crecimiento orgánico fue del 15,7 % en 2022, del 13,7 % en 2024 y del 8,9 % en 2025, pero el franco fuerte lo recorta mucho en la cifra publicada (+4,1 % en 2025 y +2,3 % en el 1S26, frente a +7,8 % orgánico) [1, 3, 9, 10]. El margen EBIT core bajó del 27,4 % de 2021 al 25,2 % de 2025; a tipos constantes fue del 26,5 %, así que casi toda la erosión es divisa (costes en francos, ventas en euros, dólares, reales y yuanes) [1, 10]. En 2026 la guía pide +140-170 puntos básicos a tipos constantes; el 1S26 dio un 26,9 % a tipos constantes y un 25,7 % publicado [3, 15]. El BPA core apenas se ha movido en cinco años (2,85 en 2021, 3,00 en 2025): el crecimiento orgánico se lo ha comido la divisa y el ciclo de inversión [9, 10, 11].</w:t>
      </w:r>
    </w:p>
    <w:p>
      <w:pPr>
        <w:pStyle w:val="Heading2"/>
      </w:pPr>
      <w:r>
        <w:t xml:space="preserve">Ajustes y partidas no recurrentes</w:t>
      </w:r>
    </w:p>
    <w:p>
      <w:pPr>
        <w:spacing w:after="100"/>
      </w:pPr>
      <w:r>
        <w:t xml:space="preserve">Usamos las cifras core de la empresa. La diferencia con el IFRS es la amortización de intangibles de compras (PPA), deterioros y reestructuración: ≈120 M en 2025 (BPA IFRS 2,23 frente a 3,00 core) y ≈43 M en 2024 (2,87 frente a 3,14) [1, 2, 5, 9]. En 2023 la pérdida de DrSmile (−202 M) va como operación interrumpida [5]. La amortización de PPA es recurrente mientras haya intangibles comprados, pero no es caja; la reestructuración de 2025 sí se ha repetido dos años y es la parte que más sobrestima el core.</w:t>
      </w:r>
    </w:p>
    <w:p>
      <w:pPr>
        <w:pStyle w:val="Heading1"/>
      </w:pPr>
      <w:r>
        <w:t xml:space="preserve">6. Resultados recientes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538"/>
        <w:gridCol w:w="1220"/>
        <w:gridCol w:w="1220"/>
        <w:gridCol w:w="1220"/>
        <w:gridCol w:w="976"/>
        <w:gridCol w:w="1464"/>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orgánico</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4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Frente al consenso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1S25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2S25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1S26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1.380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1,64</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Superior</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0" name="Gráfico 10"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pStyle w:val="Heading2"/>
      </w:pPr>
      <w:r>
        <w:t xml:space="preserve">Lo que dijo la dirección en las últimas presentaciones</w:t>
      </w:r>
    </w:p>
    <w:p>
      <w:pPr>
        <w:spacing w:after="100"/>
      </w:pPr>
      <w:r>
        <w:t xml:space="preserve">En el 2T26 (19-ago) el crecimiento orgánico aceleró al 8,5 % (7,1 % en el 1T26), con ventas de 707,0 M; el margen EBIT core del semestre fue del 25,7 % publicado y del 26,9 % a tipos constantes, y el beneficio core subió un 15,7 % hasta 262 M [3, 4, 14]. La dirección confirmó la guía elevada en junio (+140-170 pb de margen a tipos constantes), repartida por igual entre semestres, y anunció que Christopher Norbye sustituirá a Guillaume Daniellot como primer ejecutivo el 1-dic-2026 [18]. Frente a febrero, el discurso cambió de «prudencia por aranceles» a «aranceles menores de lo previsto» [15]. Las preguntas se centraron en China (APAC creció solo un 0,5 % en el 1T26 por el retraso de la segunda licitación centralizada) y en la divisa; sin China el grupo habría crecido ≈10 % [16]. La caja libre del semestre fue de 169 M (12,2 % de las ventas, +49 %) [3, 12].</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2.968</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3.373</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1.854</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3.322</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1.839</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3.619</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2.044</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3.758</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872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2.165</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166"/>
        <w:gridCol w:w="147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r>
    </w:tbl>
    <w:p>
      <w:pPr>
        <w:spacing w:after="160" w:before="0"/>
      </w:pPr>
    </w:p>
    <w:p>
      <w:pPr>
        <w:pStyle w:val="Nota"/>
        <w:spacing w:after="100"/>
      </w:pPr>
      <w:r>
        <w:t xml:space="preserve">Días de inventario y de pago calculados sobre el coste de ventas.</w:t>
      </w:r>
    </w:p>
    <w:p>
      <w:pPr>
        <w:pStyle w:val="Nota"/>
        <w:spacing w:after="100"/>
      </w:pPr>
      <w:r>
        <w:t xml:space="preserve">Cambio de perímetro (2023: DrSmile (alineadores directos al paciente) pasa a operación interrumpida y se vende en 2024: los ingresos de 2023 están reexpresados sin ella (2.277 M); 2021-2022 la incluyen. El BPA core de 2023 (2,76) es el publicado entonces, con DrSmile.). Los ratios de balance de ese año (días, circulante, deuda neta / EBITDA, ROIC) y los indicadores de calidad contable no son comparables con los anteriores.</w:t>
      </w:r>
    </w:p>
    <w:p>
      <w:pPr>
        <w:spacing w:after="100"/>
      </w:pPr>
      <w:r>
        <w:t xml:space="preserve">El balance es de caja neta casi nula: 504 M de caja frente a ≈509 M de deuda con arrendamientos al cierre de 2025, y 381 M de caja en junio de 2026 tras pagar el dividendo [2, 7, 19]. El patrimonio subió de 1.500 M (2021) a 2.165 M (2025) y el activo total, de 2.968 M a 3.758 M [8]. La caja bajó de 880 M en 2021 a 375 M en 2024 por el ciclo de capex y las compras de distribuidores; en 2025 se recupera. No hay presión financiera: el riesgo del balance es nulo frente al de la cuenta.</w:t>
      </w:r>
    </w:p>
    <w:p>
      <w:pPr>
        <w:pStyle w:val="Heading1"/>
      </w:pPr>
      <w:r>
        <w:t xml:space="preserve">8. Flujos de caja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83"/>
        <w:gridCol w:w="1107"/>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478</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1,76</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1" name="Gráfico 11" descr="Flujo de caja libre frente a beneficio neto (CHF,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spacing w:after="100"/>
      </w:pPr>
      <w:r>
        <w:t xml:space="preserve">Acumulado 2021-2025: FCF </w:t>
      </w:r>
      <w:r>
        <w:rPr>
          <w:b/>
          <w:bCs/>
        </w:rPr>
        <w:t xml:space="preserve">1.657</w:t>
      </w:r>
      <w:r>
        <w:t xml:space="preserve">, conversión </w:t>
      </w:r>
      <w:r>
        <w:rPr>
          <w:b/>
          <w:bCs/>
        </w:rPr>
        <w:t xml:space="preserve">70 %</w:t>
      </w:r>
      <w:r>
        <w:t xml:space="preserve"> del beneficio neto; adquisiciones 0, dividendos 615, recompras 0.</w:t>
      </w:r>
    </w:p>
    <w:p>
      <w:pPr>
        <w:spacing w:after="100"/>
      </w:pPr>
      <w:r>
        <w:t xml:space="preserve">El flujo operativo ha sido estable (415-560 M), pero el capex subió del 5,2 % de las ventas en 2021 al 8,6 % en 2025 (223 M con intangibles), y la caja libre de la empresa fue de 290 M en 2025 (11,1 % de las ventas): una conversión de ≈61 % del beneficio core [2, 6]. En el 1S26 la caja libre subió un 49 % a 169 M por menos capex [3, 19]. La dirección habla de un «ciclo alto de capex» (capacidad en implantes y alineadores y digital) que ya baja; estimación propia: el mantenimiento ronda la amortización (≈5,4 % de las ventas) y el resto (≈3 puntos) es crecimiento [2].</w:t>
      </w:r>
    </w:p>
    <w:p>
      <w:pPr>
        <w:pStyle w:val="Heading1"/>
      </w:pPr>
      <w:r>
        <w:t xml:space="preserve">9. Calidad contable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 (sin salvedades conocidas)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6,80</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segura (&gt; 2,99 seguro; &lt; 1,81 riesgo). No aplica a bancos ni aseguradoras, y subestima la solvencia de empresas con grandes anticipos de clientes o prefinanciación pública (contratistas, construcción), que inflan el pasivo.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 / 6</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Intermedio (4-6).</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1,05x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n.d.</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n.d.</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n.d.</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pStyle w:val="Heading2"/>
      </w:pPr>
      <w:r>
        <w:t xml:space="preserve">Ajustes, criterios contables y remuneración en acciones</w:t>
      </w:r>
    </w:p>
    <w:p>
      <w:pPr>
        <w:spacing w:after="100"/>
      </w:pPr>
      <w:r>
        <w:t xml:space="preserve">La calidad contable es buena pero la base core exige vigilancia: la distancia con el IFRS pasó de ≈43 M en 2024 a ≈120 M en 2025 por deterioros y reestructuración [1, 2, 9]. El Altman Z (6,80) sitúa a la empresa lejos de cualquier tensión; el Piotroski (5) es mediocre porque la cuenta y el balance llegan incompletos, y el Beneish no se puede calcular sin circulante. No hay señales de capitalización agresiva ni de cambios de criterio en las fuentes leídas; la venta de DrSmile limpió un negocio con pérdidas. Lo que más pesa es la divisa, que no es contable.</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Diferencia persistente entre beneficio core e IFRS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2025 el core (478 M) supera al IFRS (≈356 M) en ≈120 M por amortización de intangibles de compras, deterioros y reestructuración; en 2024 la distancia fue de ≈43 M (BPA core 3,14 frente a 2,87 IFRS) [1, 2, 5, 9].</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Ciberataque en abril de 2026</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acción cayó ≈2 % ese día; sin efecto visible en el 2T26 [20].</w:t>
            </w:r>
          </w:p>
        </w:tc>
      </w:tr>
    </w:tbl>
    <w:p>
      <w:pPr>
        <w:spacing w:after="160" w:before="0"/>
      </w:pPr>
    </w:p>
    <w:p>
      <w:pPr>
        <w:pStyle w:val="Heading1"/>
      </w:pPr>
      <w:r>
        <w:t xml:space="preserve">10. Rentabilidad sobre el capital</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126"/>
        <w:gridCol w:w="1126"/>
        <w:gridCol w:w="1251"/>
        <w:gridCol w:w="1251"/>
        <w:gridCol w:w="1251"/>
        <w:gridCol w:w="138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0,68x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0,73x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889</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0,68x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0,72x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1.549</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0,71x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1,75x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1.920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2" name="Gráfico 12"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rPr>
          <w:b/>
          <w:bCs/>
        </w:rPr>
        <w:t xml:space="preserve">ROIC incremental</w:t>
      </w:r>
      <w:r>
        <w:t xml:space="preserve"> (variación del NOPAT sobre variación del capital invertido en el periodo): 5,8 % · </w:t>
      </w:r>
      <w:r>
        <w:rPr>
          <w:b/>
          <w:bCs/>
        </w:rPr>
        <w:t xml:space="preserve">WACC</w:t>
      </w:r>
      <w:r>
        <w:t xml:space="preserve">: 7,4 %.</w:t>
      </w:r>
    </w:p>
    <w:p>
      <w:pPr>
        <w:spacing w:after="100"/>
      </w:pPr>
      <w:r>
        <w:t xml:space="preserve">Straumann crea mucho valor: el ROIC (NOPAT core entre capital invertido) es del 25,6 % en 2025 frente a un WACC del 7,41 %, más de 18 puntos de diferencia, aunque baja desde el 31,5 % de 2024 porque el capital invertido sube con el ciclo de capex y el NOPAT apenas crece. Lo mueve el margen (EBIT core del 25-27 %) más que la rotación (0,7 veces). El ROIC incremental que calcula el motor (5,8 %) no es representativo: el capital de 2021-2024 llega sin deuda y mezcla la pérdida de DrSmile. Frente a los comparables, solo Edwards y los audífonos premium se le acercan; Coloplast rinde un 11,9 % [39].</w:t>
      </w:r>
    </w:p>
    <w:p>
      <w:pPr>
        <w:pStyle w:val="Heading1"/>
      </w:pPr>
      <w:r>
        <w:t xml:space="preserve">11. Deuda y solvencia</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128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0,2x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0,2x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Caja de 504 M al cierre de 2025 y de 381 M a 30-jun-2026 (tras pagar 160 M de dividendo en abril) [2, 19]; deuda total de ≈509 M a cierre de 2025 según Stock Analysis (incluye arrendamientos) [7].</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Sin rating público localizado</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3" name="Gráfico 13"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pStyle w:val="Heading2"/>
      </w:pPr>
      <w:r>
        <w:t xml:space="preserve">Covenants, pasivos fuera de la deuda y contingencias</w:t>
      </w:r>
    </w:p>
    <w:p>
      <w:pPr>
        <w:spacing w:after="100"/>
      </w:pPr>
      <w:r>
        <w:t xml:space="preserve">No se han podido leer las notas del informe anual: sin datos de provisiones, garantías, pagos aplazados de compras ni opciones de venta de minoritarios. El grupo no tiene rating público ni covenants conocidos. La deuda total de 509 M de 2025 incluye arrendamientos según Stock Analysis [7]; Simply Wall St daba ≈231 M de deuda financiera a mediados de 2025, lo que dejaría ≈280 M de arrendamientos (estimación sin verificar).</w:t>
      </w:r>
    </w:p>
    <w:p>
      <w:pPr>
        <w:pStyle w:val="Heading1"/>
      </w:pPr>
      <w:r>
        <w:t xml:space="preserve">12. Asignación de capital</w:t>
      </w:r>
    </w:p>
    <w:p>
      <w:pPr>
        <w:pStyle w:val="Confianza"/>
        <w:spacing w:after="100"/>
      </w:pPr>
      <w:r>
        <w:t xml:space="preserve">Confianza: Media</w:t>
      </w:r>
    </w:p>
    <w:p>
      <w:pPr>
        <w:spacing w:after="100"/>
      </w:pPr>
      <w:r>
        <w:t xml:space="preserve">Dividendo de ≈1/3 del BPA core, creciente: 1,00 CHF por 2025 (+5 %, payout ≈33 %) [1]. Sin recompras: la caja se dedica a capex (8,6 % de las ventas en 2025) y a compras pequeñas de distribuidores y tecnología digital [2].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77"/>
        <w:gridCol w:w="1126"/>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159,1</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159,9</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159,5</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Usos de la caja (CHF,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15"/>
        <w:gridCol w:w="214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2024</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Venta de DrSmile (alineadores directos al paciente)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Desinversión</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Pérdida por operación interrumpida de 202 M en 2023: la apuesta por el canal directo al consumidor no funcionó [5].</w:t>
            </w:r>
          </w:p>
        </w:tc>
      </w:tr>
    </w:tbl>
    <w:p>
      <w:pPr>
        <w:spacing w:after="160" w:before="0"/>
      </w:pPr>
    </w:p>
    <w:p>
      <w:pPr>
        <w:spacing w:after="100"/>
      </w:pPr>
      <w:r>
        <w:t xml:space="preserve">La asignación de capital es correcta pero sin brillo en la última década: el ROIC sigue alto (25,6 % en 2025), pero el BPA core apenas ha subido desde 2021 (2,85 a 3,00) por la divisa, el ciclo de capex y la aventura de DrSmile, que costó 202 M de pérdida en 2023 [5, 9, 10]. No hay recompras y el dividendo crece despacio (payout ≈33 %) [1]. La caja libre acumulada se ha dedicado a capex y a comprar distribuidores; con caja neta nula, la empresa no tiene margen para recompras grandes sin deuda.</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Guillaume Daniellot</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 ejecutivo (hasta el 30-nov-2026)</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2021</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Bajo su mandato el grupo creció un 8,9 % orgánico en 2025 y elevó la guía de margen de 2026; deja el cargo en diciembre de 2026 [18, 30].</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Christopher Norbye</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 ejecutivo desde el 1-dic-2026</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Nombrado sucesor en la presentación del 1S26; trayectoria previa no verificada en las fuentes disponibles [18, 30].</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Petra Rumpf</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Presidenta del consejo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Reelegida presidenta en la junta del 17-abr-2026 con el 96,73 % de los votos [31].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Thomas Straumann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Presidente de honor (fuera del consejo desde abril de 2026)</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15,50 %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Fundador de la etapa moderna del grupo y primer accionista (15,5 %) [21, 31].</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orgánico de un dígito alto y mejora del margen EBIT core a tipos constantes</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8,9 % orgánico; margen core 26,5 % a tipos constantes (25,2 % con divisa)</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Febrero: dígito alto orgánico y +30-60 pb de margen a tipos constantes; junio: +140-170 pb</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1S26: 7,8 % orgánico y margen core del 26,9 % a tipos constantes (+≈1,3 puntos); confirmado en agosto</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Parcial</w:t>
            </w:r>
          </w:p>
        </w:tc>
      </w:tr>
    </w:tbl>
    <w:p>
      <w:pPr>
        <w:spacing w:after="160" w:before="0"/>
      </w:pPr>
    </w:p>
    <w:p>
      <w:pPr>
        <w:spacing w:after="100"/>
      </w:pPr>
      <w:r>
        <w:t xml:space="preserve">El equipo ha cumplido la guía de 2025 y en junio de 2026 subió la de margen (de +30-60 a +140-170 puntos básicos) al pesar menos los aranceles de EE. UU. El cambio de primer ejecutivo (Daniellot sale el 30-nov-2026, entra Norbye) y la salida del fundador del consejo concentran dos relevos en un año: el riesgo es de continuidad estratégica, no de credibilidad. La sucesión se anunció con tres meses y medio de antelación [18, 30, 31].</w:t>
      </w:r>
    </w:p>
    <w:p>
      <w:pPr>
        <w:pStyle w:val="Heading1"/>
      </w:pPr>
      <w:r>
        <w:t xml:space="preserve">14. Gobierno corporativo</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0,0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 de 13 (4 sin dato)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431"/>
        <w:gridCol w:w="1900"/>
        <w:gridCol w:w="1493"/>
        <w:gridCol w:w="814"/>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Petra Rumpf</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Wolfgang Becker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(nuevo en 2026)</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Sébastien Schatzmann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 (nuevo en 2026)</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2026</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100 %</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ejecutivo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 cambio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a favor sobre remuneración (3 juntas) ≥ 80 %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74,0 % a favor</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 (sin salvedades conocidas)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dato</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Thomas Straumann</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Fundador / persona física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Estable</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Rudolf Maag</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Persona física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Estable</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UBS Fund Management (Switzerland)</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n.d.</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BlackRock</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n.d.</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Gabriella Straumann</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Persona física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n.d.</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6" name="Gráfico 16"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a favor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74,0 %</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En la junta de 2026 el informe de remuneración de 2025 obtuvo un 85,59 % a favor y el importe máximo del consejo un 94,37 %; el punto más contestado fue un bono único de retención para la dirección, aprobado con solo un 74,02 % a favor, lo que indica que una parte relevante del capital no presente en el control familiar rechaza pagar por quedarse en plena sucesión [31]. No se ha podido leer el informe de remuneraciones (métricas del variable).</w:t>
      </w:r>
    </w:p>
    <w:p>
      <w:pPr>
        <w:pStyle w:val="Heading2"/>
      </w:pPr>
      <w:r>
        <w:t xml:space="preserve">Operaciones vinculadas, estructura de control y defensas</w:t>
      </w:r>
    </w:p>
    <w:p>
      <w:pPr>
        <w:spacing w:after="100"/>
      </w:pPr>
      <w:r>
        <w:t xml:space="preserve">No hay accionista de control: los dos mayores (Thomas Straumann, 15,5 %, y Rudolf Maag, 10,2 %) suman un 25,7 % y los participantes significativos, un 38,5 % (42,0 % un año antes) [21]. Acción única nominativa. Con una asistencia del 68,1 % del capital en la junta de 2026, los dos fundadores pesan ≈38 % de los votos presentes, suficiente para bloquear pero no para imponer [21, 31].</w:t>
      </w:r>
    </w:p>
    <w:p>
      <w:pPr>
        <w:pStyle w:val="Heading2"/>
      </w:pPr>
      <w:r>
        <w:t xml:space="preserve">Señales de alerta</w:t>
      </w:r>
    </w:p>
    <w:p>
      <w:pPr>
        <w:pStyle w:val="ListParagraph"/>
        <w:numPr>
          <w:ilvl w:val="0"/>
          <w:numId w:val="2"/>
        </w:numPr>
        <w:spacing w:after="60"/>
      </w:pPr>
      <w:r>
        <w:t xml:space="preserve">Relevo del primer ejecutivo (1-dic-2026) y salida del fundador del consejo en el mismo año.</w:t>
      </w:r>
    </w:p>
    <w:p>
      <w:pPr>
        <w:pStyle w:val="ListParagraph"/>
        <w:numPr>
          <w:ilvl w:val="0"/>
          <w:numId w:val="2"/>
        </w:numPr>
        <w:spacing w:after="60"/>
      </w:pPr>
      <w:r>
        <w:t xml:space="preserve">Bono de retención aprobado con solo un 74 % a favor (junta 2026).</w:t>
      </w:r>
    </w:p>
    <w:p>
      <w:pPr>
        <w:pStyle w:val="ListParagraph"/>
        <w:numPr>
          <w:ilvl w:val="0"/>
          <w:numId w:val="2"/>
        </w:numPr>
        <w:spacing w:after="60"/>
      </w:pPr>
      <w:r>
        <w:t xml:space="preserve">Ciberataque en abril de 2026.</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Baja</w:t>
      </w:r>
    </w:p>
    <w:p>
      <w:pPr>
        <w:spacing w:after="100"/>
      </w:pPr>
      <w:r>
        <w:t xml:space="preserve">2026: crecimiento orgánico de un dígito alto y mejora del margen EBIT core de 140-170 puntos básicos a tipos de 2025 (subida desde +30-60 pb el 17-jun-2026 por aranceles de EE. UU. menores de lo previsto), confirmada el 19-ago-2026 con la mejora repartida por igual entre semestres [3, 15].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86"/>
        <w:gridCol w:w="1302"/>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2.749</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Simply Wall St (15 analistas; BPA = beneficio 497 M ÷ 159,5 M acciones) [32]</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3.019</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3,62</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Simply Wall St (15 analistas; beneficio 578 M) [32]</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3.306</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4,17</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Simply Wall St (12 analistas; beneficio 665 M) [32]</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919"/>
        <w:gridCol w:w="1505"/>
        <w:gridCol w:w="1505"/>
        <w:gridCol w:w="1204"/>
        <w:gridCol w:w="1505"/>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2.683</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2.749</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826</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2.871</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3.019</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907</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3.072</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3.306</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989</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 / 6 / 2</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114,75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81,11 – 152,83</w:t>
            </w:r>
          </w:p>
        </w:tc>
      </w:tr>
    </w:tbl>
    <w:p>
      <w:pPr>
        <w:spacing w:after="160" w:before="0"/>
      </w:pPr>
    </w:p>
    <w:p>
      <w:pPr>
        <w:pStyle w:val="Heading2"/>
      </w:pPr>
      <w:r>
        <w:t xml:space="preserve">Revisiones de estimaciones</w:t>
      </w:r>
    </w:p>
    <w:p>
      <w:pPr>
        <w:spacing w:after="100"/>
      </w:pPr>
      <w:r>
        <w:t xml:space="preserve">El consenso de ingresos de 2026 bajó de 2.818 M (diciembre de 2025) a 2.749 M (julio de 2026) por la divisa, mientras los de beneficio subieron tras la nueva guía de margen; TheScreener señala revisiones al alza del BPA en las siete semanas previas a julio [32, 33]. Tras el 2T26, UBS subió a Comprar (1-sep, objetivo 115 CHF) y Deutsche Bank bajó a Mantener (objetivo 119 CHF) [34]. Solo hay una fuente con estimaciones completas; el objetivo y las recomendaciones se contrastan con Stocksguide y Fintel [35, 36].</w:t>
      </w:r>
    </w:p>
    <w:p>
      <w:pPr>
        <w:pStyle w:val="Heading1"/>
      </w:pPr>
      <w:r>
        <w:t xml:space="preserve">17. Múltiplos frente a su historia</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49,1x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-18 %</w:t>
            </w:r>
          </w:p>
        </w:tc>
      </w:tr>
    </w:tbl>
    <w:p>
      <w:pPr>
        <w:spacing w:after="160" w:before="0"/>
      </w:pPr>
    </w:p>
    <w:p>
      <w:pPr>
        <w:spacing w:after="100"/>
      </w:pPr>
      <w:r>
        <w:t xml:space="preserve">El PER core de los últimos 12 meses (28,6x) está en el mínimo de su historia limpia (2022: 34,9x; 2023: 49,1x; 2025: 31,2x) [11, 38]. Excluimos 2021 (68x, burbuja pospandemia) y no hay precio de cierre de 2024. El descuento se explica por el BPA estancado cuatro años y por la entrada de competidores de valor en China; no por un deterioro de la rentabilidad, que sigue por encima del 25 %. 2019 (44,8x sobre un BPA core de 2,12) confirma que la media larga (≈40x) es de otra época de tipos [13].</w:t>
      </w:r>
    </w:p>
    <w:p>
      <w:pPr>
        <w:pStyle w:val="Heading1"/>
      </w:pPr>
      <w:r>
        <w:t xml:space="preserve">18. Comparables cotizados</w:t>
      </w:r>
    </w:p>
    <w:p>
      <w:pPr>
        <w:pStyle w:val="Confianza"/>
        <w:spacing w:after="100"/>
      </w:pPr>
      <w:r>
        <w:t xml:space="preserve">Confianza: Media</w:t>
      </w:r>
    </w:p>
    <w:p>
      <w:pPr>
        <w:spacing w:after="100"/>
      </w:pPr>
      <w:r>
        <w:t xml:space="preserve">Fabricantes europeos, australianos y estadounidenses de tecnología médica con consumibles recurrentes, pago parcial del paciente y márgenes altos: Sonova, Demant y Cochlear (audición), Coloplast y Smith &amp; Nephew (consumibles y ortopedia), Align (el único rival dental cotizado con datos homogéneos), Edwards (implantes de nicho) y Alcon (oftalmología). Envista y Dentsply Sirona no se incluyen porque no se obtuvieron sus cifras; Osstem ya no cotiza [29, 39, 40, 41].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Straumann</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14.674</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Sonova</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Demant</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DK</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Coloplast</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DK</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Cochlear</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Smith &amp; Nephew</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GB</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Align Technology</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Edwards Lifesciences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Alcon</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48"/>
        <w:gridCol w:w="1056"/>
        <w:gridCol w:w="1188"/>
        <w:gridCol w:w="1188"/>
        <w:gridCol w:w="1056"/>
        <w:gridCol w:w="1056"/>
        <w:gridCol w:w="1188"/>
        <w:gridCol w:w="105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0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16,4x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28,5 %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14,6 %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793</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10,9x / 14,7x / 16,4x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53,64</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72,03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80,61</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16,1x / 22,9x / 25,5x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56,74</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80,45</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89,59</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2.636</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2,9x / 3,6x / 4,5x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46,84</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59,44</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73,03</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-35,4 %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7" name="Gráfico 17"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keepNext w:val="false"/>
        <w:spacing w:after="160" w:before="120"/>
        <w:jc w:val="center"/>
      </w:pPr>
      <w:r>
        <w:drawing>
          <wp:inline xmlns:wp="http://schemas.openxmlformats.org/drawingml/2006/wordprocessingDrawing" distT="0" distB="0" distL="0" distR="0">
            <wp:extent cx="5760000" cy="3060000"/>
            <wp:effectExtent l="0" t="0" r="0" b="0"/>
            <wp:docPr id="1018" name="Gráfico 18" descr="Crecimiento esperado frente a múltiplo"/>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p>
      <w:pPr>
        <w:spacing w:after="100"/>
      </w:pPr>
      <w:r>
        <w:t xml:space="preserve">Straumann cotiza a 26,2x el PER de los próximos 12 meses y 18,7x el EV/EBITDA de los últimos 12, por encima de la mediana de los comparables (PER ≈23x) y muy por encima de Align (15x), que es su competidor más directo pero crece menos [29]. La prima se justifica en parte por el ROIC (25,6 %) y el crecimiento orgánico del 8-9 %, por encima de casi todos, pero el crecimiento publicado en francos (≈3 % en 2026) no la sostiene. El valor implícito por comparables (PER NTM) es de 56,74-89,59 CHF, por debajo del precio.</w:t>
      </w:r>
    </w:p>
    <w:p>
      <w:pPr>
        <w:pStyle w:val="Heading1"/>
      </w:pPr>
      <w:r>
        <w:t xml:space="preserve">20. Descuento de flujos de caja (DCF)</w:t>
      </w:r>
    </w:p>
    <w:p>
      <w:pPr>
        <w:pStyle w:val="Confianza"/>
        <w:spacing w:after="100"/>
      </w:pPr>
      <w:r>
        <w:t xml:space="preserve">Confianza: Baja</w:t>
      </w:r>
    </w:p>
    <w:p>
      <w:pPr>
        <w:pStyle w:val="Heading2"/>
      </w:pPr>
      <w:r>
        <w:t xml:space="preserve">Supuestos y su justificación</w:t>
      </w:r>
    </w:p>
    <w:p>
      <w:pPr>
        <w:keepNext/>
        <w:spacing w:after="100"/>
      </w:pPr>
      <w:r>
        <w:rPr>
          <w:b/>
          <w:bCs/>
        </w:rPr>
        <w:t xml:space="preserve">Crecimiento de ingresos.</w:t>
      </w:r>
    </w:p>
    <w:p>
      <w:pPr>
        <w:spacing w:after="100"/>
      </w:pPr>
      <w:r>
        <w:t xml:space="preserve">2026e queda fijo en +3,0 % en francos: 7,8 % orgánico en el 1S26 y guía de un dígito alto, menos ≈5 puntos de divisa (2,3 % publicado en el 1S26) [3, 15]. De 2027e a 2029e, 7,0-6,5 %: orgánico del 7-8 % (la mitad baja de la historia y en línea con el mercado) sin efecto divisa; luego baja al 5 % en 2032e. El consenso de ingresos de 2028e (3.306 M) es un 7,6 % superior a nuestro 3.072 M: asume menos divisa [32].</w:t>
      </w:r>
    </w:p>
    <w:p>
      <w:pPr>
        <w:keepNext/>
        <w:spacing w:after="100"/>
      </w:pPr>
      <w:r>
        <w:rPr>
          <w:b/>
          <w:bCs/>
        </w:rPr>
        <w:t xml:space="preserve">Márgenes.</w:t>
      </w:r>
    </w:p>
    <w:p>
      <w:pPr>
        <w:spacing w:after="100"/>
      </w:pPr>
      <w:r>
        <w:t xml:space="preserve">Margen EBITDA core del 30,8 % en 2026e (EBIT core ≈25,4 % publicado con la guía de +140-170 pb a tipos constantes y la divisa del 1S26) que sube al 33,0 % en 2031e por apalancamiento operativo y fin del ciclo de capex. Es el nivel de 2021 (EBIT core 27,4 %) con algo más de mezcla de valor [3, 10].</w:t>
      </w:r>
    </w:p>
    <w:p>
      <w:pPr>
        <w:keepNext/>
        <w:spacing w:after="100"/>
      </w:pPr>
      <w:r>
        <w:rPr>
          <w:b/>
          <w:bCs/>
        </w:rPr>
        <w:t xml:space="preserve">Inversión y circulante.</w:t>
      </w:r>
    </w:p>
    <w:p>
      <w:pPr>
        <w:spacing w:after="100"/>
      </w:pPr>
      <w:r>
        <w:t xml:space="preserve">Capex del 8,5 % de las ventas en 2026e-2027e, bajando al 7,0 % en 2032e; incluye ≈1,2 puntos de inversión en circulante, porque no se pudo reconstruir el circulante. Amortización del 5,4 % de las ventas (la core de 2025) [2, 6].</w:t>
      </w:r>
    </w:p>
    <w:p>
      <w:pPr>
        <w:keepNext/>
        <w:spacing w:after="100"/>
      </w:pPr>
      <w:r>
        <w:rPr>
          <w:b/>
          <w:bCs/>
        </w:rPr>
        <w:t xml:space="preserve">Coste del capital.</w:t>
      </w:r>
    </w:p>
    <w:p>
      <w:pPr>
        <w:spacing w:after="100"/>
      </w:pPr>
      <w:r>
        <w:t xml:space="preserve">Tasa libre del 0,54 % (bono suizo a 10 años del 8-oct-2026) [42]; beta de 1,10 (dispositivos de pago privado, más cíclicos que la media del sector salud; no se pudo calcular con bolsa.mjs); prima de mercado del 5,5 % y prima adicional de 1 punto porque los flujos están en euros, dólares, reales y yuanes y el bono suizo es anormalmente bajo, igual que en Roche y Givaudan en este repositorio. Coste de la deuda del 2 % y peso del 3 %. WACC del 7,41 %; con la prima implícita del mercado (4,2 %), el 6,0 %.</w:t>
      </w:r>
    </w:p>
    <w:p>
      <w:pPr>
        <w:keepNext/>
        <w:spacing w:after="100"/>
      </w:pPr>
      <w:r>
        <w:rPr>
          <w:b/>
          <w:bCs/>
        </w:rPr>
        <w:t xml:space="preserve">Valor terminal.</w:t>
      </w:r>
    </w:p>
    <w:p>
      <w:pPr>
        <w:spacing w:after="100"/>
      </w:pPr>
      <w:r>
        <w:t xml:space="preserve">Gordon al 1,0 %: crecimiento real bajo en francos con inflación suiza del ≈0,5-1 %. Queda por encima de la tasa libre menos medio punto, pero el bono suizo no refleja la inflación de las divisas en que se vende; con 0,5 % el valor baja ≈5 %. El múltiplo de salida implícito es coherente con la historia de la empresa.</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0,54 %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7,59 %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7,41 %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6,02 %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30,8 %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0,21</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31,6 %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32,2 %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3.272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32,6 %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3.468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32,8 %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3.659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3.842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1.268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777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516</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19" name="Gráfico 19" descr="Flujo de caja libre para la empresa proyectado (CHF,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pStyle w:val="Heading2"/>
      </w:pPr>
      <w:r>
        <w:t xml:space="preserve">Etapa de transición (DCF en tres etapas)</w:t>
      </w:r>
    </w:p>
    <w:p>
      <w:pPr>
        <w:spacing w:after="100"/>
      </w:pPr>
      <w:r>
        <w:t xml:space="preserve">Con la etapa de transición de 5 años el DCF da 75,15 por acción; sin ella (crecimiento terminal desde 2032e), 68,06.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1"/>
        <w:gridCol w:w="1376"/>
        <w:gridCol w:w="1101"/>
        <w:gridCol w:w="1239"/>
        <w:gridCol w:w="1239"/>
        <w:gridCol w:w="1239"/>
        <w:gridCol w:w="1101"/>
        <w:gridCol w:w="1242"/>
      </w:tblGrid>
      <w:tr>
        <w:trPr>
          <w:cantSplit/>
          <w:tblHeader/>
        </w:trPr>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Factor</w:t>
            </w:r>
          </w:p>
        </w:tc>
        <w:tc>
          <w:tcPr>
            <w:tcW w:type="dxa" w:w="12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2033e</w:t>
            </w:r>
          </w:p>
        </w:tc>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4.003</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819</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0,619</w:t>
            </w:r>
          </w:p>
        </w:tc>
        <w:tc>
          <w:tcPr>
            <w:tcW w:type="dxa" w:w="12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507</w:t>
            </w:r>
          </w:p>
        </w:tc>
      </w:tr>
      <w:tr>
        <w:trPr>
          <w:cantSplit/>
        </w:trPr>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2034e</w:t>
            </w:r>
          </w:p>
        </w:tc>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4.139</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857</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0,576</w:t>
            </w:r>
          </w:p>
        </w:tc>
        <w:tc>
          <w:tcPr>
            <w:tcW w:type="dxa" w:w="12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494</w:t>
            </w:r>
          </w:p>
        </w:tc>
      </w:tr>
      <w:tr>
        <w:trPr>
          <w:cantSplit/>
        </w:trPr>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2035e</w:t>
            </w:r>
          </w:p>
        </w:tc>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4.247</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889</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0,536</w:t>
            </w:r>
          </w:p>
        </w:tc>
        <w:tc>
          <w:tcPr>
            <w:tcW w:type="dxa" w:w="12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477</w:t>
            </w:r>
          </w:p>
        </w:tc>
      </w:tr>
      <w:tr>
        <w:trPr>
          <w:cantSplit/>
        </w:trPr>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2036e</w:t>
            </w:r>
          </w:p>
        </w:tc>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4.323</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916</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0,499</w:t>
            </w:r>
          </w:p>
        </w:tc>
        <w:tc>
          <w:tcPr>
            <w:tcW w:type="dxa" w:w="12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457</w:t>
            </w:r>
          </w:p>
        </w:tc>
      </w:tr>
      <w:tr>
        <w:trPr>
          <w:cantSplit/>
        </w:trPr>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2037e</w:t>
            </w:r>
          </w:p>
        </w:tc>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4.366</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33,0 %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253</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935</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0,465</w:t>
            </w:r>
          </w:p>
        </w:tc>
        <w:tc>
          <w:tcPr>
            <w:tcW w:type="dxa" w:w="12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435</w:t>
            </w:r>
          </w:p>
        </w:tc>
      </w:tr>
    </w:tbl>
    <w:p>
      <w:pPr>
        <w:spacing w:after="160" w:before="0"/>
      </w:pPr>
    </w:p>
    <w:p>
      <w:pPr>
        <w:pStyle w:val="Nota"/>
        <w:spacing w:after="100"/>
      </w:pPr>
      <w:r>
        <w:t xml:space="preserve">Entre la proyección explícita y el valor terminal, el crecimiento baja en línea recta hasta el terminal; el margen y los ratios son los del último año explícito, y la inversión neta (capex − amortización) se reduce en proporción al crecimiento.</w:t>
      </w:r>
    </w:p>
    <w:p>
      <w:pPr>
        <w:keepNext/>
        <w:spacing w:after="100"/>
      </w:pPr>
      <w:r>
        <w:rPr>
          <w:b/>
          <w:bCs/>
        </w:rPr>
        <w:t xml:space="preserve">Por qué el crecimiento dura más allá de la proyección.</w:t>
      </w:r>
    </w:p>
    <w:p>
      <w:pPr>
        <w:spacing w:after="100"/>
      </w:pPr>
      <w:r>
        <w:t xml:space="preserve">El implante dental está poco penetrado fuera de Europa y EE. UU. (China multiplicó volúmenes tras la licitación de 2023, y Latinoamérica y Asia crecen a doble dígito), y el mercado crecería un 6,9-8,3 % anual hasta 2034-2035 [26, 28]. Straumann es el primero con &gt;32 % de cuota y su ROIC (25,6 %) supera al WACC en más de 18 puntos: crecer crea valor. Cinco años de transición desde el 5,0 % de 2032e hasta el 1,0 % terminal recogen que la ventaja (marca clínica, costes de cambio, ecosistema digital) dura más que la proyección explícita [26].</w:t>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14.741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25.936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3,67 %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la etapa de transición (5 años)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6.613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12.115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11.987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75,15</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0" name="Gráfico 20" descr="De dónde sale el valor empresa del DCF (CHF,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1,5 %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6,4 %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80,34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84,80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90,09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96,45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104,24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6,9 %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74,02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77,69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81,98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87,05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93,15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7,4 %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68,58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71,63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75,15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79,26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84,13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7,9 %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63,84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66,40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69,33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72,71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76,66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8,4 %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59,68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61,85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64,31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67,12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70,36</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60,56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64,88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69,39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74,14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79,16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63,10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67,59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72,27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77,21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82,43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65,64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70,29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75,15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80,27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85,69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68,18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78,03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83,34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88,96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70,71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75,70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80,91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86,41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92,23</w:t>
            </w:r>
          </w:p>
        </w:tc>
      </w:tr>
    </w:tbl>
    <w:p>
      <w:pPr>
        <w:spacing w:after="160" w:before="0"/>
      </w:pPr>
    </w:p>
    <w:p>
      <w:pPr>
        <w:pStyle w:val="Heading2"/>
      </w:pPr>
      <w:r>
        <w:t xml:space="preserve">¿Puede la empresa sostener el crecimiento previsto?</w:t>
      </w:r>
    </w:p>
    <w:p>
      <w:pPr>
        <w:spacing w:after="100"/>
      </w:pPr>
      <w:r>
        <w:rPr>
          <w:b/>
          <w:bCs/>
        </w:rPr>
        <w:t xml:space="preserve">Veredicto: Sí.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554 M (11 % del NOPAT)</w:t>
            </w:r>
          </w:p>
        </w:tc>
      </w:tr>
    </w:tbl>
    <w:p>
      <w:pPr>
        <w:spacing w:after="160" w:before="0"/>
      </w:pPr>
    </w:p>
    <w:p>
      <w:pPr>
        <w:spacing w:after="100"/>
      </w:pPr>
      <w:r>
        <w:t xml:space="preserve">La proyección apenas necesita inversión neta de la amortización (reinversión acumulada de 554 M, el 11 % del NOPAT, con un capex bruto medio del 7,9 % de las ventas). En un negocio de activos ligeros, el crecimiento medio del 5,7 % tiene que salir de subir precios y de ganar volumen sin capital nuevo, y la prueba es el poder de precios y la cuota; en un comprador en serie, la amortización es de intangibles comprados y la prueba es el capex bruto (las compras) frente al crecimiento comprado.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5,8 % y precio 2,0 % (guía de crecimiento orgánico de un dígito alto: 7,8 % en el 1S26); divisa −4,8 puntos (1S26: −5,5) [3].</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5 % (mercado 6,9-8,3 %, China estabilizada tras la licitación) y precio 2 % (historia de subidas anuales en premium); sin efecto divisa [26, 28].</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Igual que 2027e; ningún aumento de cuota.</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volumen se modera al 4,5 % con el mercado.</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2030e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Volumen 4 % y precio 2 %: crecimiento por debajo del mercado previsto.</w:t>
            </w:r>
          </w:p>
        </w:tc>
      </w:tr>
    </w:tbl>
    <w:p>
      <w:pPr>
        <w:spacing w:after="160" w:before="0"/>
      </w:pPr>
    </w:p>
    <w:p>
      <w:pPr>
        <w:spacing w:after="100"/>
      </w:pPr>
      <w:r>
        <w:t xml:space="preserve">Sí. El crecimiento proyectado (5,7 % anual medio) es inferior al orgánico que la empresa ha logrado en cada uno de los últimos cinco años (8,9-15,7 %) y al del mercado de implantes (6,9-8,3 %), así que no exige ganar cuota (32 % hoy) [1, 26]. La reinversión es pequeña (≈11 % del NOPAT con capex del 7-8,5 % de las ventas) y el motor no hace la prueba por «activos ligeros»; a mano: con un ROIC del 25,6 %, cada punto de crecimiento pide ≈4 % del NOPAT, y el resto lo pone el poder de precios demostrado (margen bruto ≈70 % estable y aranceles absorbidos en 2026) [15, 24]. El riesgo no es de capacidad sino de precio en China.</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(2027e-2032e)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9,3 % (base: 6,2 %)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38,8 % (base: 33,0 %)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6,3 % (WACC: 7,4 %)</w:t>
            </w:r>
          </w:p>
        </w:tc>
      </w:tr>
    </w:tbl>
    <w:p>
      <w:pPr>
        <w:spacing w:after="160" w:before="0"/>
      </w:pPr>
    </w:p>
    <w:p>
      <w:pPr>
        <w:spacing w:after="100"/>
      </w:pPr>
      <w:r>
        <w:t xml:space="preserve">El DCF da 75,15 CHF por acción (−18,3 % sobre 92,00), con un WACC del 7,41 % y un valor terminal del 55 %; la sensibilidad (WACC y crecimiento ± 0,5 puntos) va de 66,40 a 87,05 CHF, siempre por debajo del precio. El DCF inverso dice que el mercado descuenta un crecimiento del 9,3 % anual de 2027e a 2032e, frente al 6,2 % de nuestro caso base y al 6,9 % previsto para el mercado de implantes: exigente, porque supone recuperar el crecimiento de 2022-2024 y ganar cuota. La rentabilidad implícita en el precio es del 6,3 %, por debajo de nuestro WACC (7,41 %) y por encima de lo que pide hoy el mercado (6,0 %). Con la prima implícita del mercado el valor sube a 92,49 CHF: el precio es justo si se acepta el coste de capital del mercado de hoy, no el nuestro. La diferencia es de tasa más que de cifras.</w:t>
      </w:r>
    </w:p>
    <w:p>
      <w:pPr>
        <w:pStyle w:val="Heading1"/>
      </w:pPr>
      <w:r>
        <w:t xml:space="preserve">21. Escenarios</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53,18</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-42,2 %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segunda licitación china prima a los fabricantes locales y el franco sigue fuerte: el crecimiento cae 3 puntos al año y el margen 1,5 puntos, como en 2023-2025, cuando el BPA no creció [9, 25].</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75,15</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orgánico del 7-8 %, divisa neutra desde 2027 y margen EBITDA core hasta el 33 % con el fin del ciclo de capex.</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88,96</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Norteamérica sigue al 7-8 %, China se estabiliza y la ortodoncia y el digital suman: 2 puntos más de crecimiento y 1 de margen.</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1" name="Gráfico 21" descr="Valor por acción por escenario (CHF) · precio actual 92,0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spacing w:after="100"/>
      </w:pPr>
      <w:r>
        <w:rPr>
          <w:b/>
          <w:bCs/>
        </w:rPr>
        <w:t xml:space="preserve">Valor ponderado por probabilidad:</w:t>
      </w:r>
      <w:r>
        <w:t xml:space="preserve"> 73,11 CHF (-20,5 %).</w:t>
      </w:r>
    </w:p>
    <w:p>
      <w:pPr>
        <w:spacing w:after="100"/>
      </w:pPr>
      <w:r>
        <w:t xml:space="preserve">El DCF da 53,18 CHF en el bajista (−42,2 %), 75,15 en el base y 88,96 en el alcista (−3,3 %): ni el alcista llega al precio con nuestro WACC. Con la prima del mercado el rango sube a 67,87-114,82. La asimetría del valor intrínseco es negativa; la del objetivo a 12 meses es favorable (3,04x) porque el PER actual ya está en mínimos de su historia.</w:t>
      </w:r>
    </w:p>
    <w:p>
      <w:pPr>
        <w:pStyle w:val="Heading1"/>
      </w:pPr>
      <w:r>
        <w:t xml:space="preserve">22. Suma de partes</w:t>
      </w:r>
    </w:p>
    <w:p>
      <w:pPr>
        <w:pStyle w:val="Confianza"/>
        <w:spacing w:after="100"/>
      </w:pPr>
      <w:r>
        <w:t xml:space="preserve">Confianza: Media</w:t>
      </w:r>
    </w:p>
    <w:p>
      <w:pPr>
        <w:spacing w:after="100"/>
      </w:pPr>
      <w:r>
        <w:t xml:space="preserve">No aplica: la empresa publica un solo segmento operativo.</w:t>
      </w:r>
    </w:p>
    <w:p>
      <w:pPr>
        <w:spacing w:after="160" w:before="0"/>
      </w:pPr>
    </w:p>
    <w:p>
      <w:pPr>
        <w:pStyle w:val="Heading1"/>
      </w:pPr>
      <w:r>
        <w:t xml:space="preserve">23. Síntesis de valoración</w:t>
      </w:r>
    </w:p>
    <w:p>
      <w:pPr>
        <w:pStyle w:val="Confianza"/>
        <w:spacing w:after="100"/>
      </w:pPr>
      <w:r>
        <w:t xml:space="preserve">Confianza: Baja</w:t>
      </w:r>
    </w:p>
    <w:p>
      <w:pPr>
        <w:keepNext w:val="false"/>
        <w:spacing w:after="160" w:before="120"/>
        <w:jc w:val="center"/>
      </w:pPr>
      <w:r>
        <w:drawing>
          <wp:inline xmlns:wp="http://schemas.openxmlformats.org/drawingml/2006/wordprocessingDrawing" distT="0" distB="0" distL="0" distR="0">
            <wp:extent cx="5760000" cy="2880000"/>
            <wp:effectExtent l="0" t="0" r="0" b="0"/>
            <wp:docPr id="1022" name="Gráfico 22" descr="Valor por acción según cada método (CHF) · precio actual 92,0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81,11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114,75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152,83</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56,74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80,45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89,59</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66,40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75,15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87,05</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53,18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73,11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88,96</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88,13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97,50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108,98</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91,54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92,00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92,46</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75,15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80,45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73,11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r>
    </w:tbl>
    <w:p>
      <w:pPr>
        <w:spacing w:after="160" w:before="0"/>
      </w:pPr>
    </w:p>
    <w:p>
      <w:pPr>
        <w:spacing w:after="100"/>
      </w:pPr>
      <w:r>
        <w:rPr>
          <w:b/>
          <w:bCs/>
        </w:rPr>
        <w:t xml:space="preserve">Valor intrínseco ponderado (largo plazo):</w:t>
      </w:r>
      <w:r>
        <w:t xml:space="preserve"> 75,97 CHF (-17,4 % sobre 92,00).</w:t>
      </w:r>
    </w:p>
    <w:p>
      <w:pPr>
        <w:spacing w:after="100"/>
      </w:pPr>
      <w:r>
        <w:t xml:space="preserve">El DCF pesa un 50 %: es un negocio de caja estable con poca inversión. Los comparables, un 25 %, porque el sector cotiza por PER y Straumann lleva prima; los escenarios, el 25 % restante. No hay transacciones con múltiplo. Todos los métodos quedan por debajo del precio (valor objetivo de 75,97 CHF, −17,4 %); solo el DCF con la prima del mercado (92,49) y el objetivo medio de los analistas (114,75) lo superan. La dispersión dice que el precio paga el crecimiento de 2022-2024 y un coste de capital bajo.</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3,35</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 0.85 (el mínimo de 5 años no queda por debajo del base)</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76,05</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3,76</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100,39</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4,05</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34,7x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techo de base × 1.3</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140,54</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+53,8 %</w:t>
            </w:r>
          </w:p>
        </w:tc>
      </w:tr>
    </w:tbl>
    <w:p>
      <w:pPr>
        <w:spacing w:after="160" w:before="0"/>
      </w:pPr>
    </w:p>
    <w:p>
      <w:pPr>
        <w:spacing w:after="100"/>
      </w:pPr>
      <w:r>
        <w:rPr>
          <w:b/>
          <w:bCs/>
        </w:rPr>
        <w:t xml:space="preserve">Objetivo a 12 meses (ponderado):</w:t>
      </w:r>
      <w:r>
        <w:t xml:space="preserve"> 104,34 CHF · rentabilidad +14,5 % (base +10,2 %) · señal Mantener.</w:t>
      </w:r>
    </w:p>
    <w:p>
      <w:pPr>
        <w:keepNext/>
        <w:spacing w:after="100"/>
      </w:pPr>
      <w:r>
        <w:rPr>
          <w:b/>
          <w:bCs/>
        </w:rPr>
        <w:t xml:space="preserve">Frente al consenso (solo contraste).</w:t>
      </w:r>
    </w:p>
    <w:p>
      <w:pPr>
        <w:spacing w:after="100"/>
      </w:pPr>
      <w:r>
        <w:t xml:space="preserve">Nuestro base (100,39 CHF) queda un 12,5 % por debajo del objetivo medio de los analistas (114,75; 81-153). Casi todo sale del BPA: 3,44 en 2027e y 3,76 en 2028e frente a 3,62 y 4,17 del consenso (−5 % y −10 %) [32]. El consenso proyecta ventas de 3.306 M en 2028e frente a nuestros 3.072 M: supone menos divisa en contra; además nuestra conversión de EBIT a beneficio (72,9 %, la de 2025) no mejora. El múltiplo es parecido: 26,7x frente a ≈27-28x implícito en los objetivos.</w:t>
      </w:r>
    </w:p>
    <w:p>
      <w:pPr>
        <w:keepNext/>
        <w:spacing w:after="100"/>
      </w:pPr>
      <w:r>
        <w:rPr>
          <w:b/>
          <w:bCs/>
        </w:rPr>
        <w:t xml:space="preserve">Del valor intrínseco al objetivo a 12 meses.</w:t>
      </w:r>
    </w:p>
    <w:p>
      <w:pPr>
        <w:spacing w:after="100"/>
      </w:pPr>
      <w:r>
        <w:t xml:space="preserve">El objetivo a 12 meses (104,34 CHF ponderado; 100,39 el base) queda un 37 % por encima del valor intrínseco (75,97 CHF): el mercado paga por Straumann un coste de capital menor que el nuestro y lo seguirá haciendo mientras el BPA crezca al 10 % anual que proyectamos para 2026-2028. Para cerrar la distancia con el valor intrínseco haría falta una caída del PER hacia 20x, que solo se vio fuera de esta muestra, o una subida de tipos en francos. La tesis a 12 meses depende de que el BPA core crezca del 3,00 de 2025 al 3,76 de 2028e; el catalizador son los resultados anuales de febrero de 2027, con la guía de margen.</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28-oct-2026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del 3T26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Confirmación del crecimiento orgánico del 7-9 % y de China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1-dic-2026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Christopher Norbye, primer ejecutivo</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Riesgo de cambio de prioridades o de revisión de objetivos a medio plazo</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Feb-2027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2026 y guía de 2027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core tras +140-170 pb y primera guía del nuevo CEO</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Segunda licitación centralizada de implantes en China (VBP)</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Precio y cuota en China; preferencia por productos locales</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Abr-2027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Junta general</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Dividendo (≈1,05 CHF) y votos de remuneración tras el bono de retención de 2026</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China: segunda licitación (VBP) que favorece a fabricantes locales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Regulatorio / competencia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−10 % a −15 % (hacia el bajista)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Producción local y Neodent en el segmento de valor</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de APAC por debajo del 3 % dos trimestres seguidos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Franco fuerte</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Divisa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 por cada 5 % de apreciación sostenida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Costes en Brasil, China y EE. UU.</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Diferencia entre crecimiento orgánico y en francos &gt; 5 puntos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Relevo del primer ejecutivo y salida del fundador</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Gobierno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 a −10 % si cambia la guía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Consejo con presidenta en el cargo y accionistas de referencia estables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Revisión de los objetivos a medio plazo en febrero de 2027</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Consumo de EE. UU. y pago del bolsillo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Ciclo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Diversificación geográfica (EMEA ≈43 %)</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Norteamérica por debajo del 3 % orgánico</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Competencia de valor (coreanos y chinos) fuera de Asia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Competencia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 a −10 % por margen</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Neodent y Anthogyr en valor</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bruto por debajo del 68 %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Aranceles de EE. UU. sobre importaciones suizas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Regulatorio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Producción fuera de Suiza; guía ya subida por aranceles menores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Nueva subida arancelaria a Suiza</w:t>
            </w:r>
          </w:p>
        </w:tc>
      </w:tr>
    </w:tbl>
    <w:p>
      <w:pPr>
        <w:spacing w:after="160" w:before="0"/>
      </w:pPr>
    </w:p>
    <w:p>
      <w:pPr>
        <w:pStyle w:val="Heading2"/>
      </w:pPr>
      <w:r>
        <w:t xml:space="preserve">Pre-mortem</w:t>
      </w:r>
    </w:p>
    <w:p>
      <w:pPr>
        <w:spacing w:after="100"/>
      </w:pPr>
      <w:r>
        <w:t xml:space="preserve">Es octubre de 2029 y la acción ha perdido un 40 %. China celebró la segunda licitación a finales de 2026 y los fabricantes locales se quedaron con los lotes de mayor volumen; Straumann mantuvo el precio en premium y perdió cuota en el que había sido su motor de crecimiento. A la vez, el franco siguió fuerte y el nuevo primer ejecutivo, llegado en diciembre de 2026, rebajó en febrero de 2027 los objetivos a medio plazo para «recentrar» la cartera y anunció reestructuración. El BPA core, que ya llevaba cinco años plano, cayó a 2,8 CHF y el mercado, que pagaba 27x por una recuperación, pasó a pagar 20x, como a Align. La señal estaba en los trimestres: APAC por debajo del 3 % orgánico dos veces seguidas y la diferencia entre crecimiento orgánico y en francos por encima de los 5 puntos.</w:t>
      </w:r>
    </w:p>
    <w:p>
      <w:pPr>
        <w:pStyle w:val="Heading1"/>
      </w:pPr>
      <w:r>
        <w:t xml:space="preserve">26. ESG y controversias</w:t>
      </w:r>
    </w:p>
    <w:p>
      <w:pPr>
        <w:pStyle w:val="Confianza"/>
        <w:spacing w:after="100"/>
      </w:pPr>
      <w:r>
        <w:t xml:space="preserve">Confianza: Baja</w:t>
      </w:r>
    </w:p>
    <w:p>
      <w:pPr>
        <w:spacing w:after="160" w:before="0"/>
      </w:pPr>
    </w:p>
    <w:p>
      <w:pPr>
        <w:pStyle w:val="Heading2"/>
      </w:pPr>
      <w:r>
        <w:t xml:space="preserve">Asuntos materiales</w:t>
      </w:r>
    </w:p>
    <w:p>
      <w:pPr>
        <w:spacing w:after="100"/>
      </w:pPr>
      <w:r>
        <w:t xml:space="preserve">Lo material es la seguridad del producto y la evidencia clínica (un fallo de implante a gran escala dañaría la marca premium), la ciberseguridad (ataque en abril de 2026) y el acceso a tratamientos en China (precios regulados). Las emisiones son pequeñas para el tamaño del grupo [20].</w:t>
      </w:r>
    </w:p>
    <w:p>
      <w:pPr>
        <w:pStyle w:val="Heading2"/>
      </w:pPr>
      <w:r>
        <w:t xml:space="preserve">Controversias</w:t>
      </w:r>
    </w:p>
    <w:p>
      <w:pPr>
        <w:spacing w:after="100"/>
      </w:pPr>
      <w:r>
        <w:t xml:space="preserve">Ciberataque en abril de 2026, sin efecto visible en las ventas del 2T26 [20]. No se han encontrado sanciones ni litigios relevantes en tres años.</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China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 las ventas de APAC depende de la segunda licitación y qué cuota de lotes espera con producción local?</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riesgo con más efecto en el valor (bajista −42 %).</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Divisa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porcentaje de costes está en francos y qué cobertura natural queda tras las ampliaciones fuera de Suiza?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divisa explica casi toda la erosión del margen publicado desde 2021.</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Sucesión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¿Mantendrá el nuevo CEO los objetivos de margen a medio plazo y por qué hizo falta un bono de retención?</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Solo el 74 % del capital presente lo aprobó.</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¿Cuándo vuelve el capex al 6 % de las ventas y cuánto es mantenimiento?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caja libre (11 % de las ventas) depende de ello.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Core frente a IFRS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 los ≈120 M de ajustes de 2025 es reestructuración que se repetirá?</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objetivo a 12 meses se hace sobre BPA core.</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¿Contempla recompras ahora que el PER está en mínimos de una década?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 caja neta nula, una recompra pediría deuda.</w:t>
            </w:r>
          </w:p>
        </w:tc>
      </w:tr>
    </w:tbl>
    <w:p>
      <w:pPr>
        <w:spacing w:after="160" w:before="0"/>
      </w:pPr>
    </w:p>
    <w:p>
      <w:pPr>
        <w:pStyle w:val="Heading1"/>
      </w:pPr>
      <w:r>
        <w:t xml:space="preserve">28. Sentimiento en foros y comentarios</w:t>
      </w:r>
    </w:p>
    <w:p>
      <w:pPr>
        <w:pStyle w:val="Confianza"/>
        <w:spacing w:after="100"/>
      </w:pPr>
      <w:r>
        <w:t xml:space="preserve">Confianza: Baja</w:t>
      </w:r>
    </w:p>
    <w:p>
      <w:pPr>
        <w:spacing w:after="100"/>
      </w:pPr>
      <w:r>
        <w:rPr>
          <w:b/>
          <w:bCs/>
        </w:rPr>
        <w:t xml:space="preserve">Tono:</w:t>
      </w:r>
      <w:r>
        <w:t xml:space="preserve"> Dividido · </w:t>
      </w:r>
      <w:r>
        <w:rPr>
          <w:b/>
          <w:bCs/>
        </w:rPr>
        <w:t xml:space="preserve">Tendencia:</w:t>
      </w:r>
      <w:r>
        <w:t xml:space="preserve"> Mejora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963"/>
        <w:gridCol w:w="1084"/>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Comentarios</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Aktienwelt360 (blog de inversión en alemán)</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 pregunta si la acción es compra a 92 CHF: resultados del 2T26 muy buenos pero la cotización «dormita», recuperada del mínimo de marzo (73 CHF) sin romper al alza [37].</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cash.ch (prensa con foro de lectores)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2026-06</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«Acción de la semana» tras la subida de la guía de margen (+12,8 % en una semana, máximo de once meses); el foro de la acción no tiene mensajes [45, 46].</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Seeking Alpha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2025-05</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Neutro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artículo más reciente encontrado mantiene «Hold»: fundamentales excelentes pero PER por encima de 30x que limita el potencial; anterior a los tres últimos meses, solo de contexto [47].</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Kapitalmarktexperten y Goldesel (prensa de inversión alemana)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2026-08</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Straumann como «top pick 2026» de varios analistas y lectura positiva del 2T26 con el relevo de CEO [30, 48].</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Simply Wall St (narrativas de la comunidad)</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2026-07</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Una narrativa alcista por la digitalización en Asia y Latinoamérica y otra centrada en el riesgo de la recuperación de EE. UU. y la estabilidad del margen [49].</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Valoración frente a la historia (PER de 30x a 25x)</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PER core sobre el BPA de 2027e de nuestra proyección es de ≈26x, el más bajo de la última década fuera de 2025: la gente tiene razón en que ya no es cara frente a su historia, pero sigue por encima de los comparables de tecnología médica (≈23x).</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China y la segunda licitación centralizada (VBP)</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APAC creció un 0,5 % en el 1T26; sin China el grupo crecía ≈10 %. Es el riesgo con fecha más claro y está en el bajista.</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Relevo del CEO y salida del fundador</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guía se ha cumplido y subido con Daniellot; el bono de retención se aprobó con solo un 74 %: el informe lo trata como riesgo de continuidad, no de cifras.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Divisa (franco fuerte)</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Restó ≈5,5 puntos al crecimiento en francos en el 1S26 (7,8 % orgánico frente a 2,3 % en CHF) y ≈1,2 puntos al margen: es real y está en la proyección.</w:t>
            </w:r>
          </w:p>
        </w:tc>
      </w:tr>
    </w:tbl>
    <w:p>
      <w:pPr>
        <w:spacing w:after="160" w:before="0"/>
      </w:pPr>
    </w:p>
    <w:p>
      <w:pPr>
        <w:spacing w:after="100"/>
      </w:pPr>
      <w:r>
        <w:t xml:space="preserve">El inversor particular de habla alemana ve a Straumann como un valor de calidad que lleva dos años sin premiar: reconoce el crecimiento orgánico del 8 % y la subida de la guía, pero desconfía de China, del franco y del relevo en la cúpula. No hay euforia ni capitulación; el debate es escaso (el foro de cash.ch está vacío) y no contradice a los analistas, que mayoritariamente recomiendan comprar. No aporta un riesgo que el análisis no recoja.</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17 de 17 controles correctos. Fuentes: 49 (14 primarias); citas distintas en el texto: 49.</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0,0 % frente a 0,0 % real: genera una variación de circulante de 0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55 %.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Etapa de transición justificada (ROIC ≥ WACC + 5 puntos)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ROIC 25,6 % frente a WACC 7,4 %: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Múltiplos del objetivo a 12 m según la regla común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12 m frente al consenso</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base se separa un -12,5 % del objetivo medio de los analistas: explícalo en diferencia_consenso (nunca se acerca la cifra).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49 fuentes (14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 no incluida</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16. Comportamiento en bolsa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19. Transacciones precedentes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circulante, fondo de comercio y deuda por año (2021-2024)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WebSearch del informe anual 2025 (AR25 Financial Report): el buscador indexa el PDF pero no devuelve el balance; 2) Stock Analysis, Stockopedia y Fintel: solo activo total, patrimonio, caja e intangibles; 3) Simply Wall St: deuda de ≈231 M a mediados de 2025, sin serie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financieros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cuenta IFRS completa (coste de ventas, gastos, impuestos, resultado financiero)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 de prensa FY2025 en PDF (no abre); 2) Stock Analysis (extracto solo con ingresos, EBIT y beneficio); 3) Google Finance (datos trimestrales mezclados)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8 trimestres con EBITDA y consenso previo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Notas trimestrales de la empresa (solo ventas en 1T y 3T); 2) Quartr y AWP; 3) derivación por semestres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geografias (peso de cada región en 2025)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 de prensa FY2025; 2) AWP por trimestres; 3) suma de trimestres de EMEA (solo dos)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y margen EBIT de los competidores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WebSearch de Envista y Dentsply Sirona (solo devolvió Align); 2) búsqueda de cuotas de iData (sin porcentajes); 3) informes anuales de los competidores (no abren desde este entorno)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calificaciones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MSCI; 2) Sustainalytics; 3) informe de sostenibilidad 2025 (no se buscaron por presupuesto de búsquedas compartido)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consejo completo, comisiones, remuneración del primer ejecutivo y operaciones de directivos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de gobierno y de remuneraciones 2025 (PDF no accesible); 2) resultados de la junta 2026 (solo votos); 3) registro de operaciones de directivos de la SIX (anónimo y no accesible desde aquí)</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identificacion</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precio de cierre del 13-oct-2026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bolsa.mjs y Yahoo (sin red); 2) WebSearch de la cotización de octubre en alemán e inglés (solo páginas sin fecha: 88,7-98,0 CHF); 3) artículo fechado del 3-oct-2026 con ≈92 CHF</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bolsa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rentabilidades, beta, volatilidad y caída máxima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bolsa.mjs (sin red); 2) Yahoo Finance (no abre); 3) WebSearch (solo cotizaciones sueltas sin fecha)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operaciones del sector dental con múltiplo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OPA de MBK sobre Osstem (2023), sin múltiplo en las búsquedas; 2) compra de Byte por Dentsply (2021), sin EBITDA; 3) no hay más búsquedas por el presupuesto compartido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multiplos_historicos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precio de cierre de 2024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página de la empresa (solo hasta 2023); 2) finanzen.net y boerse.de (sin dato en el extracto); 3) Macrotrends (en USD del ADR)</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sentimiento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revisadas (Reddit, Stocktwits y comentarios de lectores)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WebSearch de Reddit y Seeking Alpha sobre Straumann en 2026 (sin hilos); 2) foro de cash.ch (vacío); 3) búsqueda en alemán de foros de inversores (solo prensa y blogs)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dcf</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beta propia de la acción</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bolsa.mjs (sin red); 2) Yahoo y Stock Analysis (no abren); 3) WebSearch (sin beta fechada)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Straumann Group delivers strong 2025 performance (nota de prensa FY2025). Extracto de búsqueda; la página no se pudo abrir (solo WebSearch en este entorno)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Straumann Group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18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https://www.straumann.com/content/dam/media-center/group/en/documents/annual-report/2025/StraumannGroup-Press-Release-FY2025.pdf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Straumann Group webcast presentation FY2025 (puente core-IFRS, FCF 290 M, capex 223 M, caja). Extracto de búsqueda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Straumann Group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18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https://www.straumann.com/content/dam/data/media-release/de/2026/32053e54-7676-4f7e-9d3d-92d71b19e0ea/Straumann+Group_Webcast+presentation_FY2025.pdf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Straumann Group delivers strong second quarter performance and confirms upgraded profitability outlook for 2026. Extracto de búsqueda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Straumann Group (vía Deutsche Börse)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https://live.deutsche-boerse.com/news/Straumann-Group-delivers-strong-second-quarter-performance-and-confirms-upgraded-profitability-outlook-for-2026-1bcb2130-eee5-44e7-b9a6-e7c5d020d7bb</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Webcast presentation Q2 2026. Extracto de búsqueda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Straumann Group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https://www.straumann.com/content/dam/media-center/group/en/documents/presentation/2026/20260819_EN_StraumannGroup_Webcast-presentation_Q2_2026.pdf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Straumann Holding AG (SWX:STMN) Income Statement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https://stockanalysis.com/quote/swx/STMN/financials/income-statement/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Straumann Holding AG (SWX:STMN) Cash Flow Statement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https://stockanalysis.com/quote/swx/STMN/financials/cash-flow-statement/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Straumann Holding AG (SWX:STMN) Balance Sheet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https://stockanalysis.com/quote/swx/STMN/financials/balance-sheet/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STMN Balance Sheet (activo total anual)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Stockopedia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https://www-proxy.stockopedia.com/share-prices/straumann-holding-ag-SWX:STMN/balance-sheet/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Full Year Results 2024 Straumann Group Media Release (BPA core 3,14; IFRS 2,87; beneficio core 502 M)</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Straumann Group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https://www.straumann.com/content/dam/media-center/group/en/documents/media-release/2024/Full_Year_Results_2024_Straumann_Group_Media_Release.pdf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Straumann Group 2022 FY Media Release (BPA core 3,03 y 2,85; margen EBIT core 26,0 % y 27,4 %)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Straumann Group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feb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https://straumann.com/content/dam/media-center/group/en/documents/media-release/2023/Straumann-Group-2022-FY-Media-Release.pdf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Share information (cotización al cierre de cada año, BPA core 2023 y dividendos)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Straumann Group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https://straumann.com/group/en/home/investors/share-information.html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Straumann H1 FY26 IFRS net profit rises 5.3% to CHF 250.7 million; revenue increases 2.3% to CHF 1.38 billion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VZ VermögensZentrum (AWP)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https://www.vermoegenszentrum.ch/en/stock-exchange-and-markets/news/straumann-h1-fy26-ifrs-net-profit-rises-53-chf-2507-million-revenue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Straumann 2019 FY Presentation (BPA core 21,21 CHF antes del desdoblamiento 1:10)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Straumann Group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feb 2020</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https://straumann.com/content/dam/data/media-release/de/2020/aaed4c01-b76c-4718-8677-ba90155650a3/Straumann-2019-FY-Presentation.pdf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Straumann Group (STMN) Q2 2026 earnings summary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Quartr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https://quartr.com/events/straumann-holding-ag-stmn-q2-2026_oqgU6eg2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 hoc: Straumann Group raises its profitability guidance for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Straumann Group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https://www.straumann.com/content/dam/data/media-release/en/2026/25aba1a4-df97-4995-a415-07a6b3bf6956/20260617_StraumannGroup_Press+Release_Guidance2026.pdf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Straumann startet stärker als erwartet ins 2026 (1T26)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Südostschweiz (AWP)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https://www.suedostschweiz.ch/schweiz-und-welt/straumann-startet-staerker-als-erwartet-ins-2026-2-1644731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Straumann generates higher sales in the third quarter - EMEA region drives growth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blue News (AWP)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https://www.bluewin.ch/en/news/straumann-generates-higher-sales-in-the-third-quarter-emea-region-drives-growth-2939086.html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Straumann on track after first semester, gets new CEO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blue News (AWP)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https://www.bluewin.ch/en/news/straumann-on-track-after-first-semester-gets-new-ceo-li.3567966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Straumann Group Medienmitteilung H1 2026 (caja de 381 M a 30-jun-2026; FCF 168,6 M)</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Straumann Group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https://www.straumann.com/content/dam/data/media-release/de/2026/21928121-0ef4-46ed-9f32-1134d927069b/20260819_DE_Straumann_Group_Medienmitteilung_H1_2026.pdf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Straumann-Aktie: Hacker-Attacke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Börse Express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https://www.boerse-express.com/news/articles/straumann-aktie-hacker-attacke-892088</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Straumann Group: historia y estructura del grupo (web corporativa). Extracto de búsqueda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Straumann Group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https://www.straumann.com/group/en/home/investors/corporate-governance/group-structure.html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Straumann Group shareholders approve all proposals (junta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Straumann Group (vía Deutsche Börse)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https://live.deutsche-boerse.com/nachrichten/Straumann-Group-shareholders-approve-all-proposals-cebc7088-17eb-4215-8174-1e6d33cc4aab</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Straumann Group nota de prensa FY2025 y notas trimestrales 2025 (regiones). Extracto de búsqueda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Straumann Group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https://www.straumann.com/content/dam/data/media-release/en/2026/32053e54-7676-4f7e-9d3d-92d71b19e0ea/StraumannGroup_Press+Release_FY2025.pdf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Straumann Holding AG: margen bruto de los últimos 12 meses (70,1 %)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Simply Wall St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https://simplywall.st/stocks/at/healthcare/vie-stmn/straumann-holding-shares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Straumann beats earnings expectations (VBP china retrasada; preferencia por productos locales)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Reuters (vía Global Banking &amp;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https://www.globalbankingandfinance.com/straumann-beats-earnings-expectations/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Dental Implants Market Size &amp; Share Report 2025-2034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Global Market Insights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https://www.gminsights.com/industry-analysis/dental-implants-market/amp</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Top 5 Dental Implant Companies Leading the Global Market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iData Research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https://idataresearch.com/news/dental-implant-companies-leading-the-global-market/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Dental Implants Market Research Report 2025-2035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 Research Future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https://www.marketresearchfuture.com/reports/dental-implants-market-2753%C2%A0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Align Technology: estadísticas de valoración (junio-julio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 / StockHub</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https://www.stockhub.kr/en/stock/ALGN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Straumann liefert starkes Q2: Norbye wird ab Dezember CEO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Goldesel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https://goldesel.de/aktien/news/straumann-liefert-starkes-q2-norbye-wird-ab-dezember-ceo-2026er-profitabilitat-bleibt-auf-kurs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Straumann Holding AG voting results AGM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Straumann Group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https://www.straumann.com/content/dam/data/media-release/en/2026/01595361-daed-4503-9515-495dcf705cfc/Straumann+Holding+AG_voting+results_AGM2026_EN.pdf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Straumann Holding Future Growth (previsiones de ingresos y beneficio 2026-2028, actualizado el 7-jul-2026)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Simply Wall St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https://simplywall.st/stocks/at/healthcare/vie-stmn/straumann-holding-shares/future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Straumann Hldg Rg (TheScreener, revisiones de BPA)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https://cug.tradedirect.ch/td/details/thescreener/117544866,4,1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Straumann Holding AG (STMN): recomendaciones de analistas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Investing.com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https://za.investing.com/equities/straumann-holding-ag</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Straumann forecast (objetivo medio 114,75 CHF, 22 recomendaciones)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Stocksguide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https://stocksguide.com/en/forecast/Straumann-CH1175448666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STMN - Straumann Holding AG (SWX): objetivos de analistas (81,11-152,83)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Fintel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https://fintel.io/s/ch/stmn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Ist die Straumann-Aktie bei 92 Franken ein Kauf? (cotización de referencia y mínimo de marzo en 73 CHF)</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Aktienwelt360</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https://www.aktienwelt360.de/2026/10/03/ist-die-straumann-aktie-bei-92-franken-ein-kauf/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Straumann (STMN) quote: precio al inicio del periodo 93,46 CHF el 30-dic-2025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Motley Fool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https://www.fool.com/quote/xswx/stmn/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Comparables de tecnología médica (Sonova, Demant, Coloplast, Cochlear, Smith &amp; Nephew) a 12-oct-2026, MarketScreener; tomados del informe de Coloplast de este repositorio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(vía informes/coloplast-2026-10-12)</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https://www.marketscreener.com/quote/stock/SONOVA-HOLDING-AG-70127/finances/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Comparables Align Technology y Alcon a 8-oct-2026, MarketScreener; tomados del informe de Cooper Companies de este repositorio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(vía informes/cooper-companies-2026-10-09)</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https://www.marketscreener.com/quote/stock/THE-COOPER-COMPANIES-INC-12149/finances/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Comparable Edwards Lifesciences a 8-oct-2026; tomado del informe de Cochlear de este repositorio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(vía informes/cochlear-2026-10-08)</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https://www.marketscreener.com/quote/stock/COCHLEAR-LIMITED-6491483/finances/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Swiss Bond Yield at One-Week High (0,54 %, 8-oct-2026)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Trading Economics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https://tradingeconomics.com/switzerland/government-bond-yield/news/590510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 octubre de 2026: 4,20 %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STMN share price (Stockopedia: capitalización ≈15.600 M CHF, PER adelantado 29x)</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Stockopedia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https://stockopedia.com/share-prices/straumann-holding-ag-SWX:STMN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Aktie der Woche: verbesserte Margenprognose treibt Schweizer Medtech-Titel auf ein Elf-Monate-Hoch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cash.ch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https://www.cash.ch/news/top-news/aktie-der-woche-verbesserte-margenprognose-treibt-schweizer-medtech-titel-auf-ein-elf-monate-hoch-946815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Straumann Hldg N: página de la acción y foro (sin mensajes)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cash.ch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https://www.cash.ch/aktien/straumann-hldg-n-117544866/swx/chf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Straumann: A 'Hold' Despite Nice Growth Numbers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https://seekingalpha.com/article/4789933-straumann-a-hold-despite-nice-growth-numbers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Straumann Aktie: Top-Pick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Kapitalmarktexperten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https://www.kapitalmarktexperten.de/straumann-aktie-top-pick-2026/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STMN future performance will depend on U.S. operational recovery and margin stability (narrativa)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Simply Wall St (comunidad)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https://www.simplywall.st/narratives/zvhaoc2x-stmn-future-performance-will-depend-on-u-s-operational-recovery-and-margin-stability</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80,2 %</w:t>
      </w:r>
      <w:r>
        <w:t xml:space="preserve"> · Secciones con menos del 60 % de campos cubiertos: </w:t>
      </w:r>
      <w:r>
        <w:rPr>
          <w:b/>
          <w:bCs/>
        </w:rPr>
        <w:t xml:space="preserve">gobierno, bolsa, transacciones</w:t>
      </w:r>
      <w:r>
        <w:t xml:space="preserve"> · Generado el 14 oct 2026.</w:t>
      </w:r>
    </w:p>
    <w:p>
      <w:pPr>
        <w:pStyle w:val="Nota"/>
        <w:spacing w:after="100"/>
      </w:pPr>
      <w:r>
        <w:t xml:space="preserve">Análisis hecho desde la nube con la red limitada a la búsqueda web: la web de la empresa, Yahoo y los proveedores de datos no se pudieron abrir, así que las cifras salen de los extractos de búsqueda de las notas de prensa y presentaciones de Straumann, de Stock Analysis, Stockopedia y Fintel y de la prensa financiera suiza (AWP), cruzadas cuando fue posible. La confianza es menor que en un análisis normal: el balance solo tiene activo total, patrimonio, caja e intangibles, y la deuda solo el total de 2025 (509 M con arrendamientos). </w:t>
      </w:r>
      <w:r>
        <w:rPr>
          <w:b/>
        </w:rPr>
        <w:t xml:space="preserve">Precio</w:t>
      </w:r>
      <w:r>
        <w:t xml:space="preserve">: no se encontró un cierre fechado del 13-oct-2026; se usa 92,00 CHF, la cotización citada el 3-oct-2026 [37] (las páginas sin fecha daban 88,7-98,0 CHF) [44]. </w:t>
      </w:r>
      <w:r>
        <w:rPr>
          <w:b/>
        </w:rPr>
        <w:t xml:space="preserve">Cuenta en base core</w:t>
      </w:r>
      <w:r>
        <w:t xml:space="preserve"> (la de la empresa: sin amortización de intangibles de compras, deterioros ni reestructuración), que es la que sigue el mercado y la del objetivo a 12 meses; el beneficio IFRS de 2025 fue ≈356 M frente a 478 M core [1, 2, 5]. 2021-2022 incluyen DrSmile; 2023 en adelante, sin ella. Acción desdoblada 1:10 en 2022: precios y BPA anteriores divididos por diez [11]. El circulante no se pudo reconstruir: la inversión en circulante se suma al capex del DCF (≈1,2 puntos de las ventas).</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14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Straumann Holding AG (STMN)</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(CHF) · precio actual 92,00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Hoja1!$A$2:$A$7</c:f>
              <c:strCache>
                <c:ptCount val="6"/>
                <c:pt idx="0">
                  <c:v>Precio objetivo de los analistas (81,11 – 152,83)</c:v>
                </c:pt>
                <c:pt idx="1">
                  <c:v>Comparables: PER NTM (56,74 – 89,59)</c:v>
                </c:pt>
                <c:pt idx="2">
                  <c:v>DCF (WACC y g ± 0,5) (66,40 – 87,05)</c:v>
                </c:pt>
                <c:pt idx="3">
                  <c:v>Escenarios (bajista – alcista) (53,18 – 88,96)</c:v>
                </c:pt>
                <c:pt idx="4">
                  <c:v>DCF con la prima implícita del mercado (4,2 %)</c:v>
                </c:pt>
                <c:pt idx="5">
                  <c:v>Precio actual (92,00)</c:v>
                </c:pt>
              </c:strCache>
            </c:strRef>
          </c:cat>
          <c:val>
            <c:numRef>
              <c:f>Hoja1!$B$2:$B$7</c:f>
              <c:numCache>
                <c:formatCode>#,##0</c:formatCode>
                <c:ptCount val="6"/>
                <c:pt idx="0">
                  <c:v>81.11</c:v>
                </c:pt>
                <c:pt idx="1">
                  <c:v>56.74</c:v>
                </c:pt>
                <c:pt idx="2">
                  <c:v>66.4</c:v>
                </c:pt>
                <c:pt idx="3">
                  <c:v>53.18</c:v>
                </c:pt>
                <c:pt idx="4">
                  <c:v>88.13</c:v>
                </c:pt>
                <c:pt idx="5">
                  <c:v>91.54</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5"/>
            <c:invertIfNegative val="0"/>
            <c:bubble3D val="0"/>
            <c:spPr>
              <a:solidFill>
                <a:srgbClr val="C9C8C2"/>
              </a:solidFill>
            </c:spPr>
          </c:dPt>
          <c:cat>
            <c:strRef>
              <c:f>Hoja1!$A$2:$A$7</c:f>
              <c:strCache>
                <c:ptCount val="6"/>
                <c:pt idx="0">
                  <c:v>Precio objetivo de los analistas (81,11 – 152,83)</c:v>
                </c:pt>
                <c:pt idx="1">
                  <c:v>Comparables: PER NTM (56,74 – 89,59)</c:v>
                </c:pt>
                <c:pt idx="2">
                  <c:v>DCF (WACC y g ± 0,5) (66,40 – 87,05)</c:v>
                </c:pt>
                <c:pt idx="3">
                  <c:v>Escenarios (bajista – alcista) (53,18 – 88,96)</c:v>
                </c:pt>
                <c:pt idx="4">
                  <c:v>DCF con la prima implícita del mercado (4,2 %)</c:v>
                </c:pt>
                <c:pt idx="5">
                  <c:v>Precio actual (92,00)</c:v>
                </c:pt>
              </c:strCache>
            </c:strRef>
          </c:cat>
          <c:val>
            <c:numRef>
              <c:f>Hoja1!$C$2:$C$7</c:f>
              <c:numCache>
                <c:formatCode>#,##0</c:formatCode>
                <c:ptCount val="6"/>
                <c:pt idx="0">
                  <c:v>71.72000000000001</c:v>
                </c:pt>
                <c:pt idx="1">
                  <c:v>32.85</c:v>
                </c:pt>
                <c:pt idx="2">
                  <c:v>20.64999999999999</c:v>
                </c:pt>
                <c:pt idx="3">
                  <c:v>35.779999999999994</c:v>
                </c:pt>
                <c:pt idx="4">
                  <c:v>20.85000000000001</c:v>
                </c:pt>
                <c:pt idx="5">
                  <c:v>0.9199999999999875</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4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(CHF, millones)</a:t>
            </a:r>
          </a:p>
        </c:rich>
      </c:tx>
      <c:overlay val="0"/>
    </c:title>
    <c:autoTitleDeleted val="0"/>
    <c:plotArea>
      <c:layout/>
      <c:barChart>
        <c:barDir val="col"/>
        <c:grouping val="stacked"/>
        <c:varyColors val="0"/>
        <c:ser>
          <c:idx val="0"/>
          <c:order val="0"/>
          <c:tx>
            <c:strRef>
              <c:f>Hoja1!$B$1</c:f>
              <c:strCache>
                <c:ptCount val="1"/>
                <c:pt idx="0">
                  <c:v>Grupo (un solo segmento operativo publicado por regiones)</c:v>
                </c:pt>
              </c:strCache>
            </c:strRef>
          </c:tx>
          <c:spPr>
            <a:solidFill>
              <a:srgbClr val="2A78D6"/>
            </a:solidFill>
            <a:ln w="12700">
              <a:no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2022</c:v>
                </c:pt>
                <c:pt idx="1">
                  <c:v>2321</c:v>
                </c:pt>
                <c:pt idx="2">
                  <c:v>2277</c:v>
                </c:pt>
                <c:pt idx="3">
                  <c:v>2504</c:v>
                </c:pt>
                <c:pt idx="4">
                  <c:v>2605</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c:f>
              <c:strCache>
                <c:ptCount val="1"/>
                <c:pt idx="0">
                  <c:v>Grupo (un solo segmento operativo publicado por regiones)</c:v>
                </c:pt>
              </c:strCache>
            </c:strRef>
          </c:cat>
          <c:val>
            <c:numRef>
              <c:f>Hoja1!$B$2</c:f>
              <c:numCache>
                <c:formatCode>General</c:formatCode>
                <c:ptCount val="1"/>
                <c:pt idx="0">
                  <c:v>100</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(millones de USD)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Hoja1!$A$2:$A$3</c:f>
              <c:strCache>
                <c:ptCount val="2"/>
                <c:pt idx="0">
                  <c:v>2025</c:v>
                </c:pt>
                <c:pt idx="1">
                  <c:v>2034e</c:v>
                </c:pt>
              </c:strCache>
            </c:strRef>
          </c:cat>
          <c:val>
            <c:numRef>
              <c:f>Hoja1!$B$2:$B$3</c:f>
              <c:numCache>
                <c:formatCode>#,##0</c:formatCode>
                <c:ptCount val="2"/>
                <c:pt idx="0">
                  <c:v>5200</c:v>
                </c:pt>
                <c:pt idx="1">
                  <c:v>9600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3</c:v>
                </c:pt>
                <c:pt idx="1">
                  <c:v>2</c:v>
                </c:pt>
                <c:pt idx="2">
                  <c:v>1</c:v>
                </c:pt>
                <c:pt idx="3">
                  <c:v>3</c:v>
                </c:pt>
                <c:pt idx="4">
                  <c:v>2</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Straumann</c:v>
                </c:pt>
                <c:pt idx="1">
                  <c:v>Envista (Nobel Biocare, Implant Direct)</c:v>
                </c:pt>
                <c:pt idx="2">
                  <c:v>Dentsply Sirona (MIS, Astra Tech)</c:v>
                </c:pt>
                <c:pt idx="3">
                  <c:v>Osstem Implant</c:v>
                </c:pt>
                <c:pt idx="4">
                  <c:v>Align Technology</c:v>
                </c:pt>
              </c:strCache>
            </c:strRef>
          </c:cat>
          <c:val>
            <c:numRef>
              <c:f>Hoja1!$B$2:$B$6</c:f>
              <c:numCache>
                <c:formatCode>0.0"%"</c:formatCode>
                <c:ptCount val="5"/>
                <c:pt idx="0">
                  <c:v>25.2</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2</c:v>
                </c:pt>
                <c:pt idx="1">
                  <c:v>4</c:v>
                </c:pt>
                <c:pt idx="2">
                  <c:v>5</c:v>
                </c:pt>
                <c:pt idx="3">
                  <c:v>3</c:v>
                </c:pt>
                <c:pt idx="4">
                  <c:v>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(CHF,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Hoja1!$A$2:$A$13</c:f>
              <c:strCache>
                <c:ptCount val="12"/>
                <c:pt idx="0">
                  <c:v>2021</c:v>
                </c:pt>
                <c:pt idx="1">
                  <c:v>2022</c:v>
                </c:pt>
                <c:pt idx="2">
                  <c:v>2023</c:v>
                </c:pt>
                <c:pt idx="3">
                  <c:v>2024</c:v>
                </c:pt>
                <c:pt idx="4">
                  <c:v>2025</c:v>
                </c:pt>
                <c:pt idx="5">
                  <c:v>2026e</c:v>
                </c:pt>
                <c:pt idx="6">
                  <c:v>2027e</c:v>
                </c:pt>
                <c:pt idx="7">
                  <c:v>2028e</c:v>
                </c:pt>
                <c:pt idx="8">
                  <c:v>2029e</c:v>
                </c:pt>
                <c:pt idx="9">
                  <c:v>2030e</c:v>
                </c:pt>
                <c:pt idx="10">
                  <c:v>2031e</c:v>
                </c:pt>
                <c:pt idx="11">
                  <c:v>2032e</c:v>
                </c:pt>
              </c:strCache>
            </c:strRef>
          </c:cat>
          <c:val>
            <c:numRef>
              <c:f>Hoja1!$B$2:$B$13</c:f>
              <c:numCache>
                <c:formatCode>#,##0</c:formatCode>
                <c:ptCount val="12"/>
                <c:pt idx="0">
                  <c:v>2022</c:v>
                </c:pt>
                <c:pt idx="1">
                  <c:v>2321</c:v>
                </c:pt>
                <c:pt idx="2">
                  <c:v>2277</c:v>
                </c:pt>
                <c:pt idx="3">
                  <c:v>2504</c:v>
                </c:pt>
                <c:pt idx="4">
                  <c:v>2605</c:v>
                </c:pt>
                <c:pt idx="5">
                  <c:v>2683</c:v>
                </c:pt>
                <c:pt idx="6">
                  <c:v>2871</c:v>
                </c:pt>
                <c:pt idx="7">
                  <c:v>3072</c:v>
                </c:pt>
                <c:pt idx="8">
                  <c:v>3272</c:v>
                </c:pt>
                <c:pt idx="9">
                  <c:v>3468</c:v>
                </c:pt>
                <c:pt idx="10">
                  <c:v>3659</c:v>
                </c:pt>
                <c:pt idx="11">
                  <c:v>3842</c:v>
                </c:pt>
              </c:numCache>
            </c:numRef>
          </c:val>
        </c:ser>
        <c:ser>
          <c:idx val="1"/>
          <c:order val="1"/>
          <c:tx>
            <c:strRef>
              <c:f>Hoja1!$C$1</c:f>
              <c:strCache>
                <c:ptCount val="1"/>
                <c:pt idx="0">
                  <c:v>EBITDA</c:v>
                </c:pt>
              </c:strCache>
            </c:strRef>
          </c:tx>
          <c:spPr>
            <a:solidFill>
              <a:srgbClr val="EB6834"/>
            </a:solidFill>
            <a:ln w="9525">
              <a:noFill/>
            </a:ln>
          </c:spPr>
          <c:invertIfNegative val="0"/>
          <c:cat>
            <c:strRef>
              <c:f>Hoja1!$A$2:$A$13</c:f>
              <c:strCache>
                <c:ptCount val="12"/>
                <c:pt idx="0">
                  <c:v>2021</c:v>
                </c:pt>
                <c:pt idx="1">
                  <c:v>2022</c:v>
                </c:pt>
                <c:pt idx="2">
                  <c:v>2023</c:v>
                </c:pt>
                <c:pt idx="3">
                  <c:v>2024</c:v>
                </c:pt>
                <c:pt idx="4">
                  <c:v>2025</c:v>
                </c:pt>
                <c:pt idx="5">
                  <c:v>2026e</c:v>
                </c:pt>
                <c:pt idx="6">
                  <c:v>2027e</c:v>
                </c:pt>
                <c:pt idx="7">
                  <c:v>2028e</c:v>
                </c:pt>
                <c:pt idx="8">
                  <c:v>2029e</c:v>
                </c:pt>
                <c:pt idx="9">
                  <c:v>2030e</c:v>
                </c:pt>
                <c:pt idx="10">
                  <c:v>2031e</c:v>
                </c:pt>
                <c:pt idx="11">
                  <c:v>2032e</c:v>
                </c:pt>
              </c:strCache>
            </c:strRef>
          </c:cat>
          <c:val>
            <c:numRef>
              <c:f>Hoja1!$C$2:$C$13</c:f>
              <c:numCache>
                <c:formatCode>#,##0</c:formatCode>
                <c:ptCount val="12"/>
                <c:pt idx="3">
                  <c:v>796</c:v>
                </c:pt>
                <c:pt idx="4">
                  <c:v>797</c:v>
                </c:pt>
                <c:pt idx="5">
                  <c:v>826</c:v>
                </c:pt>
                <c:pt idx="6">
                  <c:v>907</c:v>
                </c:pt>
                <c:pt idx="7">
                  <c:v>989</c:v>
                </c:pt>
                <c:pt idx="8">
                  <c:v>1067</c:v>
                </c:pt>
                <c:pt idx="9">
                  <c:v>1137</c:v>
                </c:pt>
                <c:pt idx="10">
                  <c:v>1207</c:v>
                </c:pt>
                <c:pt idx="11">
                  <c:v>1268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EBITDA</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3">
                  <c:v>31.8</c:v>
                </c:pt>
                <c:pt idx="4">
                  <c:v>30.6</c:v>
                </c:pt>
              </c:numCache>
            </c:numRef>
          </c:val>
          <c:smooth val="0"/>
        </c:ser>
        <c:ser>
          <c:idx val="1"/>
          <c:order val="1"/>
          <c:tx>
            <c:strRef>
              <c:f>Hoja1!$C$1</c:f>
              <c:strCache>
                <c:ptCount val="1"/>
                <c:pt idx="0">
                  <c:v>EBIT</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27.4</c:v>
                </c:pt>
                <c:pt idx="1">
                  <c:v>26</c:v>
                </c:pt>
                <c:pt idx="3">
                  <c:v>26</c:v>
                </c:pt>
                <c:pt idx="4">
                  <c:v>25.2</c:v>
                </c:pt>
              </c:numCache>
            </c:numRef>
          </c:val>
          <c:smooth val="0"/>
        </c:ser>
        <c:ser>
          <c:idx val="2"/>
          <c:order val="2"/>
          <c:tx>
            <c:strRef>
              <c:f>Hoja1!$D$1</c:f>
              <c:strCache>
                <c:ptCount val="1"/>
                <c:pt idx="0">
                  <c:v>Neto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22.6</c:v>
                </c:pt>
                <c:pt idx="1">
                  <c:v>20.8</c:v>
                </c:pt>
                <c:pt idx="2">
                  <c:v>19.3</c:v>
                </c:pt>
                <c:pt idx="3">
                  <c:v>20</c:v>
                </c:pt>
                <c:pt idx="4">
                  <c:v>18.3</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Hoja1!$A$2:$A$4</c:f>
              <c:strCache>
                <c:ptCount val="3"/>
                <c:pt idx="0">
                  <c:v>1S25</c:v>
                </c:pt>
                <c:pt idx="1">
                  <c:v>2S25</c:v>
                </c:pt>
                <c:pt idx="2">
                  <c:v>1S26</c:v>
                </c:pt>
              </c:strCache>
            </c:strRef>
          </c:cat>
          <c:val>
            <c:numRef>
              <c:f>Hoja1!$B$2:$B$4</c:f>
              <c:numCache>
                <c:formatCode>0.0"%"</c:formatCode>
                <c:ptCount val="3"/>
                <c:pt idx="2">
                  <c:v>2.3</c:v>
                </c:pt>
              </c:numCache>
            </c:numRef>
          </c:val>
        </c:ser>
        <c:ser>
          <c:idx val="1"/>
          <c:order val="1"/>
          <c:tx>
            <c:strRef>
              <c:f>Hoja1!$C$1</c:f>
              <c:strCache>
                <c:ptCount val="1"/>
                <c:pt idx="0">
                  <c:v>Orgánico</c:v>
                </c:pt>
              </c:strCache>
            </c:strRef>
          </c:tx>
          <c:spPr>
            <a:solidFill>
              <a:srgbClr val="EB6834"/>
            </a:solidFill>
            <a:ln w="9525">
              <a:noFill/>
            </a:ln>
          </c:spPr>
          <c:invertIfNegative val="0"/>
          <c:cat>
            <c:strRef>
              <c:f>Hoja1!$A$2:$A$4</c:f>
              <c:strCache>
                <c:ptCount val="3"/>
                <c:pt idx="0">
                  <c:v>1S25</c:v>
                </c:pt>
                <c:pt idx="1">
                  <c:v>2S25</c:v>
                </c:pt>
                <c:pt idx="2">
                  <c:v>1S26</c:v>
                </c:pt>
              </c:strCache>
            </c:strRef>
          </c:cat>
          <c:val>
            <c:numRef>
              <c:f>Hoja1!$C$2:$C$4</c:f>
              <c:numCache>
                <c:formatCode>0.0"%"</c:formatCode>
                <c:ptCount val="3"/>
                <c:pt idx="2">
                  <c:v>7.8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(CHF,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455.19999999999993</c:v>
                </c:pt>
                <c:pt idx="1">
                  <c:v>253.6</c:v>
                </c:pt>
                <c:pt idx="2">
                  <c:v>352.3</c:v>
                </c:pt>
                <c:pt idx="3">
                  <c:v>315.59999999999997</c:v>
                </c:pt>
                <c:pt idx="4">
                  <c:v>280.6</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456</c:v>
                </c:pt>
                <c:pt idx="1">
                  <c:v>482</c:v>
                </c:pt>
                <c:pt idx="2">
                  <c:v>440</c:v>
                </c:pt>
                <c:pt idx="3">
                  <c:v>502</c:v>
                </c:pt>
                <c:pt idx="4">
                  <c:v>478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67</c:v>
                </c:pt>
                <c:pt idx="1">
                  <c:v>50.9</c:v>
                </c:pt>
                <c:pt idx="3">
                  <c:v>31.5</c:v>
                </c:pt>
                <c:pt idx="4">
                  <c:v>25.6</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7.4</c:v>
                </c:pt>
                <c:pt idx="1">
                  <c:v>7.4</c:v>
                </c:pt>
                <c:pt idx="2">
                  <c:v>7.4</c:v>
                </c:pt>
                <c:pt idx="3">
                  <c:v>7.4</c:v>
                </c:pt>
                <c:pt idx="4">
                  <c:v>7.4</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30.4</c:v>
                </c:pt>
                <c:pt idx="1">
                  <c:v>28.7</c:v>
                </c:pt>
                <c:pt idx="2">
                  <c:v>23.8</c:v>
                </c:pt>
                <c:pt idx="3">
                  <c:v>25.9</c:v>
                </c:pt>
                <c:pt idx="4">
                  <c:v>22.7</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2021</c:v>
                </c:pt>
                <c:pt idx="1">
                  <c:v>2022</c:v>
                </c:pt>
                <c:pt idx="2">
                  <c:v>2023</c:v>
                </c:pt>
                <c:pt idx="3">
                  <c:v>2024</c:v>
                </c:pt>
                <c:pt idx="4">
                  <c:v>2025</c:v>
                </c:pt>
              </c:strCache>
            </c:strRef>
          </c:cat>
          <c:val>
            <c:numRef>
              <c:f>Hoja1!$B$2:$B$6</c:f>
              <c:numCache>
                <c:formatCode>0.0"x"</c:formatCode>
                <c:ptCount val="5"/>
                <c:pt idx="3">
                  <c:v>-0.47</c:v>
                </c:pt>
                <c:pt idx="4">
                  <c:v>0.01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(CHF, millones)</a:t>
            </a:r>
          </a:p>
        </c:rich>
      </c:tx>
      <c:overlay val="0"/>
    </c:title>
    <c:autoTitleDeleted val="0"/>
    <c:plotArea>
      <c:layout/>
      <c:barChart>
        <c:barDir val="col"/>
        <c:grouping val="stacked"/>
        <c:varyColors val="0"/>
        <c:ser>
          <c:idx val="0"/>
          <c:order val="0"/>
          <c:tx>
            <c:strRef>
              <c:f>Hoja1!$B$1</c:f>
              <c:strCache>
                <c:ptCount val="1"/>
                <c:pt idx="0">
                  <c:v>Dividendos</c:v>
                </c:pt>
              </c:strCache>
            </c:strRef>
          </c:tx>
          <c:spPr>
            <a:solidFill>
              <a:srgbClr val="2A78D6"/>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92</c:v>
                </c:pt>
                <c:pt idx="1">
                  <c:v>108</c:v>
                </c:pt>
                <c:pt idx="2">
                  <c:v>128</c:v>
                </c:pt>
                <c:pt idx="3">
                  <c:v>136</c:v>
                </c:pt>
                <c:pt idx="4">
                  <c:v>151</c:v>
                </c:pt>
              </c:numCache>
            </c:numRef>
          </c:val>
        </c:ser>
        <c:ser>
          <c:idx val="1"/>
          <c:order val="1"/>
          <c:tx>
            <c:strRef>
              <c:f>Hoja1!$C$1</c:f>
              <c:strCache>
                <c:ptCount val="1"/>
                <c:pt idx="0">
                  <c:v>Recompras</c:v>
                </c:pt>
              </c:strCache>
            </c:strRef>
          </c:tx>
          <c:spPr>
            <a:solidFill>
              <a:srgbClr val="EB6834"/>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0</c:v>
                </c:pt>
                <c:pt idx="1">
                  <c:v>0</c:v>
                </c:pt>
                <c:pt idx="2">
                  <c:v>0</c:v>
                </c:pt>
                <c:pt idx="3">
                  <c:v>0</c:v>
                </c:pt>
                <c:pt idx="4">
                  <c:v>0</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c:f>
              <c:strCache>
                <c:ptCount val="1"/>
                <c:pt idx="0">
                  <c:v>Independiente</c:v>
                </c:pt>
              </c:strCache>
            </c:strRef>
          </c:cat>
          <c:val>
            <c:numRef>
              <c:f>Hoja1!$B$2</c:f>
              <c:numCache>
                <c:formatCode>0</c:formatCode>
                <c:ptCount val="1"/>
                <c:pt idx="0">
                  <c:v>3</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Thomas Straumann</c:v>
                </c:pt>
                <c:pt idx="1">
                  <c:v>Rudolf Maag</c:v>
                </c:pt>
                <c:pt idx="2">
                  <c:v>UBS Fund Management (Switzerland)</c:v>
                </c:pt>
                <c:pt idx="3">
                  <c:v>BlackRock</c:v>
                </c:pt>
                <c:pt idx="4">
                  <c:v>Gabriella Straumann</c:v>
                </c:pt>
              </c:strCache>
            </c:strRef>
          </c:cat>
          <c:val>
            <c:numRef>
              <c:f>Hoja1!$B$2:$B$6</c:f>
              <c:numCache>
                <c:formatCode>0.0"%"</c:formatCode>
                <c:ptCount val="5"/>
                <c:pt idx="0">
                  <c:v>15.5</c:v>
                </c:pt>
                <c:pt idx="1">
                  <c:v>10.2</c:v>
                </c:pt>
                <c:pt idx="2">
                  <c:v>5.1</c:v>
                </c:pt>
                <c:pt idx="3">
                  <c:v>4.7</c:v>
                </c:pt>
                <c:pt idx="4">
                  <c:v>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Pt>
            <c:idx val="8"/>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Hoja1!$A$2:$A$10</c:f>
              <c:strCache>
                <c:ptCount val="9"/>
                <c:pt idx="0">
                  <c:v>Straumann</c:v>
                </c:pt>
                <c:pt idx="1">
                  <c:v>Sonova</c:v>
                </c:pt>
                <c:pt idx="2">
                  <c:v>Demant</c:v>
                </c:pt>
                <c:pt idx="3">
                  <c:v>Coloplast</c:v>
                </c:pt>
                <c:pt idx="4">
                  <c:v>Cochlear</c:v>
                </c:pt>
                <c:pt idx="5">
                  <c:v>Smith &amp; Nephew</c:v>
                </c:pt>
                <c:pt idx="6">
                  <c:v>Align Technology</c:v>
                </c:pt>
                <c:pt idx="7">
                  <c:v>Edwards Lifesciences</c:v>
                </c:pt>
                <c:pt idx="8">
                  <c:v>Alcon</c:v>
                </c:pt>
              </c:strCache>
            </c:strRef>
          </c:cat>
          <c:val>
            <c:numRef>
              <c:f>Hoja1!$B$2:$B$10</c:f>
              <c:numCache>
                <c:formatCode>0.0"x"</c:formatCode>
                <c:ptCount val="9"/>
                <c:pt idx="1">
                  <c:v>15.2</c:v>
                </c:pt>
                <c:pt idx="2">
                  <c:v>13.7</c:v>
                </c:pt>
                <c:pt idx="3">
                  <c:v>13.3</c:v>
                </c:pt>
                <c:pt idx="4">
                  <c:v>14.6</c:v>
                </c:pt>
                <c:pt idx="5">
                  <c:v>8.2</c:v>
                </c:pt>
                <c:pt idx="6">
                  <c:v>7.4</c:v>
                </c:pt>
                <c:pt idx="7">
                  <c:v>19.4</c:v>
                </c:pt>
                <c:pt idx="8">
                  <c:v>10.6</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esperado frente a múltiplo</a:t>
            </a:r>
          </a:p>
        </c:rich>
      </c:tx>
      <c:overlay val="0"/>
    </c:title>
    <c:autoTitleDeleted val="0"/>
    <c:plotArea>
      <c:layout/>
      <c:scatterChart>
        <c:scatterStyle val="lineMarker"/>
        <c:varyColors val="0"/>
        <c:ser>
          <c:idx val="0"/>
          <c:order val="0"/>
          <c:tx>
            <c:strRef>
              <c:f>Hoja1!$A$2</c:f>
              <c:strCache>
                <c:ptCount val="1"/>
                <c:pt idx="0">
                  <c:v>Sonova</c:v>
                </c:pt>
              </c:strCache>
            </c:strRef>
          </c:tx>
          <c:spPr>
            <a:ln w="19050">
              <a:noFill/>
            </a:ln>
          </c:spPr>
          <c:marker>
            <c:symbol val="circle"/>
            <c:size val="10"/>
            <c:spPr>
              <a:solidFill>
                <a:srgbClr val="2A78D6"/>
              </a:solidFill>
              <a:ln w="9525">
                <a:solidFill>
                  <a:srgbClr val="FFFFFF"/>
                </a:solidFill>
              </a:ln>
            </c:spPr>
          </c:marker>
          <c:dLbls>
            <c:spPr>
              <a:noFill/>
              <a:ln>
                <a:noFill/>
              </a:ln>
            </c:spPr>
            <c:txPr>
              <a:bodyPr/>
              <a:lstStyle/>
              <a:p>
                <a:pPr>
                  <a:defRPr sz="800">
                    <a:solidFill>
                      <a:srgbClr val="1F2A3C"/>
                    </a:solidFill>
                  </a:defRPr>
                </a:pPr>
                <a:endParaRPr lang="es-ES"/>
              </a:p>
            </c:txPr>
            <c:dLblPos val="r"/>
            <c:showLegendKey val="0"/>
            <c:showVal val="0"/>
            <c:showCatName val="0"/>
            <c:showSerName val="1"/>
            <c:showPercent val="0"/>
            <c:showBubbleSize val="0"/>
          </c:dLbls>
          <c:xVal>
            <c:numRef>
              <c:f>Hoja1!$B$2</c:f>
              <c:numCache>
                <c:formatCode>0"%"</c:formatCode>
                <c:ptCount val="1"/>
                <c:pt idx="0">
                  <c:v>7</c:v>
                </c:pt>
              </c:numCache>
            </c:numRef>
          </c:xVal>
          <c:yVal>
            <c:numRef>
              <c:f>Hoja1!$C$2</c:f>
              <c:numCache>
                <c:formatCode>0.0"x"</c:formatCode>
                <c:ptCount val="1"/>
                <c:pt idx="0">
                  <c:v>15.2</c:v>
                </c:pt>
              </c:numCache>
            </c:numRef>
          </c:yVal>
          <c:smooth val="0"/>
        </c:ser>
        <c:ser>
          <c:idx val="1"/>
          <c:order val="1"/>
          <c:tx>
            <c:strRef>
              <c:f>Hoja1!$A$3</c:f>
              <c:strCache>
                <c:ptCount val="1"/>
                <c:pt idx="0">
                  <c:v>Demant</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Hoja1!$B$3</c:f>
              <c:numCache>
                <c:formatCode>0"%"</c:formatCode>
                <c:ptCount val="1"/>
                <c:pt idx="0">
                  <c:v>10.2</c:v>
                </c:pt>
              </c:numCache>
            </c:numRef>
          </c:xVal>
          <c:yVal>
            <c:numRef>
              <c:f>Hoja1!$C$3</c:f>
              <c:numCache>
                <c:formatCode>0.0"x"</c:formatCode>
                <c:ptCount val="1"/>
                <c:pt idx="0">
                  <c:v>13.7</c:v>
                </c:pt>
              </c:numCache>
            </c:numRef>
          </c:yVal>
          <c:smooth val="0"/>
        </c:ser>
        <c:ser>
          <c:idx val="2"/>
          <c:order val="2"/>
          <c:tx>
            <c:strRef>
              <c:f>Hoja1!$A$4</c:f>
              <c:strCache>
                <c:ptCount val="1"/>
                <c:pt idx="0">
                  <c:v>Coloplast</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Hoja1!$B$4</c:f>
              <c:numCache>
                <c:formatCode>0"%"</c:formatCode>
                <c:ptCount val="1"/>
                <c:pt idx="0">
                  <c:v>7.6</c:v>
                </c:pt>
              </c:numCache>
            </c:numRef>
          </c:xVal>
          <c:yVal>
            <c:numRef>
              <c:f>Hoja1!$C$4</c:f>
              <c:numCache>
                <c:formatCode>0.0"x"</c:formatCode>
                <c:ptCount val="1"/>
                <c:pt idx="0">
                  <c:v>13.3</c:v>
                </c:pt>
              </c:numCache>
            </c:numRef>
          </c:yVal>
          <c:smooth val="0"/>
        </c:ser>
        <c:ser>
          <c:idx val="3"/>
          <c:order val="3"/>
          <c:tx>
            <c:strRef>
              <c:f>Hoja1!$A$5</c:f>
              <c:strCache>
                <c:ptCount val="1"/>
                <c:pt idx="0">
                  <c:v>Cochlear</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Hoja1!$B$5</c:f>
              <c:numCache>
                <c:formatCode>0"%"</c:formatCode>
                <c:ptCount val="1"/>
                <c:pt idx="0">
                  <c:v>2</c:v>
                </c:pt>
              </c:numCache>
            </c:numRef>
          </c:xVal>
          <c:yVal>
            <c:numRef>
              <c:f>Hoja1!$C$5</c:f>
              <c:numCache>
                <c:formatCode>0.0"x"</c:formatCode>
                <c:ptCount val="1"/>
                <c:pt idx="0">
                  <c:v>14.6</c:v>
                </c:pt>
              </c:numCache>
            </c:numRef>
          </c:yVal>
          <c:smooth val="0"/>
        </c:ser>
        <c:ser>
          <c:idx val="4"/>
          <c:order val="4"/>
          <c:tx>
            <c:strRef>
              <c:f>Hoja1!$A$6</c:f>
              <c:strCache>
                <c:ptCount val="1"/>
                <c:pt idx="0">
                  <c:v>Smith &amp; Nephew</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Hoja1!$B$6</c:f>
              <c:numCache>
                <c:formatCode>0"%"</c:formatCode>
                <c:ptCount val="1"/>
                <c:pt idx="0">
                  <c:v>5.1</c:v>
                </c:pt>
              </c:numCache>
            </c:numRef>
          </c:xVal>
          <c:yVal>
            <c:numRef>
              <c:f>Hoja1!$C$6</c:f>
              <c:numCache>
                <c:formatCode>0.0"x"</c:formatCode>
                <c:ptCount val="1"/>
                <c:pt idx="0">
                  <c:v>8.2</c:v>
                </c:pt>
              </c:numCache>
            </c:numRef>
          </c:yVal>
          <c:smooth val="0"/>
        </c:ser>
        <c:ser>
          <c:idx val="5"/>
          <c:order val="5"/>
          <c:tx>
            <c:strRef>
              <c:f>Hoja1!$A$7</c:f>
              <c:strCache>
                <c:ptCount val="1"/>
                <c:pt idx="0">
                  <c:v>Align Technology</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Hoja1!$B$7</c:f>
              <c:numCache>
                <c:formatCode>0"%"</c:formatCode>
                <c:ptCount val="1"/>
                <c:pt idx="0">
                  <c:v>3.6</c:v>
                </c:pt>
              </c:numCache>
            </c:numRef>
          </c:xVal>
          <c:yVal>
            <c:numRef>
              <c:f>Hoja1!$C$7</c:f>
              <c:numCache>
                <c:formatCode>0.0"x"</c:formatCode>
                <c:ptCount val="1"/>
                <c:pt idx="0">
                  <c:v>7.4</c:v>
                </c:pt>
              </c:numCache>
            </c:numRef>
          </c:yVal>
          <c:smooth val="0"/>
        </c:ser>
        <c:ser>
          <c:idx val="6"/>
          <c:order val="6"/>
          <c:tx>
            <c:strRef>
              <c:f>Hoja1!$A$8</c:f>
              <c:strCache>
                <c:ptCount val="1"/>
                <c:pt idx="0">
                  <c:v>Edwards Lifesciences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Hoja1!$B$8</c:f>
              <c:numCache>
                <c:formatCode>0"%"</c:formatCode>
                <c:ptCount val="1"/>
                <c:pt idx="0">
                  <c:v>10.5</c:v>
                </c:pt>
              </c:numCache>
            </c:numRef>
          </c:xVal>
          <c:yVal>
            <c:numRef>
              <c:f>Hoja1!$C$8</c:f>
              <c:numCache>
                <c:formatCode>0.0"x"</c:formatCode>
                <c:ptCount val="1"/>
                <c:pt idx="0">
                  <c:v>19.4</c:v>
                </c:pt>
              </c:numCache>
            </c:numRef>
          </c:yVal>
          <c:smooth val="0"/>
        </c:ser>
        <c:ser>
          <c:idx val="7"/>
          <c:order val="7"/>
          <c:tx>
            <c:strRef>
              <c:f>Hoja1!$A$9</c:f>
              <c:strCache>
                <c:ptCount val="1"/>
                <c:pt idx="0">
                  <c:v>Alcon</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Hoja1!$B$9</c:f>
              <c:numCache>
                <c:formatCode>0"%"</c:formatCode>
                <c:ptCount val="1"/>
                <c:pt idx="0">
                  <c:v>6.2</c:v>
                </c:pt>
              </c:numCache>
            </c:numRef>
          </c:xVal>
          <c:yVal>
            <c:numRef>
              <c:f>Hoja1!$C$9</c:f>
              <c:numCache>
                <c:formatCode>0.0"x"</c:formatCode>
                <c:ptCount val="1"/>
                <c:pt idx="0">
                  <c:v>10.6</c:v>
                </c:pt>
              </c:numCache>
            </c:numRef>
          </c:yVal>
          <c:smooth val="0"/>
        </c:ser>
        <c:axId val="10"/>
        <c:axId val="20"/>
      </c:scatterChart>
      <c:valAx>
        <c:axId val="10"/>
        <c:scaling>
          <c:orientation val="minMax"/>
          <c:max val="13"/>
        </c:scaling>
        <c:delete val="0"/>
        <c:axPos val="b"/>
        <c:title>
          <c:tx>
            <c:rich>
              <a:bodyPr/>
              <a:lstStyle/>
              <a:p>
                <a:pPr>
                  <a:defRPr sz="850" b="0">
                    <a:solidFill>
                      <a:srgbClr val="52514E"/>
                    </a:solidFill>
                  </a:defRPr>
                </a:pPr>
                <a:r>
                  <a:rPr lang="es-ES" sz="850" b="0">
                    <a:solidFill>
                      <a:srgbClr val="52514E"/>
                    </a:solidFill>
                  </a:rPr>
                  <a:t>Crecimiento de ingresos próximos 12 meses (%)</a:t>
                </a:r>
              </a:p>
            </c:rich>
          </c:tx>
          <c:overlay val="0"/>
        </c:title>
        <c:numFmt formatCode="0&quot;%&quot;"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crossBetween val="midCat"/>
      </c:valAx>
      <c:valAx>
        <c:axId val="20"/>
        <c:scaling>
          <c:orientation val="minMax"/>
          <c:min val="5"/>
        </c:scaling>
        <c:delete val="0"/>
        <c:axPos val="l"/>
        <c:majorGridlines>
          <c:spPr>
            <a:ln w="6350">
              <a:solidFill>
                <a:srgbClr val="E4E3DF"/>
              </a:solidFill>
            </a:ln>
          </c:spPr>
        </c:majorGridlines>
        <c:title>
          <c:tx>
            <c:rich>
              <a:bodyPr rot="-5400000" vert="horz"/>
              <a:lstStyle/>
              <a:p>
                <a:pPr>
                  <a:defRPr sz="850" b="0">
                    <a:solidFill>
                      <a:srgbClr val="52514E"/>
                    </a:solidFill>
                  </a:defRPr>
                </a:pPr>
                <a:r>
                  <a:rPr lang="es-ES" sz="850" b="0">
                    <a:solidFill>
                      <a:srgbClr val="52514E"/>
                    </a:solidFill>
                  </a:rPr>
                  <a:t>EV/EBITDA NTM (x)</a:t>
                </a:r>
              </a:p>
            </c:rich>
          </c:tx>
          <c:overlay val="0"/>
        </c:title>
        <c:numFmt formatCode="0.0&quot;x&quot;" sourceLinked="0"/>
        <c:majorTickMark val="none"/>
        <c:minorTickMark val="none"/>
        <c:tickLblPos val="low"/>
        <c:spPr>
          <a:ln>
            <a:noFill/>
          </a:ln>
        </c:spPr>
        <c:txPr>
          <a:bodyPr/>
          <a:lstStyle/>
          <a:p>
            <a:pPr>
              <a:defRPr sz="850">
                <a:solidFill>
                  <a:srgbClr val="52514E"/>
                </a:solidFill>
              </a:defRPr>
            </a:pPr>
            <a:endParaRPr lang="es-ES"/>
          </a:p>
        </c:txPr>
        <c:crossAx val="10"/>
        <c:crosses val="autoZero"/>
        <c:crossBetween val="midCat"/>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(CHF,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2026e</c:v>
                </c:pt>
                <c:pt idx="1">
                  <c:v>2027e</c:v>
                </c:pt>
                <c:pt idx="2">
                  <c:v>2028e</c:v>
                </c:pt>
                <c:pt idx="3">
                  <c:v>2029e</c:v>
                </c:pt>
                <c:pt idx="4">
                  <c:v>2030e</c:v>
                </c:pt>
                <c:pt idx="5">
                  <c:v>2031e</c:v>
                </c:pt>
                <c:pt idx="6">
                  <c:v>2032e</c:v>
                </c:pt>
              </c:strCache>
            </c:strRef>
          </c:cat>
          <c:val>
            <c:numRef>
              <c:f>Hoja1!$B$2:$B$8</c:f>
              <c:numCache>
                <c:formatCode>#,##0</c:formatCode>
                <c:ptCount val="7"/>
                <c:pt idx="0">
                  <c:v>455</c:v>
                </c:pt>
                <c:pt idx="1">
                  <c:v>505</c:v>
                </c:pt>
                <c:pt idx="2">
                  <c:v>564</c:v>
                </c:pt>
                <c:pt idx="3">
                  <c:v>618</c:v>
                </c:pt>
                <c:pt idx="4">
                  <c:v>671</c:v>
                </c:pt>
                <c:pt idx="5">
                  <c:v>725</c:v>
                </c:pt>
                <c:pt idx="6">
                  <c:v>777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(CHF,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Flujos proyectados</c:v>
                </c:pt>
                <c:pt idx="1">
                  <c:v>Etapa de transición</c:v>
                </c:pt>
                <c:pt idx="2">
                  <c:v>Valor terminal</c:v>
                </c:pt>
              </c:strCache>
            </c:strRef>
          </c:cat>
          <c:val>
            <c:numRef>
              <c:f>Hoja1!$B$2:$B$4</c:f>
              <c:numCache>
                <c:formatCode>#,##0</c:formatCode>
                <c:ptCount val="3"/>
                <c:pt idx="0">
                  <c:v>3132</c:v>
                </c:pt>
                <c:pt idx="1">
                  <c:v>2370</c:v>
                </c:pt>
                <c:pt idx="2">
                  <c:v>6613</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(CHF) · precio actual 92,00</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53.18</c:v>
                </c:pt>
                <c:pt idx="1">
                  <c:v>75.15</c:v>
                </c:pt>
                <c:pt idx="2">
                  <c:v>88.96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(CHF) · precio actual 92,00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Hoja1!$A$2:$A$7</c:f>
              <c:strCache>
                <c:ptCount val="6"/>
                <c:pt idx="0">
                  <c:v>Precio objetivo de los analistas (81,11 – 152,83)</c:v>
                </c:pt>
                <c:pt idx="1">
                  <c:v>Comparables: PER NTM (56,74 – 89,59)</c:v>
                </c:pt>
                <c:pt idx="2">
                  <c:v>DCF (WACC y g ± 0,5) (66,40 – 87,05)</c:v>
                </c:pt>
                <c:pt idx="3">
                  <c:v>Escenarios (bajista – alcista) (53,18 – 88,96)</c:v>
                </c:pt>
                <c:pt idx="4">
                  <c:v>DCF con la prima implícita del mercado (4,2 %)</c:v>
                </c:pt>
                <c:pt idx="5">
                  <c:v>Precio actual (92,00)</c:v>
                </c:pt>
              </c:strCache>
            </c:strRef>
          </c:cat>
          <c:val>
            <c:numRef>
              <c:f>Hoja1!$B$2:$B$7</c:f>
              <c:numCache>
                <c:formatCode>#,##0</c:formatCode>
                <c:ptCount val="6"/>
                <c:pt idx="0">
                  <c:v>81.11</c:v>
                </c:pt>
                <c:pt idx="1">
                  <c:v>56.74</c:v>
                </c:pt>
                <c:pt idx="2">
                  <c:v>66.4</c:v>
                </c:pt>
                <c:pt idx="3">
                  <c:v>53.18</c:v>
                </c:pt>
                <c:pt idx="4">
                  <c:v>88.13</c:v>
                </c:pt>
                <c:pt idx="5">
                  <c:v>91.54</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5"/>
            <c:invertIfNegative val="0"/>
            <c:bubble3D val="0"/>
            <c:spPr>
              <a:solidFill>
                <a:srgbClr val="C9C8C2"/>
              </a:solidFill>
            </c:spPr>
          </c:dPt>
          <c:cat>
            <c:strRef>
              <c:f>Hoja1!$A$2:$A$7</c:f>
              <c:strCache>
                <c:ptCount val="6"/>
                <c:pt idx="0">
                  <c:v>Precio objetivo de los analistas (81,11 – 152,83)</c:v>
                </c:pt>
                <c:pt idx="1">
                  <c:v>Comparables: PER NTM (56,74 – 89,59)</c:v>
                </c:pt>
                <c:pt idx="2">
                  <c:v>DCF (WACC y g ± 0,5) (66,40 – 87,05)</c:v>
                </c:pt>
                <c:pt idx="3">
                  <c:v>Escenarios (bajista – alcista) (53,18 – 88,96)</c:v>
                </c:pt>
                <c:pt idx="4">
                  <c:v>DCF con la prima implícita del mercado (4,2 %)</c:v>
                </c:pt>
                <c:pt idx="5">
                  <c:v>Precio actual (92,00)</c:v>
                </c:pt>
              </c:strCache>
            </c:strRef>
          </c:cat>
          <c:val>
            <c:numRef>
              <c:f>Hoja1!$C$2:$C$7</c:f>
              <c:numCache>
                <c:formatCode>#,##0</c:formatCode>
                <c:ptCount val="6"/>
                <c:pt idx="0">
                  <c:v>71.72000000000001</c:v>
                </c:pt>
                <c:pt idx="1">
                  <c:v>32.85</c:v>
                </c:pt>
                <c:pt idx="2">
                  <c:v>20.64999999999999</c:v>
                </c:pt>
                <c:pt idx="3">
                  <c:v>35.779999999999994</c:v>
                </c:pt>
                <c:pt idx="4">
                  <c:v>20.85000000000001</c:v>
                </c:pt>
                <c:pt idx="5">
                  <c:v>0.9199999999999875</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4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2026-10-14T10:04:16.623Z</dcterms:created>
  <dcterms:modified xsi:type="dcterms:W3CDTF">2026-10-14T10:04:16.623Z</dcterms:modified>
</cp:coreProperties>
</file>

<file path=docProps/custom.xml><?xml version="1.0" encoding="utf-8"?>
<Properties xmlns="http://schemas.openxmlformats.org/officeDocument/2006/custom-properties" xmlns:vt="http://schemas.openxmlformats.org/officeDocument/2006/docPropsVTypes"/>
</file>