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Booz Allen Hamilton Holding Corporation</w:t>
      </w:r>
    </w:p>
    <w:p>
      <w:pPr>
        <w:spacing w:after="60"/>
        <w:rPr>
          <w:color w:val="52514E"/>
          <w:sz w:val="22"/>
          <w:szCs w:val="22"/>
        </w:rPr>
      </w:pPr>
      <w:r>
        <w:rPr>
          <w:color w:val="52514E"/>
          <w:sz w:val="22"/>
          <w:szCs w:val="22"/>
        </w:rPr>
        <w:t xml:space="preserve">BAH · NYSE · ISIN US0995021062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19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74,26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96,08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+32,6 % (base +30,3 %)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99,13 USD · mercado 116,29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8.933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Booz Allen Hamilton Holding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BAH / US0995021062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Servicios profesionales (consultoría y tecnología para el Gobierno)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McLean, Virginia · 1914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www.boozallen.com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74,26 (16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59,50 – 109,10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8.933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13.049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135,6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96,08 USD</w:t>
      </w:r>
      <w:r>
        <w:t xml:space="preserve"> frente a 74,26 · Rentabilidad a 12 meses </w:t>
      </w:r>
      <w:r>
        <w:rPr>
          <w:b/>
          <w:bCs/>
        </w:rPr>
        <w:t xml:space="preserve">+32,6 % (base +30,3 %)</w:t>
      </w:r>
      <w:r>
        <w:t xml:space="preserve"> · Valor intrínseco 99,13 USD · con la prima implícita del mercado: 116,29 (+56,6 %) · Alcista / bajista +70,0 % / -16,2 %</w:t>
      </w:r>
    </w:p>
    <w:p>
      <w:pPr>
        <w:spacing w:after="100"/>
      </w:pPr>
      <w:r>
        <w:rPr>
          <w:b/>
        </w:rPr>
        <w:t xml:space="preserve">La recomendación y por qué.</w:t>
      </w:r>
      <w:r>
        <w:t xml:space="preserve"> Mantener con convicción media. El objetivo a 12 meses es de 96,08 USD (+32,6 % ponderado con dividendo, +30,3 % en el base) y el valor intrínseco de 99,13 USD (+33,5 %), ambos por encima del objetivo medio de los analistas (84,38). La regla da Comprar, y también con la v2 (+22,4 %), pero no compramos: el veredicto de sostenibilidad es «En parte» porque el crecimiento orgánico sigue siendo negativo y la IA y el paso a precio fijo pueden comerse las horas facturables. La convicción subiría a Comprar si el 2T27 (23-oct-2026) y el 3T27 muestran crecimiento orgánico de Seguridad nacional de al menos un 4 % con ingresos por empleado al alza; bajaría si los ingresos caen más que la plantilla.</w:t>
      </w:r>
    </w:p>
    <w:p>
      <w:pPr>
        <w:spacing w:after="100"/>
      </w:pPr>
      <w:r>
        <w:rPr>
          <w:b/>
        </w:rPr>
        <w:t xml:space="preserve">Qué cambia desde el 15-oct.</w:t>
      </w:r>
      <w:r>
        <w:t xml:space="preserve"> Nada en el negocio: no hay presentaciones nuevas en EDGAR desde el 24-ago y el consenso no se ha movido. El precio sube de 71,87 a 74,26 USD y el bono a 10 años baja del 5,21 % al 5,09 %: el DCF pasa de 105,85 a 107,94 USD y la rentabilidad ponderada a 12 meses del 34,5 % al 32,6 %. El disparador de la cola (orgánico positivo el 23-oct) sigue pendiente.</w:t>
      </w:r>
    </w:p>
    <w:p>
      <w:pPr>
        <w:spacing w:after="100"/>
      </w:pPr>
      <w:r>
        <w:rPr>
          <w:b/>
        </w:rPr>
        <w:t xml:space="preserve">El negocio.</w:t>
      </w:r>
      <w:r>
        <w:t xml:space="preserve"> Booz Allen vende el trabajo de 28.200 profesionales habilitados al Gobierno de EE. UU.: 71 % Defensa e Inteligencia, 29 % Civil. Rinde un ROIC del 25,0 % (58,0 % sin fondo de comercio) frente a un WACC del 7,97 %: 17 puntos. El foso es estrecho: no tiene poder de precios y el 81 % de los ingresos va por horas o costes. Sostenibilidad «En parte»: las pruebas financieras pasan, pero el volumen depende del presupuesto de defensa y de la IA, no de una ventaja propia.</w:t>
      </w:r>
    </w:p>
    <w:p>
      <w:pPr>
        <w:spacing w:after="100"/>
      </w:pPr>
      <w:r>
        <w:rPr>
          <w:b/>
        </w:rPr>
        <w:t xml:space="preserve">Riesgo de IA y del gasto federal.</w:t>
      </w:r>
      <w:r>
        <w:t xml:space="preserve"> Es la pregunta del informe. Hasta ahora Booz Allen captura la productividad: la plantilla bajó un 12 % con los ingresos un 6,4 % abajo y el margen del 1T27 fue del 11,9 %. Si el Gobierno exige quedarse con ese ahorro, como empieza a hacer con el precio fijo, el valor puede caer un 20-40 % a 3-5 años; a favor, entornos clasificados, alianza con OpenAI y productos (Ultra, 720 M). Los recortes civiles (DOGE) ya costaron un 22 % de Civil en FY2026, y la prórroga presupuestaria vigente vence el 11-dic-2026, con riesgo de otro cierre como el de 43 días de 2025.</w:t>
      </w:r>
    </w:p>
    <w:p>
      <w:pPr>
        <w:spacing w:after="100"/>
      </w:pPr>
      <w:r>
        <w:rPr>
          <w:b/>
        </w:rPr>
        <w:t xml:space="preserve">Finanzas.</w:t>
      </w:r>
      <w:r>
        <w:t xml:space="preserve"> Ventas de 11.217 M en FY2026 (−6,4 %), FCF de 951 M (112 % del beneficio). BPA normalizado de ≈5,5 USD (el publicado, 6,90, lleva una liberación fiscal). Deuda neta ajustada de 4.116 M tras Ultra, 3,3 veces el EBITDA: recompra con deuda. Rating Baa3/BBB-.</w:t>
      </w:r>
    </w:p>
    <w:p>
      <w:pPr>
        <w:spacing w:after="100"/>
      </w:pPr>
      <w:r>
        <w:rPr>
          <w:b/>
        </w:rPr>
        <w:t xml:space="preserve">Valoración.</w:t>
      </w:r>
      <w:r>
        <w:t xml:space="preserve"> El DCF da 107,94 USD; el DCF inverso dice que el precio descuenta una caída de ventas del 2,5 % anual hasta FY2033 o un margen del 9,1 %: el escenario en que la IA gana al modelo. PER adelantado de 13,4x frente a una mediana de cinco años de 19,0x y a 12,0x de los comparables (en otra base). Nuestro BPA de FY2029 (6,42) está un 8,5 % bajo el consenso porque no suponemos recompras nuevas.</w:t>
      </w:r>
    </w:p>
    <w:p>
      <w:pPr>
        <w:spacing w:after="100"/>
      </w:pPr>
      <w:r>
        <w:rPr>
          <w:b/>
        </w:rPr>
        <w:t xml:space="preserve">Riesgos y catalizadores.</w:t>
      </w:r>
      <w:r>
        <w:t xml:space="preserve"> IA (−20 % a −40 % si cede la productividad), Civil (−10 %) y prórrogas o cierre (−5 %); catalizadores: 2T27 el 23-oct, prórroga hasta el 11-dic y guía de FY2028 en mayo. Los foros señalan la IA como el riesgo principal, igual que este informe; el primer ejecutivo compró 2,0 M USD a 84,66 en oct-2025. Precio y noticias: veredicto «no cambia».</w:t>
      </w:r>
    </w:p>
    <w:p>
      <w:pPr>
        <w:spacing w:after="100"/>
      </w:pPr>
      <w:r>
        <w:rPr>
          <w:b/>
        </w:rPr>
        <w:t xml:space="preserve">Qué cambiaría la decisión.</w:t>
      </w:r>
      <w:r>
        <w:t xml:space="preserve"> La regla compra por debajo de 85,60 USD, pero solo compraríamos si la sostenibilidad pasa a «Sí» con dos trimestres de crecimiento orgánico de Seguridad nacional ≥ 4 %; vender por encima de 109,38 USD o si los ingresos por empleado caen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96,08 USD</w:t>
      </w:r>
      <w:r>
        <w:t xml:space="preserve"> (rentabilidad +32,6 % (base +30,3 %)) · Valor intrínseco: 99,13 USD (+33,5 % sobre 74,26) · con la prima implícita del mercado: 116,29 (+56,6 %)</w:t>
      </w:r>
    </w:p>
    <w:p>
      <w:pPr>
        <w:spacing w:after="100"/>
      </w:pPr>
      <w:r>
        <w:t xml:space="preserve">Booz Allen es el contratista de tecnología y consultoría más rentable del Gobierno de EE. UU.: ROIC del 25 % con un capex del 0,8 % de las ventas, un FCF de 951 M en FY2026 (el 11 % de su capitalización) y una cartera de 39.483 M, 3,5 años de ventas [3]. El 71 % de sus ingresos son de Defensa e Inteligencia, que siguen creciendo, y el 29 % de Civil, que cayó un 22 % por las revisiones de contratos de 2025-26 [2].</w:t>
      </w:r>
    </w:p>
    <w:p>
      <w:pPr>
        <w:spacing w:after="100"/>
      </w:pPr>
      <w:r>
        <w:t xml:space="preserve">A 74,26 USD el precio descuenta que las ventas caigan un 2,5 % al año hasta 2033 o que el margen baje del 11 % al 9 %: un PER adelantado de 13,4x frente a 19,0x de mediana en cinco años y un EV/EBITDA de 10,4x frente a 14,8x de media. Es decir, el mercado da por hecho que lo de Civil se extiende a todo el negocio y que la IA se come las horas facturables.</w:t>
      </w:r>
    </w:p>
    <w:p>
      <w:pPr>
        <w:spacing w:after="100"/>
      </w:pPr>
      <w:r>
        <w:t xml:space="preserve">Para invertir hay que creer que Booz Allen captura la productividad de la IA en lugar de cederla al cliente: que vende productos y resultados (Ultra, precio fijo) y no solo horas. Los datos de 2026 apuntan en esa dirección (margen del 11,9 %, ingresos por empleado +6 %), pero todavía no hay crecimiento orgánico que lo confirme. Por eso la valoración es atractiva y la calidad del crecimiento, dudosa.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FY2029e,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5,03 = 59,35 · 14,7x × 6,42 = 94,37 · 19,0x × 7,17 = 136,23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 / 30,3 %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84,38 (nuestro base +11,8 %)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99,13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 / -16,2 %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 frente a 8,0 %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116,29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frente a 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85,60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85,60 y 109,38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109,38 (ponderada a 12 meses ≤ -10 %)</w:t>
            </w:r>
          </w:p>
        </w:tc>
      </w:tr>
    </w:tbl>
    <w:p>
      <w:pPr>
        <w:spacing w:after="160" w:before="0"/>
      </w:pPr>
    </w:p>
    <w:p>
      <w:pPr>
        <w:spacing w:after="100"/>
      </w:pPr>
      <w:r>
        <w:rPr>
          <w:b/>
          <w:bCs/>
        </w:rPr>
        <w:t xml:space="preserve">Por qué la recomendación se aparta de la regla.</w:t>
      </w:r>
    </w:p>
    <w:p>
      <w:pPr>
        <w:spacing w:after="100"/>
      </w:pPr>
      <w:r>
        <w:t xml:space="preserve">La regla da Comprar (rentabilidad ponderada a 12 meses del 32,6 % con la v3 y del 22,4 % con la v2, valor intrínseco un 33,5 % sobre el precio), pero nos apartamos por una razón que la valoración no recoge: la sostenibilidad del crecimiento es «En parte». El 81 % de los ingresos se factura por horas o costes, la IA y la orden de precio fijo pueden reducir esas horas, el crecimiento orgánico es negativo (−4,2 % en el 1T27) y la empresa no tiene poder de precios. Con ese veredicto, el requisito de calidad de la cartera no permite comprar aunque el precio esté por debajo del límite. Pasaríamos a Comprar si el 2T27 (23-oct-2026, a cuatro días del corte) y el 3T27 confirman crecimiento orgánico de Seguridad nacional ≥ 4 % con ingresos por empleado al alza y margen ≥ 11 %.</w:t>
      </w:r>
    </w:p>
    <w:p>
      <w:pPr>
        <w:pStyle w:val="Heading2"/>
      </w:pPr>
      <w:r>
        <w:t xml:space="preserve">Qué cambiaría la recomendación</w:t>
      </w:r>
    </w:p>
    <w:p>
      <w:pPr>
        <w:pStyle w:val="ListParagraph"/>
        <w:numPr>
          <w:ilvl w:val="0"/>
          <w:numId w:val="2"/>
        </w:numPr>
        <w:spacing w:after="60"/>
      </w:pPr>
      <w:r>
        <w:t xml:space="preserve">Si el crecimiento orgánico de Seguridad nacional es ≥ 4 % en el 2T27 y el 3T27 con margen ≥ 11 %, la sostenibilidad pasa a «Sí» y pasaríamos a Comprar por debajo del límite robusto de las pruebas de robustez (la regla da 85,60 USD).</w:t>
      </w:r>
    </w:p>
    <w:p>
      <w:pPr>
        <w:pStyle w:val="ListParagraph"/>
        <w:numPr>
          <w:ilvl w:val="0"/>
          <w:numId w:val="2"/>
        </w:numPr>
        <w:spacing w:after="60"/>
      </w:pPr>
      <w:r>
        <w:t xml:space="preserve">Si los ingresos caen más que la plantilla dos trimestres seguidos (la IA cede la productividad), pasaríamos a Vender.</w:t>
      </w:r>
    </w:p>
    <w:p>
      <w:pPr>
        <w:pStyle w:val="ListParagraph"/>
        <w:numPr>
          <w:ilvl w:val="0"/>
          <w:numId w:val="2"/>
        </w:numPr>
        <w:spacing w:after="60"/>
      </w:pPr>
      <w:r>
        <w:t xml:space="preserve">Si la relación pedidos/ventas de 12 meses baja de 1,0, revisaríamos el base a la baja.</w:t>
      </w:r>
    </w:p>
    <w:p>
      <w:pPr>
        <w:pStyle w:val="ListParagraph"/>
        <w:numPr>
          <w:ilvl w:val="0"/>
          <w:numId w:val="2"/>
        </w:numPr>
        <w:spacing w:after="60"/>
      </w:pPr>
      <w:r>
        <w:t xml:space="preserve">Si la deuda neta supera 3,5 veces el EBITDA ajustado sin compras nuevas, bajaría la convicción.</w:t>
      </w:r>
    </w:p>
    <w:p>
      <w:pPr>
        <w:pStyle w:val="ListParagraph"/>
        <w:numPr>
          <w:ilvl w:val="0"/>
          <w:numId w:val="2"/>
        </w:numPr>
        <w:spacing w:after="60"/>
      </w:pPr>
      <w:r>
        <w:t xml:space="preserve">Por encima de 109,38 USD,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modelo de horas para el Gobierno está en declive estructural: caída de ventas del 2,5 % anual o margen del 9 %, por recortes, precio fijo e IA. PER de 13,4x, el mínimo de su historia.</w:t>
      </w:r>
    </w:p>
    <w:p>
      <w:pPr>
        <w:keepNext/>
        <w:spacing w:after="100"/>
      </w:pPr>
      <w:r>
        <w:rPr>
          <w:b/>
          <w:bCs/>
        </w:rPr>
        <w:t xml:space="preserve">Lo que creemos nosotros.</w:t>
      </w:r>
    </w:p>
    <w:p>
      <w:pPr>
        <w:spacing w:after="100"/>
      </w:pPr>
      <w:r>
        <w:t xml:space="preserve">Que lo de Civil es un ajuste de nivel ya casi hecho (es el 28 % de las ventas) y que Seguridad nacional crece con el presupuesto de defensa; ventas +3,1 % al año y margen del 11,4 %, con un valor de 99 USD.</w:t>
      </w:r>
    </w:p>
    <w:p>
      <w:pPr>
        <w:keepNext/>
        <w:spacing w:after="100"/>
      </w:pPr>
      <w:r>
        <w:rPr>
          <w:b/>
          <w:bCs/>
        </w:rPr>
        <w:t xml:space="preserve">Por qué podemos tener razón.</w:t>
      </w:r>
    </w:p>
    <w:p>
      <w:pPr>
        <w:spacing w:after="100"/>
      </w:pPr>
      <w:r>
        <w:t xml:space="preserve">Los datos recientes van a nuestro favor (pedidos/ventas de 1,5 veces, cartera financiada +15 %, margen del 11,9 %), pero el mercado puede tener razón en la IA, que no se verá en las cuentas hasta 2027-2028. Por eso no compramos todavía.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4,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25 %</w:t>
      </w:r>
      <w:r>
        <w:t xml:space="preserve"> frente a un WACC del 7,97 %, con un capex del 0,8 % de las ventas.</w:t>
      </w:r>
    </w:p>
    <w:p>
      <w:pPr>
        <w:pStyle w:val="ListParagraph"/>
        <w:numPr>
          <w:ilvl w:val="0"/>
          <w:numId w:val="2"/>
        </w:numPr>
        <w:spacing w:after="60"/>
      </w:pPr>
      <w:r>
        <w:rPr>
          <w:b/>
        </w:rPr>
        <w:t xml:space="preserve">FCF de 951 M</w:t>
      </w:r>
      <w:r>
        <w:t xml:space="preserve">, una rentabilidad por FCF del 12,5 % al precio actual.</w:t>
      </w:r>
    </w:p>
    <w:p>
      <w:pPr>
        <w:pStyle w:val="ListParagraph"/>
        <w:numPr>
          <w:ilvl w:val="0"/>
          <w:numId w:val="2"/>
        </w:numPr>
        <w:spacing w:after="60"/>
      </w:pPr>
      <w:r>
        <w:rPr>
          <w:b/>
        </w:rPr>
        <w:t xml:space="preserve">PER adelantado de 13,4x</w:t>
      </w:r>
      <w:r>
        <w:t xml:space="preserve"> frente a 19,0x de mediana en cinco años.</w:t>
      </w:r>
    </w:p>
    <w:p>
      <w:pPr>
        <w:pStyle w:val="ListParagraph"/>
        <w:numPr>
          <w:ilvl w:val="0"/>
          <w:numId w:val="2"/>
        </w:numPr>
        <w:spacing w:after="60"/>
      </w:pPr>
      <w:r>
        <w:rPr>
          <w:b/>
        </w:rPr>
        <w:t xml:space="preserve">Cartera de 39.483 M</w:t>
      </w:r>
      <w:r>
        <w:t xml:space="preserve"> (3,5 años de ventas) y pedidos/ventas de 1,5 veces en el 1T27.</w:t>
      </w:r>
    </w:p>
    <w:p>
      <w:pPr>
        <w:pStyle w:val="ListParagraph"/>
        <w:numPr>
          <w:ilvl w:val="0"/>
          <w:numId w:val="2"/>
        </w:numPr>
        <w:spacing w:after="60"/>
      </w:pPr>
      <w:r>
        <w:rPr>
          <w:b/>
        </w:rPr>
        <w:t xml:space="preserve">Margen del 11,9 %</w:t>
      </w:r>
      <w:r>
        <w:t xml:space="preserve"> en el 1T27 (+130 pb) pese a vender menos.</w:t>
      </w:r>
    </w:p>
    <w:p>
      <w:pPr>
        <w:pStyle w:val="ListParagraph"/>
        <w:numPr>
          <w:ilvl w:val="0"/>
          <w:numId w:val="2"/>
        </w:numPr>
        <w:spacing w:after="60"/>
      </w:pPr>
      <w:r>
        <w:rPr>
          <w:b/>
        </w:rPr>
        <w:t xml:space="preserve">Compra del primer ejecutivo</w:t>
      </w:r>
      <w:r>
        <w:t xml:space="preserve">: 2,0 M USD a 84,66 en oct-2025.</w:t>
      </w:r>
    </w:p>
    <w:p>
      <w:pPr>
        <w:pStyle w:val="Heading2"/>
      </w:pPr>
      <w:r>
        <w:t xml:space="preserve">En contra</w:t>
      </w:r>
    </w:p>
    <w:p>
      <w:pPr>
        <w:pStyle w:val="ListParagraph"/>
        <w:numPr>
          <w:ilvl w:val="0"/>
          <w:numId w:val="2"/>
        </w:numPr>
        <w:spacing w:after="60"/>
      </w:pPr>
      <w:r>
        <w:rPr>
          <w:b/>
        </w:rPr>
        <w:t xml:space="preserve">IA</w:t>
      </w:r>
      <w:r>
        <w:t xml:space="preserve">: el 81 % de los ingresos se factura por horas o costes.</w:t>
      </w:r>
    </w:p>
    <w:p>
      <w:pPr>
        <w:pStyle w:val="ListParagraph"/>
        <w:numPr>
          <w:ilvl w:val="0"/>
          <w:numId w:val="2"/>
        </w:numPr>
        <w:spacing w:after="60"/>
      </w:pPr>
      <w:r>
        <w:rPr>
          <w:b/>
        </w:rPr>
        <w:t xml:space="preserve">Crecimiento orgánico negativo</w:t>
      </w:r>
      <w:r>
        <w:t xml:space="preserve">: −6,4 % en FY2026 y −4,2 % en el 1T27.</w:t>
      </w:r>
    </w:p>
    <w:p>
      <w:pPr>
        <w:pStyle w:val="ListParagraph"/>
        <w:numPr>
          <w:ilvl w:val="0"/>
          <w:numId w:val="2"/>
        </w:numPr>
        <w:spacing w:after="60"/>
      </w:pPr>
      <w:r>
        <w:rPr>
          <w:b/>
        </w:rPr>
        <w:t xml:space="preserve">Sin poder de precios</w:t>
      </w:r>
      <w:r>
        <w:t xml:space="preserve">: un solo cliente que renegocia y cancela (Hacienda, 2026).</w:t>
      </w:r>
    </w:p>
    <w:p>
      <w:pPr>
        <w:pStyle w:val="ListParagraph"/>
        <w:numPr>
          <w:ilvl w:val="0"/>
          <w:numId w:val="2"/>
        </w:numPr>
        <w:spacing w:after="60"/>
      </w:pPr>
      <w:r>
        <w:rPr>
          <w:b/>
        </w:rPr>
        <w:t xml:space="preserve">Recompras con deuda</w:t>
      </w:r>
      <w:r>
        <w:t xml:space="preserve">: deuda neta ≈3,3 veces el EBITDA tras Ultra.</w:t>
      </w:r>
    </w:p>
    <w:p>
      <w:pPr>
        <w:pStyle w:val="ListParagraph"/>
        <w:numPr>
          <w:ilvl w:val="0"/>
          <w:numId w:val="2"/>
        </w:numPr>
        <w:spacing w:after="60"/>
      </w:pPr>
      <w:r>
        <w:rPr>
          <w:b/>
        </w:rPr>
        <w:t xml:space="preserve">Guía de FY2026 incumplida</w:t>
      </w:r>
      <w:r>
        <w:t xml:space="preserve"> en ingresos (11.217 M frente a 12.000-12.500 M).</w:t>
      </w:r>
    </w:p>
    <w:p>
      <w:pPr>
        <w:pStyle w:val="Heading2"/>
      </w:pPr>
      <w:r>
        <w:t xml:space="preserve">Qué tiene que pasar para que la tesis funcione</w:t>
      </w:r>
    </w:p>
    <w:p>
      <w:pPr>
        <w:spacing w:after="100"/>
      </w:pPr>
      <w:r>
        <w:t xml:space="preserve">La tesis depende de que Seguridad nacional crezca más de lo que cae Civil y de que la IA suba el margen en lugar de bajar los ingresos. La señal que diría que no se cumple: ingresos por empleado facturable estancados mientras la plantilla sigue bajando, relación pedidos/ventas trimestral por debajo de 1,0 y margen EBITDA ajustado por debajo del 10,5 %.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Seguridad nacional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(1T27, con compras)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71 % de las ventas y el motor del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por empleado facturable (anualizado)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≈397.000 USD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la IA se captura o se cede.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 (1T27)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fijo e IA se ven aquí primero.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de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 las ventas de 12-24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civiles por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 M (1T27, con comercial)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700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Suelo de Civil.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10,4x / 10,3x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11,7x / 12,0x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(FY2018-FY2026)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 · 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Booz Allen nació en 1914 como consultora de gestión y desde los años cuarenta trabajó para la Marina y el Gobierno federal. En 2008 se separó del negocio comercial (Booz &amp; Company) y Carlyle compró la parte pública, que salió a bolsa en la NYSE en 2010 [23]. Con Horacio Rozanski (primer ejecutivo desde 2015) pasó de consultora a «empresa de tecnología avanzada»: compró Liberty (2021) y EverWatch (2022), duplicó las ventas hasta 12.000 M en FY2025 y superó una investigación del DOJ sobre imputación de costes con una reserva de 350 M [7]. En 2025-26 las revisiones de contratos del Gobierno hundieron Civil y la empresa recortó un 12 % la plantilla; ahora compra productos de defensa (Ultra, 720 M)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Separación del negocio comercial (Booz &amp; Company) y compra del negocio público por Carlyle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NYSE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Horacio Rozanski, primer ejecutivo; desde 2018 también presidente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Liberty IT Solutions (725 M) para crecer en modernización digital civil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EverWatch (440 M) tras ganar el pleito antimonopolio del DOJ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 de 350 M por la investigación del DOJ sobre imputación de costes (acuerdo en el ejercicio 2024)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contratos del Gobierno (DOGE): los ingresos civiles caen un 22 % y la plantilla un 12 % en el ejercicio 2026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Hacienda cancela sus 31 contratos (21 M de obligaciones) por la filtración de datos fiscales de un antiguo empleado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Ultra I&amp;C Mission Solutions (720 M) y de Defy Security: giro hacia productos de defensa [1].</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Booz Allen vende servicios de tecnología, ingeniería y consultoría al Gobierno federal de EE. UU., que aporta casi todos sus 11.217 M USD de ingresos (FY2026) [1]. Tres tipos de cliente: Defensa (6.069 M, 54 %), Inteligencia (1.900 M, 17 %) y Civil (3.248 M, 29 %) [2]. Hace ciberseguridad, IA y datos (≈400 proyectos activos de IA: el mayor proveedor de IA del Gobierno), modernización de sistemas, ingeniería de misión y, cada vez más, productos propios de defensa: kits de comunicaciones, software de mando y control, cifrado y computación en el borde (Ultra Mission Solutions) [1, 14]. Trabaja con 30.900 empleados (28.200 facturables, la mayoría con habilitación de seguridad), como contratista principal en el 94 % de los ingresos y a través de contratos marco (IDIQ, GSA) en los que compite por cada encargo; ningún encargo supera el 4 % de las ventas [1, 3].</w:t>
      </w:r>
    </w:p>
    <w:p>
      <w:pPr>
        <w:pStyle w:val="Heading2"/>
      </w:pPr>
      <w:r>
        <w:t xml:space="preserve">Cómo gana dinero</w:t>
      </w:r>
    </w:p>
    <w:p>
      <w:pPr>
        <w:spacing w:after="100"/>
      </w:pPr>
      <w:r>
        <w:t xml:space="preserve">Cobra por el trabajo de su plantilla: el 59 % de los ingresos es de contratos de coste más margen (costes permitidos más una comisión fija o por desempeño), el 22 % por horas a tarifa pactada y el 19 % a precio fijo [1]. El 31 % de los ingresos son gastos facturables (subcontratas, viajes) que se repercuten casi sin margen; el beneficio sale de las horas de la plantilla propia. El margen EBITDA ajustado es estable en el 10,6-11,9 % [2, 3], depende de la utilización de la plantilla, de los costes indirectos y de la mezcla (precio fijo e inteligencia, más margen). Casi todo es recurrente: contratos plurianuales con opciones y una cartera de 39.483 M (3,5 años de ventas) [3]. Necesita muy poco capital (capex del 0,8 % de las ventas) y convierte más del 100 % del beneficio en caja.</w:t>
      </w:r>
    </w:p>
    <w:p>
      <w:pPr>
        <w:pStyle w:val="Heading2"/>
      </w:pPr>
      <w:r>
        <w:t xml:space="preserve">Segmentos (FY2026)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Civil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Defensa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Inteligencia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Civil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4.170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 solo cliente, el Gobierno de EE. UU., con muchos compradores: ningún encargo supera el 4 % de los ingresos ni ningún contrato definido el 1 % [1]. Los contratos duran 3-5 años con opciones anuales que el Gobierno puede no ejercer o cancelar por conveniencia. La renovación no se publica; la relación pedidos/ventas de 12 meses bajó de 1,4 a 1,1 veces y la del 1T27 fue de 1,5 veces [2, 3]. Poder de precios bajo: las tarifas se negocian contrato a contrato, las revisiones de 2025-26 forzaron rebajas y renegociaciones antes de ejercer opciones, y Hacienda canceló todos sus contratos en 2026 por un caso de reputación [1, 21]. El margen se defiende con productividad y mezcla, no con subidas de precio.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total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37.027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38.187 (mar-26); 39.483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Financiada 4.664 M y opciones con precio 24.601 M a jun-26; la financiada sube un 15 % interanual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Relación pedidos/ventas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 (mar-26 y jun-26); 1,5x en el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netos = variación de la cartera + ingresos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35.800 (mar-25)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31.500 (mar-26); 30.900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Plantilla facturable 28.200 a jun-26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civiles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3.248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Recortes y revisiones de contratos de 2025-26; 1T27 civil y comercial 772 M (−16 %)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seguridad nacional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7.810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7.969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 Inteligencia; 1T27 2.028 M (+1,3 %)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Mezcla de contratos: precio fijo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(FY2026); 21 % (1T27)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más margen 59 %, por horas 22 % en FY2026 [1,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contratos del Gobierno federal de EE. UU. en servicios profesionales, técnicos y de TI. El total de contratos federales fue de ≈793.000 M USD en el año fiscal 2025 (GAO) [17], 792.800 M según el Tesoro, con Defensa en 491.600 M y las agencias civiles en 301.200 M, de ellos 249.000 M en servicios [18]. Usamos el total de la GAO como referencia de cuota (la de Booz Allen es del 1,4 %) porque no hay una cifra oficial del perímetro exacto de servicios de Defensa. El nicho de asesoría y gestión (≈50.000 M) cayó un 19 % en 2025 [19]. Ficha sectorial propia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793.000 M USD de contratos federales en el año fiscal 2025 (GAO [17]); servicios de asesoría y gestión ≈ 50.000 M (Bloomberg Government [19])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obligaciones de contratos federal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Presupuesto de defensa e inteligencia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Defensa = 62 % de los contratos federales (491.600 M en 2025) [18]; Defensa e Inteligencia de Booz Allen +2,0 % en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y revisiones de contratos civiles (DOGE)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Asesoría civil −1/3 en 2025 [19]; Civil de Booz Allen −22 % en FY2026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automatización del trabajo de conocimiento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nueva de IA (≈400 proyectos) frente a menos horas por proyecto; plantilla −12 % con ingresos −6,4 % [1,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precio fijo y reforma de compras (FAR, NDAA)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Orden de 30-abr-2026; NDAA de dic-2025 favorece a contratistas «no tradicionales»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Ciberseguridad y amenazas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Orden ejecutiva de ago-2026 para combatir el ciberdelito transnacional; compra de Defy Security [3].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(el mayor, Leidos, ≈2,2 %), contratos marco en los que compiten muchos por cada encargo y márgenes EBITDA del 8-13 %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único cliente que fija las reglas de costes permitidos, audita (DCAA), puede cancelar por conveniencia y renegoció contratos en 2025-26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proveedor clave es el personal habilitado y técnico, escaso y caro; subcontratas el 26 % de los ingresos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Habilitaciones de seguridad, historial de ejecución y contratos marco son barreras; la reforma favorece a empresas de software comerciales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y el software comercial (Palantir, plataformas en la nube) sustituyen horas de consultoría; los funcionarios internalizan tareas [1].</w:t>
            </w:r>
          </w:p>
        </w:tc>
      </w:tr>
    </w:tbl>
    <w:p>
      <w:pPr>
        <w:spacing w:after="160" w:before="0"/>
      </w:pPr>
    </w:p>
    <w:p>
      <w:pPr>
        <w:pStyle w:val="Heading2"/>
      </w:pPr>
      <w:r>
        <w:t xml:space="preserve">Ciclo</w:t>
      </w:r>
    </w:p>
    <w:p>
      <w:pPr>
        <w:spacing w:after="100"/>
      </w:pPr>
      <w:r>
        <w:t xml:space="preserve">El sector sale del peor año de su historia reciente: los servicios de asesoría cayeron un 19 % en 2025 [19] y Booz Allen encadena cinco trimestres de caída de ingresos (−4,2 % en el 1T27) [3]. Los indicadores son la relación pedidos/ventas (1,5 veces en el 1T27, 1,1 en 12 meses), la cartera financiada (+15 %) y las leyes de asignación. En 2008-09 y 2020 el sector creció (gasto público anticíclico); en 2013 (secuestro presupuestario) cayó. Lo de 2025-26 es político, no económico: por eso puede durar más.</w:t>
      </w:r>
    </w:p>
    <w:p>
      <w:pPr>
        <w:pStyle w:val="Heading2"/>
      </w:pPr>
      <w:r>
        <w:t xml:space="preserve">Regulación</w:t>
      </w:r>
    </w:p>
    <w:p>
      <w:pPr>
        <w:spacing w:after="100"/>
      </w:pPr>
      <w:r>
        <w:t xml:space="preserve">Contratos regidos por el FAR y el DFARS, con auditoría de costes (DCAA) y límites a la remuneración imputable [1]. Cambios con fecha: reforma del FAR (fase 1 terminada en sep-2025, normas en 2026-27); orden de 7-ene-2026 que permite limitar recompras y dividendos de contratistas de defensa que incumplan; orden de 30-abr-2026 que pide precio fijo en los contratos nuevos y renegociar los diez mayores de coste más margen de cada agencia; NDAA de dic-2025 con exenciones para «no tradicionales» [1]. Presupuestos anuales con riesgo de prórroga y cierre.</w:t>
      </w:r>
    </w:p>
    <w:p>
      <w:pPr>
        <w:pStyle w:val="Heading2"/>
      </w:pPr>
      <w:r>
        <w:t xml:space="preserve">Tendencias y disrupción</w:t>
      </w:r>
    </w:p>
    <w:p>
      <w:pPr>
        <w:spacing w:after="100"/>
      </w:pPr>
      <w:r>
        <w:t xml:space="preserve">Tres tendencias: la IA generativa y agéntica (más demanda de proyectos de IA y menos horas por tarea), la entrada de empresas de software y defensa comerciales (Palantir, Anduril) con productos en lugar de horas, y el paso de servicios a productos y a precio fijo. Booz Allen gana si convierte su conocimiento de las misiones en productos (Ultra, plataforma con OpenAI) y precio fijo; pierde si se queda como proveedor de horas en un mercado que paga resultados [1, 24].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de los contratos federales (FY2026: 11.217 M sobre ≈793.000 M) [17]; entre los cinco mayores contratistas de servicios, por detrás de Leidos (≈17.600 M) y por delante de CACI, KBR y SAIC [20]. En Defensa ≈1,2 % de 491.600 M y en servicios civiles ≈1,3 % de 249.000 M [18].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Leidos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LDOS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mayor del grupo; margen EBITDA 13,5 %, ROIC 14,3 %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CACI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producto propio (guerra electrónica, espectro); margen EBITDA 12,4 %, ROIC 7,4 %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KBR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Misión y espacio; margen EBITDA 8,7 %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SAIC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TI; margen EBITDA 10,2 %, ROIC 12,4 %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Parsons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Mitad infraestructuras; margen EBITDA 7,5 %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Maximus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MMS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civiles de salud y sociales; margen EBITDA 13,2 %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ICF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ICFI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Consultoría civil, la más expuesta a los recortes; margen EBITDA 10,8 %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Accenture Federal Services y Deloitte (Gobierno)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Filiales de grandes consultoras, no cotizan por separado; compiten en civil y en IA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cada contrato se gana por separado.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Conocimiento de la misión y sistemas integrados; los contratos se renuevan con frecuencia, pero el Gobierno canceló o renegoció en 2025-26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Habilitaciones de seguridad de la plantilla, historial de ejecución y marca de 110 años; investigaciones (DOJ, Hacienda) la erosionan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≈11 %, en la mediana del sector (8-13 %) [B5].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Escala para pujar en contratos grandes y en IA; ROIC del 25 % frente al 7-14 % de los comparables [B5].</w:t>
            </w:r>
          </w:p>
        </w:tc>
      </w:tr>
    </w:tbl>
    <w:p>
      <w:pPr>
        <w:spacing w:after="160" w:before="0"/>
      </w:pPr>
    </w:p>
    <w:p>
      <w:pPr>
        <w:pStyle w:val="Heading2"/>
      </w:pPr>
      <w:r>
        <w:t xml:space="preserve">Amenazas</w:t>
      </w:r>
    </w:p>
    <w:p>
      <w:pPr>
        <w:spacing w:after="100"/>
      </w:pPr>
      <w:r>
        <w:t xml:space="preserve">Tres: (1) la IA y los productos comerciales sustituyen horas de consultoría (probabilidad media-alta a 5 años); (2) la política de compras favorece a «no tradicionales» y precio fijo, que reduce la ventaja del incumbente que factura por horas (media); (3) la reputación: un caso como el de Hacienda que se extienda a Defensa (baja). El ROIC alto se explica sobre todo por el poco capital, no por precios altos: un foso que depende de la confianza del cliente y de tener a la gente habilitada.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w:t>
            </w:r>
          </w:p>
        </w:tc>
      </w:tr>
    </w:tbl>
    <w:p>
      <w:pPr>
        <w:spacing w:after="160" w:before="0"/>
      </w:pPr>
    </w:p>
    <w:p>
      <w:pPr>
        <w:spacing w:after="100"/>
      </w:pPr>
      <w:r>
        <w:t xml:space="preserve">Crecimiento anual compuesto FY2018-FY2026: ingresos </w:t>
      </w:r>
      <w:r>
        <w:rPr>
          <w:b/>
          <w:bCs/>
        </w:rPr>
        <w:t xml:space="preserve">7,8 %</w:t>
      </w:r>
      <w:r>
        <w:t xml:space="preserve">, EBITDA </w:t>
      </w:r>
      <w:r>
        <w:rPr>
          <w:b/>
          <w:bCs/>
        </w:rPr>
        <w:t xml:space="preserve">9,7 %</w:t>
      </w:r>
      <w:r>
        <w:t xml:space="preserve">, BPA </w:t>
      </w:r>
      <w:r>
        <w:rPr>
          <w:b/>
          <w:bCs/>
        </w:rPr>
        <w:t xml:space="preserve">16,5 %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un 7,8 % anual de FY2018 a FY2026, con FY2024 (+15,2 %) y FY2025 (+12,4 %) como picos, y cayeron un 6,4 % en FY2026 por Civil (−22 %); Defensa e Inteligencia crecieron un 2,0 % [2]. Inorgánico: Liberty (FY2022), EverWatch (FY2023) y PGSC (FY2025) suman ≈1-2 puntos al año. El margen EBITDA publicado salta por los no recurrentes (5,2 % en FY2023 por la reserva del DOJ; 12,8 % en FY2025 por la reversión de 113 M de costes reclamados y 115 M del seguro); sin ellos, el margen es del 10,0-11,0 % y el ajustado de la empresa subió de 10,2 % (FY2021) a 11,0 % (FY2025-26) y 11,9 % en el 1T27, con apalancamiento operativo pese a vender menos: la plantilla bajó un 12 % [1, 2, 3]. El BPA publicado de FY2026 (6,90) incluye una liberación fiscal; el normalizado es de ≈5,5 USD.</w:t>
      </w:r>
    </w:p>
    <w:p>
      <w:pPr>
        <w:pStyle w:val="Heading2"/>
      </w:pPr>
      <w:r>
        <w:t xml:space="preserve">Ajustes y partidas no recurrentes</w:t>
      </w:r>
    </w:p>
    <w:p>
      <w:pPr>
        <w:spacing w:after="100"/>
      </w:pPr>
      <w:r>
        <w:t xml:space="preserve">Usamos las cifras publicadas. Dentro del EBITDA hay no recurrentes que devolvemos: reserva del DOJ de 350 M (FY2023), reversión de la provisión de costes reclamados (113 M, ingresos) y recuperación del seguro (115 M) en FY2025, y 33 M de despidos y costes de compra en FY2026 [2, 6, 8]. La empresa publica además un EBITDA ajustado (1.229 M en FY2026) y un BPA ajustado (6,51) que excluyen la amortización de intangibles comprados (48 M) y los efectos fiscales puntuales; en FY2026 el tipo efectivo fue del 1,3 % por 80 M de reservas liberadas y créditos de I+D de años anteriores [1]. Los costes de compra se repiten casi todos los años y no los quitamos de la historia.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1T27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4T26 (22-may-2026) la dirección presentó un ejercicio 2027 de transición: ingresos 11.200-11.700 M (0-4 %), margen ≈11 %, Civil a la baja por «factores externos» y Seguridad nacional al alza; récord de cartera (38.187 M) y un director financiero nuevo (Troy Lahr, ex Boeing Defensa) [2]. En el 1T27 (24-jul) el mensaje cambió de defensa a ataque: «la demanda se acelera en Seguridad nacional mientras Civil sigue difícil», pedidos/ventas de 1,5 veces, cartera financiada +15 %, margen del 11,9 % (+130 pb) y BPA ajustado +22 % con un tipo fiscal más bajo, menos acciones y plusvalías de inversiones, con la guía mantenida y la compra de Ultra anunciada [3, 12]. Los analistas preguntaron por el suelo de Civil, el efecto del paso a precio fijo y la contribución de Ultra; la dirección no cuantificó ni las ventas de Ultra ni su múltiplo, ni actualizó la guía por la compra.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pasó de 1.476 M (FY2019) a 3.212 M (FY2026) y de 2,2 a 2,6 veces el EBITDA del motor, sobre todo por recompras (2.770 M en FY2021-26) y compras (Liberty, EverWatch); ahora sube a ≈3,3 veces con Ultra. Es decir: la empresa recompra con deuda, aunque con un FCF de 951 M que la cubre en cuatro años. El circulante (clientes menos proveedores) es estable en el 9-11 % de las ventas; FY2023 salió bajo (4,9 %) por la reserva del DOJ en acreedores. La liquidez es holgada: 1.500 M de línea sin disponer y vencimientos pequeños hasta FY2029 [1, 16].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FY2018-FY2026: FCF </w:t>
      </w:r>
      <w:r>
        <w:rPr>
          <w:b/>
          <w:bCs/>
        </w:rPr>
        <w:t xml:space="preserve">4.988</w:t>
      </w:r>
      <w:r>
        <w:t xml:space="preserve">, conversión </w:t>
      </w:r>
      <w:r>
        <w:rPr>
          <w:b/>
          <w:bCs/>
        </w:rPr>
        <w:t xml:space="preserve">101 %</w:t>
      </w:r>
      <w:r>
        <w:t xml:space="preserve"> del beneficio neto; adquisiciones 1.336, dividendos 1.788, recompras 3.476.</w:t>
      </w:r>
    </w:p>
    <w:p>
      <w:pPr>
        <w:spacing w:after="100"/>
      </w:pPr>
      <w:r>
        <w:t xml:space="preserve">Conversión alta y limpia: FCF de 951 M en FY2026 y 911 M en FY2025, el 112 % y el 97 % del beneficio neto, con un capex del 0,8 % de las ventas [2]. FY2024 fue anómalo (FCF de 192 M) por el pago del acuerdo con el DOJ (377 M) y los impuestos en caja de la sección 174 (capitalización de I+D), que la ley de 2025 (OBBBA) revirtió con una devolución de ≈235 M en FY2026 [1, 5]. El capex de FY2027 sube a 220 M por la nueva sede (105 M), algo puntual. Mantenimiento ≈ todo el capex (estimación propia): la empresa no necesita invertir para crecer, salvo compras. En FY2021-26 devolvió 4.200 M (1.420 M en dividendos y 2.770 M en recompras), más que su FCF de esos seis años (3.870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auditadas por EY desde 2006 con opinión favorable [1]. Tres puntos a vigilar. Primero, el beneficio publicado salta por partidas puntuales: reserva del DOJ en FY2023, reversiones de 228 M en FY2025 y un tipo fiscal del 1,3 % en FY2026; el BPA ajustado de la dirección quita además la amortización de compras. Segundo, el reconocimiento de ingresos en contratos de coste más margen depende de auditorías de costes de la DCAA, que en FY2025 dieron una reversión a favor de 113 M y que pueden ir en contra. Tercero, la remuneración en acciones es baja (≈80 M al año, 0,7 % de las ventas). Indicadores del motor: Altman Z de 3,87 (zona segura), Piotroski F de 4 (débil por la caída de ventas y más deuda) y Beneish M de −2,64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FY2026 con un tipo fiscal del 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Liberación de reservas y créditos de años anteriores; normalizado en la rentabilidad a 12 meses.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y reversiones por auditorías de costes (DCAA)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ajustes de ingresos de años pasados en ambos sentidos.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BPA ajustado de la dirección sin amortización de compras y con criterios fiscales propios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remuneración variable usa EBITDA ajustado e ingresos, no BPA.</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2.399 M en FY2026 (el 57 % del capital invertido medio); ha subido más de un 5 % en 2 de 8 años: compra única grande. ROIC publicado 25,0 %; sin fondo de comercio, 58,0 %.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32,4 % · </w:t>
      </w:r>
      <w:r>
        <w:rPr>
          <w:b/>
          <w:bCs/>
        </w:rPr>
        <w:t xml:space="preserve">WACC</w:t>
      </w:r>
      <w:r>
        <w:t xml:space="preserve">: 8,0 %.</w:t>
      </w:r>
    </w:p>
    <w:p>
      <w:pPr>
        <w:spacing w:after="100"/>
      </w:pPr>
      <w:r>
        <w:t xml:space="preserve">Booz Allen crea valor con holgura: ROIC del 25,0 % en FY2026 frente a un WACC del 7,97 %, 17 puntos, y por encima del 17 % todos los años desde FY2018. Sin fondo de comercio (2.399 M, el 57 % del capital invertido), el ROIC es del 58,0 %: el negocio operativo apenas usa capital. Lo mueve la rotación, no el margen: margen operativo del 9-11 % sobre un capital invertido de solo 4.217 M para 11.217 M de ventas. El ROIC incremental histórico (32,4 %) es alto porque crecer exige sobre todo plantilla. Frente a los comparables (Leidos 14,3 %, SAIC 12,4 %, CACI 7,4 %) es el más rentable [20]. El ROE (80,7 %) no sirve: el patrimonio es pequeño por las recompras.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3.396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4.116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540 M a 30-jun-2026 y línea de crédito de 1.500 M sin disponer; liquidez total ≈2.000 M según la empresa [3, 12, 16]. En agosto emitió 1.200 M en bonos (2030 y 2034), amortizó el préstamo A-1 (714 M) y pagó Ultra (720 M) [13, 15, 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 S&amp;P BBB-, perspectiva estable (term sheet de los bonos de julio de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bruta a 30-jun-2026 de 3.936 M: préstamos A-1 (714 M, 2027) y A-2 (750 M, 2031) y bonos de 700 M (3,875 %, 2028), 500 M (4,0 %, 2029), 650 M (5,95 %, 2033) y 650 M (5,95 %, 2035) [1, 16]. En agosto emitió 700 M al 5,375 % (2030) y 500 M al 5,90 % (2034), amortizó el A-1 y pagó Ultra (720 M) [13, 15]: deuda neta ajustada ≈4.116 M, ≈3,3 veces el EBITDA ajustado de 12 meses (1.252 M). Rating Baa3/BBB- estable [16]. Arrendamientos operativos de 224 M fuera de la deuda (US GAAP). Contingencias: auditorías de costes de la DCAA (provisión por costes reclamados), investigaciones del Gobierno y la cancelación de Hacienda; la reserva del DOJ se pagó en FY2024 [1].</w:t>
      </w:r>
    </w:p>
    <w:p>
      <w:pPr>
        <w:pStyle w:val="Heading1"/>
      </w:pPr>
      <w:r>
        <w:t xml:space="preserve">12. Asignación de capital</w:t>
      </w:r>
    </w:p>
    <w:p>
      <w:pPr>
        <w:pStyle w:val="Confianza"/>
        <w:spacing w:after="100"/>
      </w:pPr>
      <w:r>
        <w:t xml:space="preserve">Confianza: Alta</w:t>
      </w:r>
    </w:p>
    <w:p>
      <w:pPr>
        <w:spacing w:after="100"/>
      </w:pPr>
      <w:r>
        <w:t xml:space="preserve">Dividendo trimestral de 0,59 USD (2,36 al año, ≈34 % del beneficio normalizado), recompras con la caja libre y compras de tecnología de defensa [2, 3]. En FY2026 desplegó 1.100 M (276 M en dividendos y 598 M en recompras); en el 1T27, 447 M (324 M en compras e inversiones y 123 M al accionista) [2, 12]. El apalancamiento era de 2,7 veces la deuda neta sobre el EBITDA ajustado antes de Ultra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Liberty IT Solutions (modernización digital para Veteranos)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Civil; sin deterioro del fondo de comercio; el negocio civil cayó un 22 % en 2026 por los recortes federales [1, 9].</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EverWatch (ciberoperaciones para inteligencia)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tras ganar el pleito antimonopolio del DOJ (oct-2022); refuerza Inteligencia, que crece +1,8 % en 2026 [1,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 Government Systems (PGSC)</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compra de tecnología de defensa; costes de compra de 8 M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Defy Security (ciberseguridad comercial)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en el 1T27 (220 M pagados netos de caja en el trimestre) [3].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I&amp;C Mission Solutions (software de misión, cifrado y computación en el borde)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Bonos de 2030 y 2034 (1.200 M, en parte para refinanciar)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24-ago-2026; múltiplo no publicado [13, 14, 15].</w:t>
            </w:r>
          </w:p>
        </w:tc>
      </w:tr>
    </w:tbl>
    <w:p>
      <w:pPr>
        <w:spacing w:after="160" w:before="0"/>
      </w:pPr>
    </w:p>
    <w:p>
      <w:pPr>
        <w:spacing w:after="100"/>
      </w:pPr>
      <w:r>
        <w:t xml:space="preserve">Buena asignadora en conjunto: la acción ha recomprado 28 M de acciones netas en ocho años (de 148 M a 120 M diluidas) y las compras no han tenido deterioros. Dos reparos. Primero, recompra con deuda: en FY2025 pagó 812 M en recompras con un FCF de 911 M y 268 M de dividendos, y la deuda bruta subió de 2.812 M (FY2023) a 3.998 M (FY2025); comprar acciones a 150 USD en 2024 destruyó valor. Segundo, Liberty (725 M) se hizo para crecer en Civil, el negocio que ahora cae un 22 %. La compra de Ultra (720 M) va en la dirección correcta (productos, defensa), pero sin múltiplo publicado. El ROIC incremental histórico (32,4 %) confirma que el crecimiento orgánico crea valor.</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Horacio D. Rozanski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1992; dirigió la separación de 2008 y la salida a bolsa de 2010. Con él los ingresos pasaron de 5.300 M (FY2015) a 12.000 M (FY2025) y el BPA ajustado de 1,5 a 6,35 USD; en FY2026 los ingresos cayeron un 6,4 % [2,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Kristine Martin Anderson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directora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años en la empresa; directora de operaciones desde 2022, antes dirigió Civil; directora financiera en funciones de febrero a mayo de 2026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Troy Lahr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4-may-2026; antes director financiero de Sierra Space y del negocio de Defensa, Espacio y Seguridad de Boeing (27.000 M USD)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Richard C. Crowe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crecimiento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con remuneración de 2,8 M en FY2026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 Escaravage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negocio de tecnología de defensa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Dirige el negocio de productos de defensa en el que se integra Ultra Mission Solutions [23].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+5-9 %; BPA ajustado 4,15-4,45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+10,7 %; BPA ajustado 4,56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+7-11 %; BPA ajustado 4,80-4,95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+15,2 %; BPA ajustado 5,50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+8-11 %; EBITDA ajustado 1.260-1.300 M; BPA ajustado 5,80-6,05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+12,4 %; EBITDA ajustado 1.315 M; BPA ajustado 6,35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12.000-12.500 M (0-4 %); EBITDA ajustado 1.315-1.370 M; BPA ajustado 6,20-6,55 (rebajada en oct-2025 a 11.300-11.500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11.217 M (−6,4 %); EBITDA ajustado 1.229 M; BPA ajustado 6,51 (con créditos fiscales)</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11.200-11.700 M (0-4 %); EBITDA ajustado 1.240-1.290 M; BPA ajustado 6,00-6,35; FCF 825-925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Mantenida en julio (1T27: EBITDA ajustado +7,4 %)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en la cima y con relevo en finanzas. Rozanski lleva 11 años como primer ejecutivo y es presidente: dobló las ventas y cumplió las guías de FY2023-FY2025 con holgura, pero falló la de FY2026 (ingresos −6,4 % frente a 0-4 % de partida) por los recortes civiles [2]. Compró 2,0 M USD de acciones a 84,66 en octubre de 2025, la única compra de la cúpula en 12 meses [29]. El director financiero cambió en 2026 (Calderone se fue a otro sector; Lahr llegó de Boeing) y Kristine Martin Anderson es presidenta y directora de operaciones, la sucesora natural [26, 27]. Sin plan de sucesión público.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Horacio D. Rozanski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primer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Gaumond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Ejecutiva; Auditoría (desde jul-2026)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Debra L. Dial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Michèle A. Flournoy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Ellen Jewett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Gretchen W. McClain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Ryan P. Nolan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C. O'Brien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Rory P. Read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M. Thornberry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2,01 / ventas 0,07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Portfolio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 31-mar-2026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a 31-dic-2025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Internos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Rozanski 672.587 acciones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(sobre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50,2 M de 170,5 M emitidas a jun-2026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Horacio Rozanski (primer ejecutivo)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Dennis Metzfield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Metzfield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Primer ejecutivo: 13,8 M USD en FY2026 (1,5 M fijo, 1,8 M de variable anual y 10,25 M en acciones), 87 veces el salario mediano [23]. El variable anual pesa el EBITDA ajustado al 75 % y metas estratégicas; las acciones por objetivos dependen del EBITDA ajustado (75 %) y de los ingresos (25 %) a tres años, con un multiplicador por rentabilidad relativa para el accionista frente al índice S&amp;P Software and Services: premian crecer, no el ROIC ni el FCF por acción. Voto en la junta de 2026: 96,7 % a favor [25]. Hay cláusula de recuperación (</w:t>
      </w:r>
      <w:r>
        <w:rPr>
          <w:i/>
        </w:rPr>
        <w:t xml:space="preserve">clawback</w:t>
      </w:r>
      <w:r>
        <w:t xml:space="preserve">).</w:t>
      </w:r>
    </w:p>
    <w:p>
      <w:pPr>
        <w:pStyle w:val="Heading2"/>
      </w:pPr>
      <w:r>
        <w:t xml:space="preserve">Operaciones vinculadas, estructura de control y defensas</w:t>
      </w:r>
    </w:p>
    <w:p>
      <w:pPr>
        <w:spacing w:after="100"/>
      </w:pPr>
      <w:r>
        <w:t xml:space="preserve">Sin accionista de control: los mayores son BlackRock (10,9 %), dos vehículos de Vanguard (11,9 % juntos) y T. Rowe Price (5,5 %); consejeros y directivos el 1,1 % [23]. Una acción, un voto; consejo de 10 con 9 independientes y un consejero coordinador (Mark Gaumond); el presidente es el primer ejecutivo. Una propuesta de accionistas obtuvo el 28 % de los votos en 2026 [25]. Sin operaciones vinculadas relevantes.</w:t>
      </w:r>
    </w:p>
    <w:p>
      <w:pPr>
        <w:pStyle w:val="Heading2"/>
      </w:pPr>
      <w:r>
        <w:t xml:space="preserve">Señales de alerta</w:t>
      </w:r>
    </w:p>
    <w:p>
      <w:pPr>
        <w:pStyle w:val="ListParagraph"/>
        <w:numPr>
          <w:ilvl w:val="0"/>
          <w:numId w:val="2"/>
        </w:numPr>
        <w:spacing w:after="60"/>
      </w:pPr>
      <w:r>
        <w:t xml:space="preserve">Hacienda canceló en enero de 2026 sus 31 contratos (21 M de obligaciones) por la filtración de declaraciones fiscales de un antiguo contratista; el secretario Bessent lo reiteró en el Senado el 22-abr-2026 [21].</w:t>
      </w:r>
    </w:p>
    <w:p>
      <w:pPr>
        <w:pStyle w:val="ListParagraph"/>
        <w:numPr>
          <w:ilvl w:val="0"/>
          <w:numId w:val="2"/>
        </w:numPr>
        <w:spacing w:after="60"/>
      </w:pPr>
      <w:r>
        <w:t xml:space="preserve">Acuerdo con el DOJ en el ejercicio 2024 por imputación de costes (reserva de 350 M en FY2023) [1].</w:t>
      </w:r>
    </w:p>
    <w:p>
      <w:pPr>
        <w:pStyle w:val="ListParagraph"/>
        <w:numPr>
          <w:ilvl w:val="0"/>
          <w:numId w:val="2"/>
        </w:numPr>
        <w:spacing w:after="60"/>
      </w:pPr>
      <w:r>
        <w:t xml:space="preserve">Rotación del director financiero: Calderone dimitió en dic-2025; Lahr entró en mayo de 2026 [26, 27].</w:t>
      </w:r>
    </w:p>
    <w:p>
      <w:pPr>
        <w:pStyle w:val="ListParagraph"/>
        <w:numPr>
          <w:ilvl w:val="0"/>
          <w:numId w:val="2"/>
        </w:numPr>
        <w:spacing w:after="60"/>
      </w:pPr>
      <w:r>
        <w:t xml:space="preserve">Orden ejecutiva de 7-ene-2026 que puede limitar recompras y dividendos de contratistas de defensa que incumplan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del ejercicio 2027 (22-may-2026, mantenida el 24-jul-2026): ingresos 11.200-11.700 M (0-4 %), EBITDA ajustado 1.240-1.290 M (margen ≈11 %), BPA ajustado 6,00-6,35 USD con un tipo fiscal del 20-23 % y 118-120 M de acciones, FCF 825-925 M con un capex de 220 M (105 M de la nueva sede) [3]. La guía es anterior a la compra de Ultra (720 M, cerrada el 24-ago-2026) [13]. No hay plan a medio plazo vigente: el anterior («VoLT», hasta FY2025) se cumplió.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63,00 – 140,00</w:t>
            </w:r>
          </w:p>
        </w:tc>
      </w:tr>
    </w:tbl>
    <w:p>
      <w:pPr>
        <w:spacing w:after="160" w:before="0"/>
      </w:pPr>
    </w:p>
    <w:p>
      <w:pPr>
        <w:pStyle w:val="Heading2"/>
      </w:pPr>
      <w:r>
        <w:t xml:space="preserve">Revisiones de estimaciones</w:t>
      </w:r>
    </w:p>
    <w:p>
      <w:pPr>
        <w:spacing w:after="100"/>
      </w:pPr>
      <w:r>
        <w:t xml:space="preserve">En 3 meses los objetivos se estabilizan tras un año de recortes: Truist pasó a Comprar con 85 USD (8-oct; había bajado a 70 en julio), UBS subió de 70 a 78 (27-jul) y BofA bajó de 90 a 75 (20-jul); Stifel pasó a Comprar con 110 en mayo [32]. El BPA de FY2027 del consenso (5,92) queda bajo la guía ajustada (6,00-6,35) porque MarketScreener lo da con la amortización de compras y los gastos no recurrentes; el EBITDA (1.274 M) es el ajustado de la empresa [31]. Solo una fuente gratuita con estimaciones completas.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w:t>
            </w:r>
          </w:p>
        </w:tc>
      </w:tr>
    </w:tbl>
    <w:p>
      <w:pPr>
        <w:spacing w:after="160" w:before="0"/>
      </w:pPr>
    </w:p>
    <w:p>
      <w:pPr>
        <w:spacing w:after="100"/>
      </w:pPr>
      <w:r>
        <w:t xml:space="preserve">La acción ha perdido un 22,0 % en un año (con dividendos) y un 13,8 % anual en tres, frente a +16,1 % y +22,9 % del S&amp;P 500: cayó un 66,6 % desde el máximo de oct-2024 al mínimo de jun-2026 (59,50) [30]. Los hitos: la revisión de contratos civiles (DOGE) desde feb-2025, la rebaja de la guía en oct-2025 (−8,9 % ese día), la cancelación de Hacienda en ene-2026, el −11,3 % del 11-feb-2026 y un −28,6 % en un mes hasta el 1-jul por el miedo a nuevos recortes del gasto en consultoras y la deuda de la compra de Ultra [30, 45]. Desde el mínimo rebota un 24 % con un 1T27 mejor de lo esperado y la subida de Truist a Comprar (8-oct) [24]. La beta mensual de 5 años es de 0,32 y la volatilidad de 1 año del 42,8 %: un valor defensivo que se ha comportado como uno especulativo. Posición corta del 5,8 % del flotante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-4,4 % / +15,4 % / -8,7 % / -24,2 %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-27,9 % / +23,4 %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 de la guía de FY2026 (ingresos 11.300-11.500 M) y más despidos por la ralentización de la financiación civil: −8,9 % el 24-oct y −5,3 % el 27-oct [5].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máximo de 102,23 (23-ene) a 79,79 (11-feb): Hacienda cancela sus 31 contratos por la filtración de datos fiscales (−8,1 % el 26-ene) y −11,3 % el 11-feb con los temores de recortes civiles; ya recogidos en las cuentas de FY2026 y en el bajista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84,05 (1-jun) a 59,71 (25-jun): miedo a nuevos recortes del gasto federal en consultoras (−6,7 % el 18-jun) y venta tras anunciar la compra de Ultra por 720 M financiada con deuda (−4,6 % el 22-jun); sin cambio de guía [44, 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Rebote desde mínimos: 1T27 con BPA ajustado de 1,81 USD (+22 %), margen del 11,9 % y guía mantenida (+10,1 % el 24-jul) [3,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585"/>
        <w:gridCol w:w="3904"/>
        <w:gridCol w:w="1220"/>
        <w:gridCol w:w="1831"/>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c>
          <w:tcPr>
            <w:tcW w:type="dxa" w:w="18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Condición</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(trimestre a 30-sep-2026; primero con Ultra) el viernes 23-oct antes de la apertura, llamada a las 8:00 EDT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Regla 11: los resultados cercanos no aplazan. Si el orgánico de Seguridad nacional vuelve a positivo, se revisa la sostenibilidad (hoy «En parte»).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Truist sube a Comprar con objetivo de 85 USD (+6,1 % ese día); UBS sube a 78 (27-jul) y BofA baja de 90 a 75 (20-jul); consenso de 15 analistas «Mantener», objetivo medio 84,38 sin cambios desde el 14-oct [24,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Congreso aprueba una prórroga presupuestaria (H.R. 6500) que financia el Gobierno a niveles de FY2026 hasta el 11-dic-2026: no hay cierre ahora, pero el riesgo vuelve en diciembre y las prórrogas frenan los contratos nuevos [43].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con fecha (11-dic) ya recogido en riesgos y en el bajista; no es un hecho ajeno al análisis que pueda mover más de un 5 % antes de esa fecha.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Ultra I&amp;C Mission Solutions por 720 M, financiada con 1.200 M de bonos (2030 y 2034); ya en el puente (otros ajustes) [13].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venta de directivos en 12 meses: el controller vendió 469 acciones (0,04 M USD); el primer ejecutivo compró 23.800 acciones (2,0 M USD) a 84,66 en oct-2025. Formularios 4 hasta el 19-oct sin operaciones nuevas.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Information: Booz Allen, Palantir y Nvidia restringen el uso de modelos avanzados de Anthropic y OpenAI por temores sobre datos; sin efecto en cifras [44].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c>
          <w:tcPr>
            <w:tcW w:type="dxa" w:w="18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spacing w:after="100"/>
      </w:pPr>
      <w:r>
        <w:t xml:space="preserve">A 74,26 USD (cierre del 16-oct) la acción pierde un 24,2 % en 12 meses y un 60 % desde su máximo de cinco años, con tendencia bajista (un 4,4 % bajo la media de 200 sesiones) pero un 23 % sobre el mínimo de junio. Las caídas tienen causas que el informe ya recoge (recortes civiles, Hacienda, guía de FY2026 y deuda de Ultra) y el rebote viene del 1T27. No hay colocaciones, ampliaciones, litigios con fecha ni ofertas pendientes. El hecho pendiente son los resultados del 23-oct, que por la regla 11 no aplazan, y la prórroga presupuestaria que vence el 11-dic. Veredicto global: no cambia (el que bloquea la compra es el requisito de calidad, no el precio ni las noticias).</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Cotiza en mínimos de su historia: PER de los últimos 12 meses de 11,7x frente a una media de 20x en nueve años, y EV/EBITDA de 10,4x frente a 14,8x (−30 %). La historia adelantada en BPA normalizado da lo mismo: 13,4x hoy frente a una mediana de cinco años de 19,0x. La causa no es el tipo de interés (los comparables también bajaron, pero menos) sino el riesgo percibido: recortes civiles, paso a precio fijo e IA. El cambio es parcialmente estructural: la mezcla tiende a defensa y a productos, de más margen, pero el modelo por horas pierde valor.</w:t>
      </w:r>
    </w:p>
    <w:p>
      <w:pPr>
        <w:pStyle w:val="Heading1"/>
      </w:pPr>
      <w:r>
        <w:t xml:space="preserve">18. Comparables cotizados</w:t>
      </w:r>
    </w:p>
    <w:p>
      <w:pPr>
        <w:pStyle w:val="Confianza"/>
        <w:spacing w:after="100"/>
      </w:pPr>
      <w:r>
        <w:t xml:space="preserve">Confianza: Media</w:t>
      </w:r>
    </w:p>
    <w:p>
      <w:pPr>
        <w:spacing w:after="100"/>
      </w:pPr>
      <w:r>
        <w:t xml:space="preserve">Contratistas de servicios tecnológicos y profesionales para el Gobierno de EE. UU. con el mismo modelo (contratos de coste más margen, por horas y precio fijo; plantilla con habilitación de seguridad): Leidos, CACI, SAIC, KBR, Parsons, ICF y Maximus. Fuera Accenture (excluida por el usuario y con poco peso federal) y los fabricantes de defensa (Lockheed, General Dynamics), con otro modelo de capital. PER adelantado de Stock Analysis sobre el BPA AJUSTADO de cada empresa (sin amortización de compras): para BAH en esa base sería 12,0x (19-oct) [20, 33, 34, 35, 36, 37, 38, 39]. Cifras del 14-oct llevadas al cierre del 16-oct con la variación de precio de cada una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Booz Allen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Leidos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CACI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KBR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Parsons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ICF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Maximus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 / 10,9x / 11,9x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12,0x / 13,2x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 1,1x / 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En PER adelantado ajustado Booz Allen (12,0x según Stock Analysis) está en la mediana del grupo (12,0x al cierre del 16-oct), con el ROIC más alto (25 % frente a 6,6-14,3 %) y una rentabilidad por FCF del 12,5 % [20, 33, 34, 35, 36, 37, 38, 39, 46]. CACI (18,3x) cobra prima por producto y crecimiento; Maximus (7,4x) y KBR (8,9x) descuentan más riesgo civil o de ejecución. La regresión múltiplo-crecimiento del grupo es débil. Con la mediana de los comparables (EV/EBITDA y PER), el valor sale de 74,16 USD, en el precio: el mercado trata a todo el sector igual y no paga por la calidad de Booz Allen. Usamos el PER y no el EV/EBITDA, porque los EBITDA de Stock Analysis no tienen la misma base.</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47"/>
        <w:gridCol w:w="1780"/>
        <w:gridCol w:w="1676"/>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Liberty IT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Modernización digital civil (Veteranos); múltiplo no publicado [8].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EverWatch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Ciberoperaciones para inteligencia [8].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I&amp;C Mission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de software de misión y cifrado comprados a Cobham Ultra (Advent) [13].</w:t>
            </w:r>
          </w:p>
        </w:tc>
      </w:tr>
    </w:tbl>
    <w:p>
      <w:pPr>
        <w:spacing w:after="160" w:before="0"/>
      </w:pPr>
    </w:p>
    <w:p>
      <w:pPr>
        <w:spacing w:after="160" w:before="0"/>
      </w:pPr>
    </w:p>
    <w:p>
      <w:pPr>
        <w:spacing w:after="100"/>
      </w:pPr>
      <w:r>
        <w:t xml:space="preserve">Las compras del sector de los últimos años (Liberty 725 M, EverWatch 440 M, Ultra 720 M) no publicaron múltiplos: sirven para ver la estrategia (pasar de horas a capacidades y productos), no para valorar. Booz Allen, con 8.900 M de capitalización, un 12,5 % de rentabilidad por FCF y sin accionista de control, podría interesar a capital riesgo o a un contratista mayor, pero las autoridades de competencia y la exposición a habilitaciones lo hacen improbable.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FY2027 +1,5 %: guía de 0-4 % con Defy y Ultra sumando ≈3 puntos y un orgánico de −2 % (1T27: −4,2 %) [3]. FY2028 +3 % (Ultra todo el año y Civil en su suelo) y FY2029-30 +4 %, con Seguridad nacional (71 % de las ventas) creciendo al 4-5 % con el presupuesto de defensa y la cartera (39.483 M, +3,2 %; financiada +15 %) [3]. Después baja al 3 %. La media (3,1 %) es menos de la mitad de la histórica (7,8 %). El consenso va algo por encima (+4,7 % en FY2028 y +3,8 % en FY2029) [31].</w:t>
      </w:r>
    </w:p>
    <w:p>
      <w:pPr>
        <w:keepNext/>
        <w:spacing w:after="100"/>
      </w:pPr>
      <w:r>
        <w:rPr>
          <w:b/>
          <w:bCs/>
        </w:rPr>
        <w:t xml:space="preserve">Márgenes.</w:t>
      </w:r>
    </w:p>
    <w:p>
      <w:pPr>
        <w:spacing w:after="100"/>
      </w:pPr>
      <w:r>
        <w:t xml:space="preserve">Margen EBITDA del 11,0 % en FY2027 (guía ≈11 % ajustado) [3], subiendo hasta el 11,4 % por la mezcla de productos y precio fijo, por debajo del 11,9 % del 1T27. Los no recurrentes se devuelven al EBITDA histórico. El consenso: 11,2 % en FY2027-29 [31].</w:t>
      </w:r>
    </w:p>
    <w:p>
      <w:pPr>
        <w:keepNext/>
        <w:spacing w:after="100"/>
      </w:pPr>
      <w:r>
        <w:rPr>
          <w:b/>
          <w:bCs/>
        </w:rPr>
        <w:t xml:space="preserve">Inversión y circulante.</w:t>
      </w:r>
    </w:p>
    <w:p>
      <w:pPr>
        <w:spacing w:after="100"/>
      </w:pPr>
      <w:r>
        <w:t xml:space="preserve">Capex del 1,9 % de las ventas en FY2027 (guía: 220 M con 105 M de la sede) [3] y del 1,1-1,2 % después (0,6-0,8 % en FY2024-26 más productos); la amortización sube al 1,8 % por los intangibles de Ultra y Defy y converge al capex en el último año. Circulante (clientes − proveedores) del 10,3 % de las ventas, el de FY2026.</w:t>
      </w:r>
    </w:p>
    <w:p>
      <w:pPr>
        <w:keepNext/>
        <w:spacing w:after="100"/>
      </w:pPr>
      <w:r>
        <w:rPr>
          <w:b/>
          <w:bCs/>
        </w:rPr>
        <w:t xml:space="preserve">Coste del capital.</w:t>
      </w:r>
    </w:p>
    <w:p>
      <w:pPr>
        <w:spacing w:after="100"/>
      </w:pPr>
      <w:r>
        <w:t xml:space="preserve">Tasa libre del 5,09 % (bono a 10 años del Tesoro, 16-oct-2026; 5,21 % en el análisis del 15-oct) [40]; beta de 0,85, por encima de la mensual de 5 años (0,33) y de la semanal ajustada (0,75), porque la volatilidad del último año (42,8 %) muestra más riesgo del que mide la beta; prima de mercado del 5,5 %; coste de la deuda antes de impuestos del 5,6 % (bonos nuevos al 5,375-5,90 %) [15]; peso de la deuda del 33 % a valor de mercado. WACC del 7,97 %.</w:t>
      </w:r>
    </w:p>
    <w:p>
      <w:pPr>
        <w:keepNext/>
        <w:spacing w:after="100"/>
      </w:pPr>
      <w:r>
        <w:rPr>
          <w:b/>
          <w:bCs/>
        </w:rPr>
        <w:t xml:space="preserve">Valor terminal.</w:t>
      </w:r>
    </w:p>
    <w:p>
      <w:pPr>
        <w:spacing w:after="100"/>
      </w:pPr>
      <w:r>
        <w:t xml:space="preserve">Gordon con un crecimiento del 2,5 % (inflación ≈2,5 % y nada real), por debajo de la tasa libre menos medio punto. Implica un múltiplo de 12,6 veces el EBITDA de salida, por encima de la mediana de los comparables (≈10,8x LTM al 16-oct) y por debajo de la media histórica de la propia empresa (14,8x): con un múltiplo de salida de 10x el valor terminal sería un 21 % menor, y ese riesgo lo recogen el bajista y el peso de los comparables.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101,87</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154,62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(reinvierte el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(histórico: 32,4 %)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 frente al 3,1 %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57 M, el 1 % del NOPAT, con un capex bruto medio del 1,3 % de las ventas). En un negocio de activos ligeros, el crecimiento medio del 3,1 %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(Civil −15 %, Seguridad nacional +3 %), precio +0,5 % (tarifas pactadas), otros +3 % (Defy y Ultra) [3,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+1,5 % (Civil estable), precio +0,5 %, otros +1 % (Ultra el año completo).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con el presupuesto de defensa y la cartera financiada;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precio +0,5 %.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precio +0,5 %.</w:t>
            </w:r>
          </w:p>
        </w:tc>
      </w:tr>
    </w:tbl>
    <w:p>
      <w:pPr>
        <w:spacing w:after="160" w:before="0"/>
      </w:pPr>
    </w:p>
    <w:p>
      <w:pPr>
        <w:spacing w:after="100"/>
      </w:pPr>
      <w:r>
        <w:t xml:space="preserve">En parte. Las pruebas financieras pasan (el motor dice «Sí»): el crecimiento medio del 3,1 % no necesita capital (capex del 1,3 % de las ventas, reinversión neta del 1 % del NOPAT), la reinversión bruta financiaría un 5,1 % al ROIC actual (25 %) y la proyección es la mitad del crecimiento histórico (7,8 %). Lo que no sostiene la calidad es el volumen: el poder de precios es nulo (tarifas negociadas y rebajadas en las revisiones de 2025-26), el crecimiento orgánico es hoy negativo (−4,2 % en el 1T27) y el 81 % de los ingresos se factura por horas o costes, justo lo que la IA y el paso a precio fijo pueden reducir. El crecimiento proyectado depende del presupuesto de defensa y de que Booz Allen capture la productividad de la IA, no de una ventaja que lo garantice. Prueba de cuota a mano: pasa del 1,4 % al ≈1,5 % de los contratos federales si estos crecen un 3 %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3,1 %)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(base: 11,4 %)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9,7 % (WACC: 8,0 %)</w:t>
            </w:r>
          </w:p>
        </w:tc>
      </w:tr>
    </w:tbl>
    <w:p>
      <w:pPr>
        <w:spacing w:after="160" w:before="0"/>
      </w:pPr>
    </w:p>
    <w:p>
      <w:pPr>
        <w:spacing w:after="100"/>
      </w:pPr>
      <w:r>
        <w:t xml:space="preserve">El DCF da 107,94 USD por acción, un 45,4 % sobre el precio, con el valor terminal en el 71 % del valor. El DCF inverso dice que el precio descuenta que las ventas caigan un 2,5 % al año en FY2027-2033 con nuestro margen, o un margen final del 9,1 % con nuestro crecimiento, y una rentabilidad implícita del 9,7 % frente a un WACC del 7,97 %. Es decir: a 74,26 USD el mercado descuenta que la caída de los dos últimos años sigue seis años más o que la IA y el precio fijo se comen dos puntos de margen. Es exigente para el bajista, no para el alcista: nuestro base pide un 3,1 % de crecimiento, la mitad del histórico, y el margen ya está en el 11,9 % en el 1T27. Con la prima del mercado (4,2 %, WACC del 7,2 %) el DCF sube a 130 USD. La discrepancia con el mercado es de negocio, no de tasa: es la pregunta de la IA.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Civil sigue cayendo hasta 2028, Defensa crece con la inflación y la IA y el precio fijo restan un punto de margen: es lo que vivieron Civil en FY2026 (−22 %) y la asesoría federal en 2025 (−19 %).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FY2027 cumplida, Civil en su suelo en FY2028 y Seguridad nacional al 4-5 % con el presupuesto de defensa; margen al 11,4 % por la mezcla.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y los productos de IA para defensa crecen a doble dígito, el precio fijo sube el margen y la IA se cobra como producto: ventas +1,5 puntos al año y margen +0,5.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74,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101,10 USD (+36,1 %).</w:t>
      </w:r>
    </w:p>
    <w:p>
      <w:pPr>
        <w:spacing w:after="100"/>
      </w:pPr>
      <w:r>
        <w:t xml:space="preserve">La asimetría es favorable con nuestro WACC: el alcista gana un 70,0 % y el bajista pierde un 16,2 % (4,3 veces). El bajista es verosímil (ya le pasó a Civil), pero el precio ya está por debajo de su valor: por eso la asimetría es tan alta. La duda no es el bajista que modelamos, sino uno peor y permanente si la IA reduce las horas facturables más de un 3-4 % al año (ver riesgos, −20 % a −40 %).</w:t>
      </w:r>
    </w:p>
    <w:p>
      <w:pPr>
        <w:pStyle w:val="Heading1"/>
      </w:pPr>
      <w:r>
        <w:t xml:space="preserve">22. Suma de partes</w:t>
      </w:r>
    </w:p>
    <w:p>
      <w:pPr>
        <w:pStyle w:val="Confianza"/>
        <w:spacing w:after="100"/>
      </w:pPr>
      <w:r>
        <w:t xml:space="preserve">Confianza: Media</w:t>
      </w:r>
    </w:p>
    <w:p>
      <w:pPr>
        <w:spacing w:after="100"/>
      </w:pPr>
      <w:r>
        <w:t xml:space="preserve">No aplica: Defensa, Inteligencia y Civil comparten plantilla, contratos marco y costes indirectos, y la empresa no publica el resultado de cada tipo de cliente; no hay comparables puros que den un múltiplo distinto con fiabilidad.</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74,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99,13 USD (+33,5 % sobre 74,26).</w:t>
      </w:r>
    </w:p>
    <w:p>
      <w:pPr>
        <w:spacing w:after="100"/>
      </w:pPr>
      <w:r>
        <w:t xml:space="preserve">Pesos: DCF 50 %, escenarios 30 % y comparables 20 %, sin transacciones (sin múltiplos publicados) ni suma de partes. El DCF es el método más fiable para un negocio de flujos estables y casi sin capital; los comparables (mediana de EV/EBITDA y PER, 74,16 USD) cotizan todos deprimidos por el mismo riesgo sectorial y por eso pesan poco. La dispersión es alta: el DCF ±0,5 puntos va de 89 a 136 USD, los comparables de 60 a 81 y los escenarios de 62 a 126; el valor intrínseco sintético es de 99,13 USD (+33,5 %). Con la prima del mercado, 116,29 USD.</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(13.4x) × 1.1 (tope: la mediana de 5 años, 19x,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+86,6 %</w:t>
            </w:r>
          </w:p>
        </w:tc>
      </w:tr>
    </w:tbl>
    <w:p>
      <w:pPr>
        <w:spacing w:after="160" w:before="0"/>
      </w:pPr>
    </w:p>
    <w:p>
      <w:pPr>
        <w:spacing w:after="100"/>
      </w:pPr>
      <w:r>
        <w:rPr>
          <w:b/>
          <w:bCs/>
        </w:rPr>
        <w:t xml:space="preserve">Objetivo a 12 meses (ponderado):</w:t>
      </w:r>
      <w:r>
        <w:t xml:space="preserve"> 96,08 USD · rentabilidad +32,6 % (base +30,3 %) · señal Comprar.</w:t>
      </w:r>
    </w:p>
    <w:p>
      <w:pPr>
        <w:spacing w:after="100"/>
      </w:pPr>
      <w:r>
        <w:t xml:space="preserve">Para comparar, con la regla v2 (historia al cierre, mismo precio): 11,4x / 13,4x / 17,4x, 22,4 % Comprar; con el tope anterior del base (×1,3, 14-oct mediodía): 39,9 % Comprar.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 (5,53 USD) queda un 6,6 % bajo el de MarketScreener (5,92) y el de FY2029 (6,42) un 8,5 % bajo el suyo (7,02). La diferencia no está en las ventas (FY2029: 12.196 M frente a 12.406 M, −1,7 %) sino en el tipo fiscal (22 % frente a ≈20 %), la amortización de Ultra y las acciones: no suponemos recompras no anunciadas (119,5 M frente a ≈112 M implícitos en su BPA). El precio base (94,37 USD) queda un 11,8 % sobre el objetivo medio de los analistas (84,38), dentro de su rango (63-140).</w:t>
      </w:r>
    </w:p>
    <w:p>
      <w:pPr>
        <w:keepNext/>
        <w:spacing w:after="100"/>
      </w:pPr>
      <w:r>
        <w:rPr>
          <w:b/>
          <w:bCs/>
        </w:rPr>
        <w:t xml:space="preserve">Del valor intrínseco al objetivo a 12 meses.</w:t>
      </w:r>
    </w:p>
    <w:p>
      <w:pPr>
        <w:spacing w:after="100"/>
      </w:pPr>
      <w:r>
        <w:t xml:space="preserve">El objetivo a 12 meses (96,08 USD) y el valor intrínseco (99,13) están muy cerca: los dos dicen que el precio descuenta un deterioro que nuestras cifras no ven. La distancia con el precio (+30,3 % en el base) es de múltiplo: la regla supone que el PER adelantado pasa de 13,4x a 14,7x, todavía lejos de su mediana de cinco años (19,0x). Para cerrarla hacen falta dos o tres trimestres de ventas estables y de pedidos por encima de 1,1 veces, empezando por el 2T27 (23-oct-2026), y que la IA no se coma la plantilla facturable más deprisa que los ingresos.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2T27 (primer trimestre con Ultra)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Seguridad nacional, caída de Civil, guía con Ultra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Vence la prórroga presupuestaria del año fiscal federal 2027 (H.R. 6500, a niveles de FY2026) [43]: leyes de asignación, otra prórroga o cierre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Ritmo de adjudicaciones y facturación; el cierre de oct-nov de 2025 duró 43 días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3T27 y primera lectura del presupuesto de defensa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Visibilidad del crecimiento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Renegociación de los diez mayores contratos de coste más margen de cada agencia (orden de 30-abr-2026)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Paso a precio fijo: margen mayor si ejecuta, riesgo de pérdidas si no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FY2027 y guía de FY2028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crecimiento orgánico tras dos años de caída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con la caja libre (≈7,8 USD por acción en FY2026)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Sube el BPA un 3-5 % al año si se mantienen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reduce las horas facturables del modelo de coste más margen y por horas (81 % de los ingresos) y el cliente exige quedarse con el ahorro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 y de modelo de 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−40 % (bajista del DCF: −15 %; un bajista de 2-3 puntos menos de margen permanente llega a −40 %)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propios (Ultra, plataforma de IA con OpenAI), paso a precio fijo, habilitaciones de seguridad que la IA no sustituye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empleado facturable al alza con margen estable = captura; ingresos a la baja con plantilla a la baja = cesión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y revisiones de contratos civiles siguen en 2027-2028 (DOGE, órdenes ejecutivas)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 y presupuestario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Civil ya es el 28 % de los ingresos (FY2026: −22 %)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civiles por debajo de 700 M por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Prórrogas presupuestarias y cierre de la Administración: la prórroga vigente (H.R. 6500) vence el 11-dic-2026, después de las elecciones de mitad de mandato; el cierre de 2025 duró 43 días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financiada de 4.664 M (+15 %); el trabajo de defensa y seguridad nacional suele seguir con fondos plurianuales o exceptuados [43]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pedidos/ventas trimestral &lt; 1,0 o cierre a partir del 12-dic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precio fijo sin capacidad de ejecución (pérdidas en contratos)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en precio fijo (19-21 % de los ingresos)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Cargos por contratos con pérdidas o margen bruto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Reputación y habilitaciones: filtraciones (Hacienda canceló sus contratos en 2026), investigaciones del DOJ</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 y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si se extiende a Defensa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Pentágono mantuvo 8.800 M de contratos activos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Suspensión o exclusión de otra agencia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y recompras: deuda neta ajustada ≈3,3 veces el EBITDA tras Ultra y orden ejecutiva que puede limitar recompras de contratistas de defensa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de grado de inversión (Baa3/BBB-), FCF de ≈900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ajustado &gt; 3,5 veces o rebaja a bono basura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de «no tradicionales» (Palantir, Anduril) y reforma de compras que favorece software comercial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de integración de esas mismas plataformas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recompeticiones grandes en Defensa</w:t>
            </w:r>
          </w:p>
        </w:tc>
      </w:tr>
    </w:tbl>
    <w:p>
      <w:pPr>
        <w:spacing w:after="160" w:before="0"/>
      </w:pPr>
    </w:p>
    <w:p>
      <w:pPr>
        <w:pStyle w:val="Heading2"/>
      </w:pPr>
      <w:r>
        <w:t xml:space="preserve">Pre-mortem</w:t>
      </w:r>
    </w:p>
    <w:p>
      <w:pPr>
        <w:spacing w:after="100"/>
      </w:pPr>
      <w:r>
        <w:t xml:space="preserve">Octubre de 2029: la acción vale 43 USD, un 40 % menos. Lo que pasó: en 2027 el Gobierno convirtió los grandes contratos de coste más margen a precio fijo y, a la vez, las agencias empezaron a exigir que los ahorros de la IA se tradujeran en menos horas. Booz Allen, que había presumido de ser el mayor proveedor de IA del Gobierno, vio cómo sus propios agentes de IA reducían la plantilla facturable un 8 % al año mientras los precios de los contratos nuevos se fijaban sobre las horas nuevas, no sobre las viejas. Las ventas cayeron un 3 % al año y el margen del 11 % al 9,5 % porque los costes indirectos (sede nueva, habilitaciones, ventas) no bajaron al mismo ritmo. Las recompras se pararon por la orden ejecutiva de 2026 y el PER se quedó en 11-12x sobre un BPA de 4,5 USD. La señal estaba en las notas trimestrales: ingresos por empleado que no subían aunque la plantilla bajara, pedidos/ventas por debajo de 1,0 y un precio fijo que subía con margen bruto a la baja.</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−20 % a 3-5 años en el caso adverso (−15 % en el bajista del DCF); +10 % si captura la productividad con productos y precio fijo</w:t>
      </w:r>
    </w:p>
    <w:p>
      <w:pPr>
        <w:spacing w:after="100"/>
      </w:pPr>
      <w:r>
        <w:t xml:space="preserve">La IA toca el corazón del modelo: el 81 % de los ingresos (FY2026) se factura por coste más margen o por horas, con un margen que sale casi entero del trabajo de la plantilla propia. Si un analista con IA hace el trabajo de dos, el Gobierno puede pagar la mitad de horas, y la orden de 30-abr-2026 que empuja a precio fijo acelera esa negociación. A favor: Booz Allen es el mayor proveedor de IA del Gobierno (≈400 proyectos), trabaja en entornos clasificados donde los modelos comerciales entran tarde, se alió con OpenAI (jul-2026) y compra productos (Ultra, Defy). Hasta ahora captura el ahorro: los ingresos por empleado subieron un 6 % en FY2026 y el margen del 1T27 fue del 11,9 %. Señal: ingresos por empleado y margen trimestral; si la plantilla cae más deprisa que los ingresos y el margen no sube, la IA está cediendo valor al cliente.</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cifras: (1) seguridad de la información y de los datos del cliente: la filtración de un antiguo contratista costó todos los contratos de Hacienda (21 M de obligaciones) y daño de reputación [21]; (2) ética en la contratación pública: el acuerdo con el DOJ por imputación de costes (reserva de 350 M) [7]; (3) capital humano: el 87 % de la plantilla con estudios superiores y habilitaciones, y un recorte del 12 % en un año [1, 2]. Las emisiones son irrelevantes para el valor (oficinas).</w:t>
      </w:r>
    </w:p>
    <w:p>
      <w:pPr>
        <w:pStyle w:val="Heading2"/>
      </w:pPr>
      <w:r>
        <w:t xml:space="preserve">Controversias</w:t>
      </w:r>
    </w:p>
    <w:p>
      <w:pPr>
        <w:spacing w:after="100"/>
      </w:pPr>
      <w:r>
        <w:t xml:space="preserve">Acuerdo con el DOJ por la investigación de imputación de costes (reserva de 350 M en FY2023, pagado en FY2024) [7]; cancelación de los contratos de Hacienda en enero de 2026 por la filtración de declaraciones fiscales de un antiguo contratista (2018-2020), reiterada por el secretario Bessent en abril [21]; Sin sanciones nuevas en 2026.</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y 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productividad de la IA se queda Booz Allen en los contratos renovados en 2026 y cuánto ha bajado el precio por hora o el alcance?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amenaza u oportunidad: 81 % de los ingresos en coste más margen o por horas.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crecimiento orgánico de Seguridad nacional sin Defy ni Ultra y qué guía hay para FY2028?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Nuestro base supone un 3,5 % de volumen en FY2029-30; hoy el orgánico total es negativo (−4,2 % en el 1T27).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fijo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de los contratos afectados por la orden de 30-abr-2026 se han renegociado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paso a precio fijo puede subir o hundir el margen del 11 %.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margen y crecimiento tiene Ultra Mission Solutions y cuál fue el múltiplo pagado?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publicado; mide si la compra de 720 M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qué deuda neta/EBITDA llegará con recompras y compras, y cómo afecta la orden ejecutiva de 7-ene-2026 a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(598 M en FY2026) sostienen el BPA; deuda neta ajustada ≈3,3 veces.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Civil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¿Dónde está el suelo de Civil y qué parte de su cartera está en revisión?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Cayó un 22 % en FY2026 y un 16 % en el 1T27.</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 de autores)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junio predominan los artículos alcistas («la caída ya está descontada», «más resistente de lo que cree el mercado», «el mercado ignora el segmento que crece»): ven barato un negocio de seguridad nacional que sigue creciendo mientras cae Civil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Titulares de mejoras de recomendación (Stifel en mayo, Truist en octubre) y de la compra de Ultra, frente a la cancelación de contratos de Hacienda y el riesgo de recortes civiles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Particulares que compran en 68-70 USD y otros que piden vender todos los contratistas federales por el riesgo de prórrogas presupuestarias tras las elecciones de mitad de mandato; debate sobre si la IA sustituye a los consultores [47].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MarketScreener (notas de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«Mantener» con objetivos que dejan de bajar: de 90 a 75 (BofA), de 70 a 78 (UBS) y de 70 a 85 (Truist) [32].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civiles (DOGE) y riesgo presupuestario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Civil cayó un 22 % en FY2026 y un 16 % en el 1T27, pero ya pesa solo el 28 % de las ventas; seguridad nacional +1,3 % en el 1T27.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adelantado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adelantado (≈13x sobre BPA normalizado) está en el mínimo de su historia desde 2018; la mediana de cinco años es ≈19x.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amenaza para el modelo por horas u oportunidad (alianza con OpenAI)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plantilla baja un 12 % con los ingresos estables en seguridad nacional; el margen sube (11,9 % en el 1T27). Ver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Reputación y contratos de Hacienda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directo pequeño (21 M de obligaciones), pero recuerda el riesgo de reputación con un cliente único.</w:t>
            </w:r>
          </w:p>
        </w:tc>
      </w:tr>
    </w:tbl>
    <w:p>
      <w:pPr>
        <w:spacing w:after="160" w:before="0"/>
      </w:pPr>
    </w:p>
    <w:p>
      <w:pPr>
        <w:spacing w:after="100"/>
      </w:pPr>
      <w:r>
        <w:t xml:space="preserve">El sentimiento ha pasado de capitulación (mínimo de 59,50 en junio) a un optimismo prudente: los autores de Seeking Alpha ven la caída descontada y los analistas dejan de recortar objetivos (Truist a Comprar con 85, oct-2026) [24, 32]. Los particulares están divididos entre quienes compran a 68-70 USD por valoración y quienes temen prórrogas presupuestarias tras las elecciones y la sustitución por la IA [47]. No es extremo y va en la dirección de nuestras cifras; el único riesgo que los foros señalan con más fuerza que el consenso es la IA, que tratamos en riesgos. Ninguna cifra del informe sale de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47 (23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 explica la causa (créditos fiscales, regularizaciones, mezcla de países) y no lo proyectes en el DCF. Explicación: Tipo del 1,3 % por la liberación de 80 M de reservas fiscales al cerrar la inspección del IRS y por créditos de I+D de años anteriores (103 M, el 12 % del beneficio antes de impuestos). No se proyecta: el DCF usa el 22 % (guía de 2027: 20-23 %) y el BPA de la regla a 12 meses está normalizado.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10,3 % frente a 10,3 % real: genera una variación de circulante de 19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10, 11,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tipo de cliente antes de 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2020-2023 (no desglosan por cliente); 2) 10-K de 2026 (solo 2024-2026); 3) presentaciones de resultados (sin series anteriores)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interanual de 2T25, 3T25 y 1T26 y consenso previo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(comparan con el trimestre de un año antes solo en las del ejercicio en curso leídas); 2) presentaciones; 3) prensa (Seeking Alpha solo da el 1T27 y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último ejercicio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estadísticas (solo margen EBITDA); 2) notas de resultados de cada competidor (no leídas por tiempo); 3) MarketScreener (EBIT de consenso,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da el margen EBITDA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5-8 años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GAO (solo 2024 y 2025 en el blog); 2) FederalBudgetIQ (2025); 3) Bloomberg Government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tabla de comisiones (símbolos sin texto en la extracción); 2) web de gobierno corporativo (no leída); 3) 8-K de nombramientos (solo Dial, Gaumond y Nolan)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salvo las conocidas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pagados (EV/ventas, EV/EBITDA) de las compras del sector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y 8-K de Booz Allen (Liberty, EverWatch, Ultra: sin ventas ni EBITDA de las compradas); 2) prensa de compras de competidores (múltiplos de prensa sin nota oficial); 3) búsqueda web de múltiplos del sector (resúmenes de buscador, no válidos)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de los próximos 12 meses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(solo LTM); 2) MarketScreener de cada uno (no consultado por tiempo); 3) consenso de EBITDA del sector (sin fuente gratuita homogénea)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reparto de recomendaciones (comprar/mantener/vender)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(solo media «Mantener» y 15 analistas); 2) Stock Analysis (de pago);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publicadas (MSCI,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responsabilidad de la empresa (no leído por tiempo); 2) MSCI ESG ratings corporate search (requiere navegador); 3) Sustainalytics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cerrado el 31-mar-2026 (cuentas, notas de deuda, impuestos, cartera de pedidos, contratos,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 Hamilton Holding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https://www.sec.gov/Archives/edgar/data/1443646/000162828026037521/bah-20260331.htm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del 4T y del ejercicio 2026 (Exhibit 99.1; cuenta, balance, flujos, conciliaciones, clientes por tipo, cartera)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https://www.sec.gov/Archives/edgar/data/1443646/000162828026037519/bahexhibit991q4fy26_fina.htm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1T del ejercicio 2027 (trimestre a 30-jun-2026; guía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https://www.sec.gov/Archives/edgar/data/1443646/000162828026049494/q1fy2027exhibit991_final.htm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3T del ejercicio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https://www.sec.gov/Archives/edgar/data/1443646/000162828026003186/finalbahexhibit991q3fy26.htm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2T del ejercicio 2026 (rebaja de la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https://www.sec.gov/Archives/edgar/data/1443646/000162828025046175/bahexhibit991q2fy26.htm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2025 (con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https://www.sec.gov/Archives/edgar/data/1443646/000144364625000075/bahexhibit991q4fy25_fina.htm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2024 (con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https://www.sec.gov/Archives/edgar/data/1443646/000144364624000074/q4fy24bahexhibit991.htm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2023 (con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https://www.sec.gov/Archives/edgar/data/1443646/000144364623000088/bah033123exhibit991_fina.htm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y del ejercicio 2022 (con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may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https://www.sec.gov/Archives/edgar/data/1443646/000144364622000056/bah033122exhibit991_fina.htm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de los ejercicios 2020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https://www.sec.gov/Archives/edgar/data/1443646/000144364621000078/bah033121exhibit991_fina.htm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de la SEC (companyfacts, CIK 1443646): cuenta, balance y flujos 2017-2026 (descargado de nuevo el 19-oct-2026: mismas cifras)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https://data.sec.gov/api/xbrl/companyfacts/CIK0001443646.json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1T del ejercicio 2027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https://www.sec.gov/Archives/edgar/data/1443646/000162828026049494/q1fy2027exhibit992_final.htm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cierre de la compra de Ultra I&amp;C Mission Solutions (720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https://www.sec.gov/Archives/edgar/data/1443646/000144364626000058/ultraclosepressreleasevf.htm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compra de Ultra I&amp;C Mission Solutions (8-K y nota,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https://www.sec.gov/Archives/edgar/data/1443646/000110465926076094/tm2618424d1_ex99-1.htm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Emisión de bonos: 700 M al 5,375 % (2030) y 500 M al 5,900 % (2034)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https://www.sec.gov/Archives/edgar/data/1443646/000110465926090450/tm2621893d1_8k.htm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(424B2) de los bonos 2030 y 2034: capitalización a 30-jun-2026 y destino de los fondos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https://www.sec.gov/Archives/edgar/data/1443646/000110465926087336/tm267274-4_424b2.htm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Snapshot of Government-Wide Contracting for FY2025 (793.000 M USD, +17.800 M real)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Government Accountability Office (GAO)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https://www.gao.gov/blog/snapshot-government-wide-contracting-fy-2025-interactive-dashboard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addressable market shifts (FY25: 792.800 M; DoD 491.600 M; civiles 301.200 M, de ellos 249.000 M en servicios)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FederalBudgetIQ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https://federalbudgetiq.com/insights/federal-addressable-market-shifts/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Consultants Hurt as Civilian Agencies Lower Annual Spending (servicios de asesoría −19 %; civiles −1/3 a 26.000 M; DoD −1 % a 24.000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Government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https://news.bgov.com/bloomberg-government-news/consultants-hurt-as-civilian-agencies-reel-in-annual-spending-1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CACI, SAIC, Leidos, Parsons, KBR, ICF y Maximus (capitalización, VE, múltiplos, márgenes,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https://stockanalysis.com/stocks/caci/statistics/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 Bessent explains Treasury decision to cancel Booz Allen contracts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FedScoop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https://fedscoop.com/scott-bessent-explains-treasury-decision-to-cancel-booz-allen-contracts/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 sectorial: consultoría y servicios tecnológicos para el Gobierno de EE. UU.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propio (repo)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sectores/consultoria-gobierno-2026-10-15.md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historia de la empresa en la trayectoria del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Holding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https://www.sec.gov/Archives/edgar/data/1443646/000144364626000021/bah-20260611.htm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OpenAI partner on AI for U.S. government and commercial clients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(noticia)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https://seekingalpha.com/api/sa/combined/BAH.xml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 junta del 22-jul-2026 (8-K, Item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https://www.sec.gov/Archives/edgar/data/1443646/000144364626000029/bah-20260722.htm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Troy Lahr (director financiero) y de Kristine Martin Anderson (presidenta)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https://www.sec.gov/Archives/edgar/data/1443646/000144364626000007/leadershipchanges042726.htm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Dimisión del director financiero Matthew Calderone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https://www.sec.gov/Archives/edgar/data/1443646/000144364625000148/bah-20251211.htm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Nombramiento de Ryan P. Nolan como consejero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https://www.sec.gov/Archives/edgar/data/1443646/000144364626000014/nolanbodappointmentvf.htm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Formularios 4 de consejeros y directivos (19-oct-2025 a 19-oct-2026; el último, del 17-ago-2026)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https://www.sec.gov/cgi-bin/browse-edgar?action=getcompany&amp;CIK=0001443646&amp;type=4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BAH, SPY y XLI (precio, rango, rentabilidades, beta, cierres de marzo; cierre del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https://finance.yahoo.com/quote/BAH/history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anuales de BAH (ventas, EBITDA, EBIT, beneficio, BPA, DPA, deuda neta, FCF; FY2027-FY2029)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https://uk.marketscreener.com/quote/stock/BOOZ-ALLEN-HAMILTON-HOLDI-6873099/finances/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BAH (15 analistas, «Mantener», objetivo medio 84,38 USD, rango 63-140) y cambios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https://uk.marketscreener.com/quote/stock/BOOZ-ALLEN-HAMILTON-HOLDI-6873099/consensus/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BAH (VE, PER adelantado 12,0x, ROIC, posición corta 5,81 % del capital flotante)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https://stockanalysis.com/stocks/bah/statistics/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SAIC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https://stockanalysis.com/stocks/saic/statistics/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Leidos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https://stockanalysis.com/stocks/ldos/statistics/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Parsons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https://stockanalysis.com/stocks/psn/statistics/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KBR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https://stockanalysis.com/stocks/kbr/statistics/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ICF International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https://stockanalysis.com/stocks/icfi/statistics/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estadísticas de Maximus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https://stockanalysis.com/stocks/mms/statistics/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bono a 10 años al 5,09 % el 16-oct-2026 (FRED DGS10: 5,10 % el 15-oct)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Departamento del Tesoro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4,20 % en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to Host Conference Call to Discuss Second Quarter Fiscal 2027 Results on Friday, October 23, 2026 (comunicado de Business Wire, 11-sep-2026; llamada a las 8:00 EDT, nota antes de la apertura)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(Business Wire, reproducido por 01net)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https://www.01net.it/booz-allen-to-host-conference-call-to-discuss-second-quarter-fiscal-2027-results-on-friday-october-23-2026/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Summary of FY27 Continuing Resolution (H.R. 6500: financia el Gobierno a niveles de FY2026 hasta el 11-dic-2026; Senado 90-6, Cámara 370-48)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ASTHO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https://www.astho.org/advocacy/federal-government-affairs/leg-alerts/2026/summary-of-fy27-continuing-resolution/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BAH de 12 meses clasificadas (herramientas/noticias.mjs: Business Wire, Washington Technology, GovCon Wire, Yahoo Finance, Seeking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 propio de noticias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https://news.google.com/rss/search?q=Booz+Allen+Hamilton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Booz Allen Hamilton stock: the biggest loser in the U.S. defense sector (caída de junio por los recortes del gasto federal en consultoría)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XTB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https://www.xtb.com/int/market-analysis/news-and-research/booz-allen-hamilton-stock-the-biggest-loser-in-the-u-s-defense-sector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cierres del 14 y del 16-oct-2026 de LDOS, CACI, SAIC, KBR, PSN, ICFI y MMS (variación usada para llevar los comparables al 16-oct)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https://finance.yahoo.com/quote/LDOS/history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$BAH (jul-oct 2026; leído de nuevo el 19-oct, último mensaje del 12-oct)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https://api.stocktwits.com/api/2/streams/symbol/BAH.json</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19 oct 2026.</w:t>
      </w:r>
    </w:p>
    <w:p>
      <w:pPr>
        <w:pStyle w:val="Nota"/>
        <w:spacing w:after="100"/>
      </w:pPr>
      <w:r>
        <w:t xml:space="preserve">Ejercicio a 31 de marzo con la etiqueta del año en que termina (FY2026 = abril de 2025 a marzo de 2026); trimestres con la numeración fiscal (1T27 = abril-junio de 2026). Precio: cierre del viernes 16-oct-2026 en la NYSE (74,26 USD); la sesión del 19-oct estaba abierta al cortar (73,69 USD a las 16:05 UTC, 18:05 de Madrid), y ese precio solo se usa en las pruebas de robustez con --actual. Iteración del análisis del 15-oct: sin presentaciones nuevas en EDGAR desde el 24-ago-2026; cambian el precio, el bono a 10 años y los comparables. Cuentas del XBRL de la SEC comprobadas con las notas de resultados: el coste de ventas incluye los gastos facturables (subcontratas y viajes), que la empresa presenta aparte. El BPA publicado de FY2026 (6,90 USD) lleva una liberación de reservas fiscales de 86 M, intereses de la devolución de impuestos y créditos de I+D de años anteriores (tipo efectivo del 1,3 %): para la rentabilidad a 12 meses se usa un BPA normalizado (publicado sin no recurrentes y con un tipo del 21,5-22 %), no el ajustado de la empresa, que además excluye la amortización de las compras. Arrendamientos operativos (US GAAP) fuera de la deuda. Ingresos por tipo de cliente solo desde FY2024; desde el 1T27 la empresa junta Defensa e Inteligencia en «Seguridad nacional». Comparables con el PER adelantado de Stock Analysis sobre BPA ajustado (otra base que la nuestra). Sin múltiplos de transacciones publicados.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19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Booz Allen Hamilton Holding Corporation (BAH)</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74,26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109,10)</c:v>
                </c:pt>
                <c:pt idx="1">
                  <c:v>Precio objetivo de los analistas (63,00 – 140,00)</c:v>
                </c:pt>
                <c:pt idx="2">
                  <c:v>Comparables: PER NTM (59,64 – 81,27)</c:v>
                </c:pt>
                <c:pt idx="3">
                  <c:v>DCF (WACC y g ± 0,5) (88,75 – 135,64)</c:v>
                </c:pt>
                <c:pt idx="4">
                  <c:v>Escenarios (bajista – alcista) (62,26 – 126,27)</c:v>
                </c:pt>
                <c:pt idx="5">
                  <c:v>DCF con la prima implícita del mercado (4,2 %)</c:v>
                </c:pt>
                <c:pt idx="6">
                  <c:v>Precio actual (74,26)</c:v>
                </c:pt>
              </c:strCache>
            </c:strRef>
          </c:cat>
          <c:val>
            <c:numRef>
              <c:f>Hoja1!$B$2:$B$8</c:f>
              <c:numCache>
                <c:formatCode>#,##0</c:formatCode>
                <c:ptCount val="7"/>
                <c:pt idx="0">
                  <c:v>59.5</c:v>
                </c:pt>
                <c:pt idx="1">
                  <c:v>63</c:v>
                </c:pt>
                <c:pt idx="2">
                  <c:v>59.64</c:v>
                </c:pt>
                <c:pt idx="3">
                  <c:v>88.75</c:v>
                </c:pt>
                <c:pt idx="4">
                  <c:v>62.26</c:v>
                </c:pt>
                <c:pt idx="5">
                  <c:v>114.42</c:v>
                </c:pt>
                <c:pt idx="6">
                  <c:v>73.89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109,10)</c:v>
                </c:pt>
                <c:pt idx="1">
                  <c:v>Precio objetivo de los analistas (63,00 – 140,00)</c:v>
                </c:pt>
                <c:pt idx="2">
                  <c:v>Comparables: PER NTM (59,64 – 81,27)</c:v>
                </c:pt>
                <c:pt idx="3">
                  <c:v>DCF (WACC y g ± 0,5) (88,75 – 135,64)</c:v>
                </c:pt>
                <c:pt idx="4">
                  <c:v>Escenarios (bajista – alcista) (62,26 – 126,27)</c:v>
                </c:pt>
                <c:pt idx="5">
                  <c:v>DCF con la prima implícita del mercado (4,2 %)</c:v>
                </c:pt>
                <c:pt idx="6">
                  <c:v>Precio actual (74,26)</c:v>
                </c:pt>
              </c:strCache>
            </c:strRef>
          </c:cat>
          <c:val>
            <c:numRef>
              <c:f>Hoja1!$C$2:$C$8</c:f>
              <c:numCache>
                <c:formatCode>#,##0</c:formatCode>
                <c:ptCount val="7"/>
                <c:pt idx="0">
                  <c:v>49.599999999999994</c:v>
                </c:pt>
                <c:pt idx="1">
                  <c:v>77</c:v>
                </c:pt>
                <c:pt idx="2">
                  <c:v>21.629999999999995</c:v>
                </c:pt>
                <c:pt idx="3">
                  <c:v>46.889999999999986</c:v>
                </c:pt>
                <c:pt idx="4">
                  <c:v>64.00999999999999</c:v>
                </c:pt>
                <c:pt idx="5">
                  <c:v>34.92999999999999</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Defensa</c:v>
                </c:pt>
              </c:strCache>
            </c:strRef>
          </c:tx>
          <c:spPr>
            <a:solidFill>
              <a:srgbClr val="2A78D6"/>
            </a:solidFill>
            <a:ln w="12700">
              <a:solidFill>
                <a:srgbClr val="FFFFFF"/>
              </a:solidFill>
            </a:ln>
          </c:spPr>
          <c:invertIfNegative val="0"/>
          <c:cat>
            <c:strRef>
              <c:f>Hoja1!$A$2:$A$4</c:f>
              <c:strCache>
                <c:ptCount val="3"/>
                <c:pt idx="0">
                  <c:v>FY2024</c:v>
                </c:pt>
                <c:pt idx="1">
                  <c:v>FY2025</c:v>
                </c:pt>
                <c:pt idx="2">
                  <c:v>FY2026</c:v>
                </c:pt>
              </c:strCache>
            </c:strRef>
          </c:cat>
          <c:val>
            <c:numRef>
              <c:f>Hoja1!$B$2:$B$4</c:f>
              <c:numCache>
                <c:formatCode>#,##0</c:formatCode>
                <c:ptCount val="3"/>
                <c:pt idx="0">
                  <c:v>5061</c:v>
                </c:pt>
                <c:pt idx="1">
                  <c:v>5943</c:v>
                </c:pt>
                <c:pt idx="2">
                  <c:v>6069</c:v>
                </c:pt>
              </c:numCache>
            </c:numRef>
          </c:val>
        </c:ser>
        <c:ser>
          <c:idx val="1"/>
          <c:order val="1"/>
          <c:tx>
            <c:strRef>
              <c:f>Hoja1!$C$1</c:f>
              <c:strCache>
                <c:ptCount val="1"/>
                <c:pt idx="0">
                  <c:v>Inteligencia</c:v>
                </c:pt>
              </c:strCache>
            </c:strRef>
          </c:tx>
          <c:spPr>
            <a:solidFill>
              <a:srgbClr val="EB6834"/>
            </a:solidFill>
            <a:ln w="12700">
              <a:solidFill>
                <a:srgbClr val="FFFFFF"/>
              </a:solidFill>
            </a:ln>
          </c:spPr>
          <c:invertIfNegative val="0"/>
          <c:cat>
            <c:strRef>
              <c:f>Hoja1!$A$2:$A$4</c:f>
              <c:strCache>
                <c:ptCount val="3"/>
                <c:pt idx="0">
                  <c:v>FY2024</c:v>
                </c:pt>
                <c:pt idx="1">
                  <c:v>FY2025</c:v>
                </c:pt>
                <c:pt idx="2">
                  <c:v>FY2026</c:v>
                </c:pt>
              </c:strCache>
            </c:strRef>
          </c:cat>
          <c:val>
            <c:numRef>
              <c:f>Hoja1!$C$2:$C$4</c:f>
              <c:numCache>
                <c:formatCode>#,##0</c:formatCode>
                <c:ptCount val="3"/>
                <c:pt idx="0">
                  <c:v>1763</c:v>
                </c:pt>
                <c:pt idx="1">
                  <c:v>1867</c:v>
                </c:pt>
                <c:pt idx="2">
                  <c:v>1900</c:v>
                </c:pt>
              </c:numCache>
            </c:numRef>
          </c:val>
        </c:ser>
        <c:ser>
          <c:idx val="2"/>
          <c:order val="2"/>
          <c:tx>
            <c:strRef>
              <c:f>Hoja1!$D$1</c:f>
              <c:strCache>
                <c:ptCount val="1"/>
                <c:pt idx="0">
                  <c:v>Civil</c:v>
                </c:pt>
              </c:strCache>
            </c:strRef>
          </c:tx>
          <c:spPr>
            <a:solidFill>
              <a:srgbClr val="1BAF7A"/>
            </a:solidFill>
            <a:ln w="12700">
              <a:solidFill>
                <a:srgbClr val="FFFFFF"/>
              </a:solidFill>
            </a:ln>
          </c:spPr>
          <c:invertIfNegative val="0"/>
          <c:cat>
            <c:strRef>
              <c:f>Hoja1!$A$2:$A$4</c:f>
              <c:strCache>
                <c:ptCount val="3"/>
                <c:pt idx="0">
                  <c:v>FY2024</c:v>
                </c:pt>
                <c:pt idx="1">
                  <c:v>FY2025</c:v>
                </c:pt>
                <c:pt idx="2">
                  <c:v>FY2026</c:v>
                </c:pt>
              </c:strCache>
            </c:strRef>
          </c:cat>
          <c:val>
            <c:numRef>
              <c:f>Hoja1!$D$2:$D$4</c:f>
              <c:numCache>
                <c:formatCode>#,##0</c:formatCode>
                <c:ptCount val="3"/>
                <c:pt idx="0">
                  <c:v>3838</c:v>
                </c:pt>
                <c:pt idx="1">
                  <c:v>4170</c:v>
                </c:pt>
                <c:pt idx="2">
                  <c:v>3248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Defensa</c:v>
                </c:pt>
                <c:pt idx="1">
                  <c:v>Inteligencia</c:v>
                </c:pt>
                <c:pt idx="2">
                  <c:v>Civil</c:v>
                </c:pt>
              </c:strCache>
            </c:strRef>
          </c:cat>
          <c:val>
            <c:numRef>
              <c:f>Hoja1!$B$2:$B$4</c:f>
              <c:numCache>
                <c:formatCode>General</c:formatCode>
                <c:ptCount val="3"/>
                <c:pt idx="0">
                  <c:v>54.1</c:v>
                </c:pt>
                <c:pt idx="1">
                  <c:v>16.9</c:v>
                </c:pt>
                <c:pt idx="2">
                  <c:v>29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 (Gobierno federal y otros)</c:v>
                </c:pt>
                <c:pt idx="1">
                  <c:v>Otros</c:v>
                </c:pt>
              </c:strCache>
            </c:strRef>
          </c:cat>
          <c:val>
            <c:numRef>
              <c:f>Hoja1!$B$2:$B$3</c:f>
              <c:numCache>
                <c:formatCode>0"%"</c:formatCode>
                <c:ptCount val="2"/>
                <c:pt idx="0">
                  <c:v>98</c:v>
                </c:pt>
                <c:pt idx="1">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(obligaciones de contratos federales))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2024</c:v>
                </c:pt>
                <c:pt idx="1">
                  <c:v>2025</c:v>
                </c:pt>
              </c:strCache>
            </c:strRef>
          </c:cat>
          <c:val>
            <c:numRef>
              <c:f>Hoja1!$B$2:$B$3</c:f>
              <c:numCache>
                <c:formatCode>#,##0</c:formatCode>
                <c:ptCount val="2"/>
                <c:pt idx="0">
                  <c:v>755100</c:v>
                </c:pt>
                <c:pt idx="1">
                  <c:v>793000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5</c:v>
                </c:pt>
                <c:pt idx="2">
                  <c:v>3</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Booz Allen</c:v>
                </c:pt>
                <c:pt idx="1">
                  <c:v>Leidos</c:v>
                </c:pt>
                <c:pt idx="2">
                  <c:v>CACI International</c:v>
                </c:pt>
                <c:pt idx="3">
                  <c:v>KBR</c:v>
                </c:pt>
                <c:pt idx="4">
                  <c:v>SAIC</c:v>
                </c:pt>
                <c:pt idx="5">
                  <c:v>Parsons</c:v>
                </c:pt>
                <c:pt idx="6">
                  <c:v>Maximus</c:v>
                </c:pt>
                <c:pt idx="7">
                  <c:v>ICF International</c:v>
                </c:pt>
                <c:pt idx="8">
                  <c:v>Accenture Federal Services y Deloitte (Gobierno)</c:v>
                </c:pt>
              </c:strCache>
            </c:strRef>
          </c:cat>
          <c:val>
            <c:numRef>
              <c:f>Hoja1!$B$2:$B$10</c:f>
              <c:numCache>
                <c:formatCode>0.0"%"</c:formatCode>
                <c:ptCount val="9"/>
                <c:pt idx="0">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FY2018</c:v>
                </c:pt>
                <c:pt idx="1">
                  <c:v>FY2019</c:v>
                </c:pt>
                <c:pt idx="2">
                  <c:v>FY2020</c:v>
                </c:pt>
                <c:pt idx="3">
                  <c:v>FY2021</c:v>
                </c:pt>
                <c:pt idx="4">
                  <c:v>FY2022</c:v>
                </c:pt>
                <c:pt idx="5">
                  <c:v>FY2023</c:v>
                </c:pt>
                <c:pt idx="6">
                  <c:v>FY2024</c:v>
                </c:pt>
                <c:pt idx="7">
                  <c:v>FY2025</c:v>
                </c:pt>
                <c:pt idx="8">
                  <c:v>FY2026</c:v>
                </c:pt>
                <c:pt idx="9">
                  <c:v>FY2027e</c:v>
                </c:pt>
                <c:pt idx="10">
                  <c:v>FY2028e</c:v>
                </c:pt>
                <c:pt idx="11">
                  <c:v>FY2029e</c:v>
                </c:pt>
                <c:pt idx="12">
                  <c:v>FY2030e</c:v>
                </c:pt>
                <c:pt idx="13">
                  <c:v>FY2031e</c:v>
                </c:pt>
                <c:pt idx="14">
                  <c:v>FY2032e</c:v>
                </c:pt>
                <c:pt idx="15">
                  <c:v>FY2033e</c:v>
                </c:pt>
              </c:strCache>
            </c:strRef>
          </c:cat>
          <c:val>
            <c:numRef>
              <c:f>Hoja1!$B$2:$B$17</c:f>
              <c:numCache>
                <c:formatCode>#,##0</c:formatCode>
                <c:ptCount val="16"/>
                <c:pt idx="0">
                  <c:v>6167.6</c:v>
                </c:pt>
                <c:pt idx="1">
                  <c:v>6704</c:v>
                </c:pt>
                <c:pt idx="2">
                  <c:v>7463.8</c:v>
                </c:pt>
                <c:pt idx="3">
                  <c:v>7858.9</c:v>
                </c:pt>
                <c:pt idx="4">
                  <c:v>8363.7</c:v>
                </c:pt>
                <c:pt idx="5">
                  <c:v>9259</c:v>
                </c:pt>
                <c:pt idx="6">
                  <c:v>10662</c:v>
                </c:pt>
                <c:pt idx="7">
                  <c:v>11980</c:v>
                </c:pt>
                <c:pt idx="8">
                  <c:v>11217</c:v>
                </c:pt>
                <c:pt idx="9">
                  <c:v>11385</c:v>
                </c:pt>
                <c:pt idx="10">
                  <c:v>11727</c:v>
                </c:pt>
                <c:pt idx="11">
                  <c:v>12196</c:v>
                </c:pt>
                <c:pt idx="12">
                  <c:v>12684</c:v>
                </c:pt>
                <c:pt idx="13">
                  <c:v>13128</c:v>
                </c:pt>
                <c:pt idx="14">
                  <c:v>13521</c:v>
                </c:pt>
                <c:pt idx="15">
                  <c:v>13927</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FY2018</c:v>
                </c:pt>
                <c:pt idx="1">
                  <c:v>FY2019</c:v>
                </c:pt>
                <c:pt idx="2">
                  <c:v>FY2020</c:v>
                </c:pt>
                <c:pt idx="3">
                  <c:v>FY2021</c:v>
                </c:pt>
                <c:pt idx="4">
                  <c:v>FY2022</c:v>
                </c:pt>
                <c:pt idx="5">
                  <c:v>FY2023</c:v>
                </c:pt>
                <c:pt idx="6">
                  <c:v>FY2024</c:v>
                </c:pt>
                <c:pt idx="7">
                  <c:v>FY2025</c:v>
                </c:pt>
                <c:pt idx="8">
                  <c:v>FY2026</c:v>
                </c:pt>
                <c:pt idx="9">
                  <c:v>FY2027e</c:v>
                </c:pt>
                <c:pt idx="10">
                  <c:v>FY2028e</c:v>
                </c:pt>
                <c:pt idx="11">
                  <c:v>FY2029e</c:v>
                </c:pt>
                <c:pt idx="12">
                  <c:v>FY2030e</c:v>
                </c:pt>
                <c:pt idx="13">
                  <c:v>FY2031e</c:v>
                </c:pt>
                <c:pt idx="14">
                  <c:v>FY2032e</c:v>
                </c:pt>
                <c:pt idx="15">
                  <c:v>FY2033e</c:v>
                </c:pt>
              </c:strCache>
            </c:strRef>
          </c:cat>
          <c:val>
            <c:numRef>
              <c:f>Hoja1!$C$2:$C$17</c:f>
              <c:numCache>
                <c:formatCode>#,##0</c:formatCode>
                <c:ptCount val="16"/>
                <c:pt idx="0">
                  <c:v>584.5</c:v>
                </c:pt>
                <c:pt idx="1">
                  <c:v>671</c:v>
                </c:pt>
                <c:pt idx="2">
                  <c:v>750.3</c:v>
                </c:pt>
                <c:pt idx="3">
                  <c:v>838.7</c:v>
                </c:pt>
                <c:pt idx="4">
                  <c:v>830.9</c:v>
                </c:pt>
                <c:pt idx="5">
                  <c:v>962</c:v>
                </c:pt>
                <c:pt idx="6">
                  <c:v>1178</c:v>
                </c:pt>
                <c:pt idx="7">
                  <c:v>1307</c:v>
                </c:pt>
                <c:pt idx="8">
                  <c:v>1229</c:v>
                </c:pt>
                <c:pt idx="9">
                  <c:v>1252</c:v>
                </c:pt>
                <c:pt idx="10">
                  <c:v>1313</c:v>
                </c:pt>
                <c:pt idx="11">
                  <c:v>1378</c:v>
                </c:pt>
                <c:pt idx="12">
                  <c:v>1446</c:v>
                </c:pt>
                <c:pt idx="13">
                  <c:v>1497</c:v>
                </c:pt>
                <c:pt idx="14">
                  <c:v>1541</c:v>
                </c:pt>
                <c:pt idx="15">
                  <c:v>1588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23.3</c:v>
                </c:pt>
                <c:pt idx="1">
                  <c:v>23.8</c:v>
                </c:pt>
                <c:pt idx="2">
                  <c:v>23.9</c:v>
                </c:pt>
                <c:pt idx="3">
                  <c:v>23.9</c:v>
                </c:pt>
                <c:pt idx="4">
                  <c:v>23.8</c:v>
                </c:pt>
                <c:pt idx="5">
                  <c:v>23.2</c:v>
                </c:pt>
                <c:pt idx="6">
                  <c:v>23.1</c:v>
                </c:pt>
                <c:pt idx="7">
                  <c:v>23.2</c:v>
                </c:pt>
                <c:pt idx="8">
                  <c:v>21.9</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9.5</c:v>
                </c:pt>
                <c:pt idx="1">
                  <c:v>10</c:v>
                </c:pt>
                <c:pt idx="2">
                  <c:v>10.1</c:v>
                </c:pt>
                <c:pt idx="3">
                  <c:v>10.7</c:v>
                </c:pt>
                <c:pt idx="4">
                  <c:v>9.9</c:v>
                </c:pt>
                <c:pt idx="5">
                  <c:v>10.4</c:v>
                </c:pt>
                <c:pt idx="6">
                  <c:v>11</c:v>
                </c:pt>
                <c:pt idx="7">
                  <c:v>10.9</c:v>
                </c:pt>
                <c:pt idx="8">
                  <c:v>11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8.4</c:v>
                </c:pt>
                <c:pt idx="1">
                  <c:v>9</c:v>
                </c:pt>
                <c:pt idx="2">
                  <c:v>9</c:v>
                </c:pt>
                <c:pt idx="3">
                  <c:v>9.6</c:v>
                </c:pt>
                <c:pt idx="4">
                  <c:v>8.2</c:v>
                </c:pt>
                <c:pt idx="5">
                  <c:v>8.6</c:v>
                </c:pt>
                <c:pt idx="6">
                  <c:v>9.5</c:v>
                </c:pt>
                <c:pt idx="7">
                  <c:v>9.5</c:v>
                </c:pt>
                <c:pt idx="8">
                  <c:v>9.5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Hoja1!$E$2:$E$10</c:f>
              <c:numCache>
                <c:formatCode>0"%"</c:formatCode>
                <c:ptCount val="9"/>
                <c:pt idx="0">
                  <c:v>4.9</c:v>
                </c:pt>
                <c:pt idx="1">
                  <c:v>6.2</c:v>
                </c:pt>
                <c:pt idx="2">
                  <c:v>6.5</c:v>
                </c:pt>
                <c:pt idx="3">
                  <c:v>7.7</c:v>
                </c:pt>
                <c:pt idx="4">
                  <c:v>5.6</c:v>
                </c:pt>
                <c:pt idx="5">
                  <c:v>2.9</c:v>
                </c:pt>
                <c:pt idx="6">
                  <c:v>5.7</c:v>
                </c:pt>
                <c:pt idx="7">
                  <c:v>7.8</c:v>
                </c:pt>
                <c:pt idx="8">
                  <c:v>7.6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2T25</c:v>
                </c:pt>
                <c:pt idx="1">
                  <c:v>3T25</c:v>
                </c:pt>
                <c:pt idx="2">
                  <c:v>4T25</c:v>
                </c:pt>
                <c:pt idx="3">
                  <c:v>1T26</c:v>
                </c:pt>
                <c:pt idx="4">
                  <c:v>2T26</c:v>
                </c:pt>
                <c:pt idx="5">
                  <c:v>3T26</c:v>
                </c:pt>
                <c:pt idx="6">
                  <c:v>4T26</c:v>
                </c:pt>
                <c:pt idx="7">
                  <c:v>1T27</c:v>
                </c:pt>
              </c:strCache>
            </c:strRef>
          </c:cat>
          <c:val>
            <c:numRef>
              <c:f>Hoja1!$B$2:$B$9</c:f>
              <c:numCache>
                <c:formatCode>0.0"%"</c:formatCode>
                <c:ptCount val="8"/>
                <c:pt idx="2">
                  <c:v>7.3</c:v>
                </c:pt>
                <c:pt idx="4">
                  <c:v>-8.1</c:v>
                </c:pt>
                <c:pt idx="5">
                  <c:v>-10.2</c:v>
                </c:pt>
                <c:pt idx="6">
                  <c:v>-6.4</c:v>
                </c:pt>
                <c:pt idx="7">
                  <c:v>-4.2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67</c:v>
                </c:pt>
                <c:pt idx="1">
                  <c:v>72</c:v>
                </c:pt>
                <c:pt idx="2">
                  <c:v>71</c:v>
                </c:pt>
                <c:pt idx="3">
                  <c:v>66</c:v>
                </c:pt>
                <c:pt idx="4">
                  <c:v>71</c:v>
                </c:pt>
                <c:pt idx="5">
                  <c:v>70</c:v>
                </c:pt>
                <c:pt idx="6">
                  <c:v>70</c:v>
                </c:pt>
                <c:pt idx="7">
                  <c:v>69</c:v>
                </c:pt>
                <c:pt idx="8">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0</c:v>
                </c:pt>
                <c:pt idx="1">
                  <c:v>0</c:v>
                </c:pt>
                <c:pt idx="2">
                  <c:v>0</c:v>
                </c:pt>
                <c:pt idx="3">
                  <c:v>0</c:v>
                </c:pt>
                <c:pt idx="4">
                  <c:v>0</c:v>
                </c:pt>
                <c:pt idx="5">
                  <c:v>0</c:v>
                </c:pt>
                <c:pt idx="6">
                  <c:v>0</c:v>
                </c:pt>
                <c:pt idx="7">
                  <c:v>0</c:v>
                </c:pt>
                <c:pt idx="8">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43</c:v>
                </c:pt>
                <c:pt idx="1">
                  <c:v>48</c:v>
                </c:pt>
                <c:pt idx="2">
                  <c:v>45</c:v>
                </c:pt>
                <c:pt idx="3">
                  <c:v>41</c:v>
                </c:pt>
                <c:pt idx="4">
                  <c:v>52</c:v>
                </c:pt>
                <c:pt idx="5">
                  <c:v>68</c:v>
                </c:pt>
                <c:pt idx="6">
                  <c:v>47</c:v>
                </c:pt>
                <c:pt idx="7">
                  <c:v>39</c:v>
                </c:pt>
                <c:pt idx="8">
                  <c:v>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290.70000000000005</c:v>
                </c:pt>
                <c:pt idx="1">
                  <c:v>404.90000000000003</c:v>
                </c:pt>
                <c:pt idx="2">
                  <c:v>423.29999999999995</c:v>
                </c:pt>
                <c:pt idx="3">
                  <c:v>631.5</c:v>
                </c:pt>
                <c:pt idx="4">
                  <c:v>656.5</c:v>
                </c:pt>
                <c:pt idx="5">
                  <c:v>527</c:v>
                </c:pt>
                <c:pt idx="6">
                  <c:v>192</c:v>
                </c:pt>
                <c:pt idx="7">
                  <c:v>911</c:v>
                </c:pt>
                <c:pt idx="8">
                  <c:v>951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301.7</c:v>
                </c:pt>
                <c:pt idx="1">
                  <c:v>418.5</c:v>
                </c:pt>
                <c:pt idx="2">
                  <c:v>482.6</c:v>
                </c:pt>
                <c:pt idx="3">
                  <c:v>609</c:v>
                </c:pt>
                <c:pt idx="4">
                  <c:v>466.7</c:v>
                </c:pt>
                <c:pt idx="5">
                  <c:v>272</c:v>
                </c:pt>
                <c:pt idx="6">
                  <c:v>606</c:v>
                </c:pt>
                <c:pt idx="7">
                  <c:v>935</c:v>
                </c:pt>
                <c:pt idx="8">
                  <c:v>851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17.4</c:v>
                </c:pt>
                <c:pt idx="1">
                  <c:v>23</c:v>
                </c:pt>
                <c:pt idx="2">
                  <c:v>25</c:v>
                </c:pt>
                <c:pt idx="3">
                  <c:v>29.3</c:v>
                </c:pt>
                <c:pt idx="4">
                  <c:v>18.9</c:v>
                </c:pt>
                <c:pt idx="5">
                  <c:v>17.9</c:v>
                </c:pt>
                <c:pt idx="6">
                  <c:v>19.7</c:v>
                </c:pt>
                <c:pt idx="7">
                  <c:v>21.8</c:v>
                </c:pt>
                <c:pt idx="8">
                  <c:v>25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8</c:v>
                </c:pt>
                <c:pt idx="1">
                  <c:v>8</c:v>
                </c:pt>
                <c:pt idx="2">
                  <c:v>8</c:v>
                </c:pt>
                <c:pt idx="3">
                  <c:v>8</c:v>
                </c:pt>
                <c:pt idx="4">
                  <c:v>8</c:v>
                </c:pt>
                <c:pt idx="5">
                  <c:v>8</c:v>
                </c:pt>
                <c:pt idx="6">
                  <c:v>8</c:v>
                </c:pt>
                <c:pt idx="7">
                  <c:v>8</c:v>
                </c:pt>
                <c:pt idx="8">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53.6</c:v>
                </c:pt>
                <c:pt idx="1">
                  <c:v>67.6</c:v>
                </c:pt>
                <c:pt idx="2">
                  <c:v>63</c:v>
                </c:pt>
                <c:pt idx="3">
                  <c:v>63.2</c:v>
                </c:pt>
                <c:pt idx="4">
                  <c:v>44.1</c:v>
                </c:pt>
                <c:pt idx="5">
                  <c:v>26.7</c:v>
                </c:pt>
                <c:pt idx="6">
                  <c:v>59.4</c:v>
                </c:pt>
                <c:pt idx="7">
                  <c:v>91.2</c:v>
                </c:pt>
                <c:pt idx="8">
                  <c:v>80.7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0">
                  <c:v>2.62</c:v>
                </c:pt>
                <c:pt idx="1">
                  <c:v>2.2</c:v>
                </c:pt>
                <c:pt idx="2">
                  <c:v>1.92</c:v>
                </c:pt>
                <c:pt idx="3">
                  <c:v>1.63</c:v>
                </c:pt>
                <c:pt idx="4">
                  <c:v>2.53</c:v>
                </c:pt>
                <c:pt idx="5">
                  <c:v>2.5</c:v>
                </c:pt>
                <c:pt idx="6">
                  <c:v>2.43</c:v>
                </c:pt>
                <c:pt idx="7">
                  <c:v>2.38</c:v>
                </c:pt>
                <c:pt idx="8">
                  <c:v>2.61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FY2027</c:v>
                </c:pt>
                <c:pt idx="1">
                  <c:v>FY2028</c:v>
                </c:pt>
                <c:pt idx="2">
                  <c:v>FY2029</c:v>
                </c:pt>
                <c:pt idx="3">
                  <c:v>FY2030</c:v>
                </c:pt>
                <c:pt idx="4">
                  <c:v>FY2031+</c:v>
                </c:pt>
              </c:strCache>
            </c:strRef>
          </c:cat>
          <c:val>
            <c:numRef>
              <c:f>Hoja1!$B$2:$B$6</c:f>
              <c:numCache>
                <c:formatCode>#,##0</c:formatCode>
                <c:ptCount val="5"/>
                <c:pt idx="0">
                  <c:v>19</c:v>
                </c:pt>
                <c:pt idx="1">
                  <c:v>18</c:v>
                </c:pt>
                <c:pt idx="2">
                  <c:v>737</c:v>
                </c:pt>
                <c:pt idx="3">
                  <c:v>538</c:v>
                </c:pt>
                <c:pt idx="4">
                  <c:v>3138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c:formatCode>
                <c:ptCount val="9"/>
                <c:pt idx="0">
                  <c:v>19.1</c:v>
                </c:pt>
                <c:pt idx="1">
                  <c:v>0</c:v>
                </c:pt>
                <c:pt idx="2">
                  <c:v>0</c:v>
                </c:pt>
                <c:pt idx="3">
                  <c:v>0</c:v>
                </c:pt>
                <c:pt idx="4">
                  <c:v>780.3</c:v>
                </c:pt>
                <c:pt idx="5">
                  <c:v>440</c:v>
                </c:pt>
                <c:pt idx="6">
                  <c:v>0</c:v>
                </c:pt>
                <c:pt idx="7">
                  <c:v>97</c:v>
                </c:pt>
                <c:pt idx="8">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c:formatCode>
                <c:ptCount val="9"/>
                <c:pt idx="0">
                  <c:v>103.4</c:v>
                </c:pt>
                <c:pt idx="1">
                  <c:v>114.2</c:v>
                </c:pt>
                <c:pt idx="2">
                  <c:v>146.6</c:v>
                </c:pt>
                <c:pt idx="3">
                  <c:v>181.1</c:v>
                </c:pt>
                <c:pt idx="4">
                  <c:v>209.1</c:v>
                </c:pt>
                <c:pt idx="5">
                  <c:v>236</c:v>
                </c:pt>
                <c:pt idx="6">
                  <c:v>254</c:v>
                </c:pt>
                <c:pt idx="7">
                  <c:v>268</c:v>
                </c:pt>
                <c:pt idx="8">
                  <c:v>276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Hoja1!$D$2:$D$10</c:f>
              <c:numCache>
                <c:formatCode>#,##0</c:formatCode>
                <c:ptCount val="9"/>
                <c:pt idx="0">
                  <c:v>270.3</c:v>
                </c:pt>
                <c:pt idx="1">
                  <c:v>252.8</c:v>
                </c:pt>
                <c:pt idx="2">
                  <c:v>182.2</c:v>
                </c:pt>
                <c:pt idx="3">
                  <c:v>313.4</c:v>
                </c:pt>
                <c:pt idx="4">
                  <c:v>418.9</c:v>
                </c:pt>
                <c:pt idx="5">
                  <c:v>224</c:v>
                </c:pt>
                <c:pt idx="6">
                  <c:v>404</c:v>
                </c:pt>
                <c:pt idx="7">
                  <c:v>812</c:v>
                </c:pt>
                <c:pt idx="8">
                  <c:v>598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c:v>
                </c:pt>
                <c:pt idx="1">
                  <c:v>Vanguard Portfolio Management</c:v>
                </c:pt>
                <c:pt idx="2">
                  <c:v>T. Rowe Price Investment Management</c:v>
                </c:pt>
                <c:pt idx="3">
                  <c:v>Vanguard Capital Management</c:v>
                </c:pt>
                <c:pt idx="4">
                  <c:v>Consejeros y directivos (22 personas)</c:v>
                </c:pt>
                <c:pt idx="5">
                  <c:v>Autocartera</c:v>
                </c:pt>
              </c:strCache>
            </c:strRef>
          </c:cat>
          <c:val>
            <c:numRef>
              <c:f>Hoja1!$B$2:$B$7</c:f>
              <c:numCache>
                <c:formatCode>0.0"%"</c:formatCode>
                <c:ptCount val="6"/>
                <c:pt idx="0">
                  <c:v>10.93</c:v>
                </c:pt>
                <c:pt idx="1">
                  <c:v>6.6</c:v>
                </c:pt>
                <c:pt idx="2">
                  <c:v>5.45</c:v>
                </c:pt>
                <c:pt idx="3">
                  <c:v>5.27</c:v>
                </c:pt>
                <c:pt idx="4">
                  <c:v>1.08</c:v>
                </c:pt>
                <c:pt idx="5">
                  <c:v>29.5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19.3</c:v>
                </c:pt>
                <c:pt idx="1">
                  <c:v>7.8</c:v>
                </c:pt>
                <c:pt idx="2">
                  <c:v>20.2</c:v>
                </c:pt>
                <c:pt idx="3">
                  <c:v>60.2</c:v>
                </c:pt>
                <c:pt idx="4">
                  <c:v>24.5</c:v>
                </c:pt>
                <c:pt idx="5">
                  <c:v>-1</c:v>
                </c:pt>
                <c:pt idx="6">
                  <c:v>25.7</c:v>
                </c:pt>
                <c:pt idx="7">
                  <c:v>24.5</c:v>
                </c:pt>
                <c:pt idx="8">
                  <c:v>2</c:v>
                </c:pt>
                <c:pt idx="9">
                  <c:v>-33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Hoja1!$B$2:$B$10</c:f>
              <c:numCache>
                <c:formatCode>0.0"x"</c:formatCode>
                <c:ptCount val="9"/>
                <c:pt idx="0">
                  <c:v>12.4</c:v>
                </c:pt>
                <c:pt idx="1">
                  <c:v>14.6</c:v>
                </c:pt>
                <c:pt idx="2">
                  <c:v>14.8</c:v>
                </c:pt>
                <c:pt idx="3">
                  <c:v>14.9</c:v>
                </c:pt>
                <c:pt idx="4">
                  <c:v>16.8</c:v>
                </c:pt>
                <c:pt idx="5">
                  <c:v>15.3</c:v>
                </c:pt>
                <c:pt idx="6">
                  <c:v>18.9</c:v>
                </c:pt>
                <c:pt idx="7">
                  <c:v>12.6</c:v>
                </c:pt>
                <c:pt idx="8">
                  <c:v>10.4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Hoja1!$A$2:$A$10</c:f>
              <c:strCache>
                <c:ptCount val="9"/>
                <c:pt idx="0">
                  <c:v>FY2018</c:v>
                </c:pt>
                <c:pt idx="1">
                  <c:v>FY2019</c:v>
                </c:pt>
                <c:pt idx="2">
                  <c:v>FY2020</c:v>
                </c:pt>
                <c:pt idx="3">
                  <c:v>FY2021</c:v>
                </c:pt>
                <c:pt idx="4">
                  <c:v>FY2022</c:v>
                </c:pt>
                <c:pt idx="5">
                  <c:v>FY2023</c:v>
                </c:pt>
                <c:pt idx="6">
                  <c:v>FY2024</c:v>
                </c:pt>
                <c:pt idx="7">
                  <c:v>FY2025</c:v>
                </c:pt>
                <c:pt idx="8">
                  <c:v>FY2026</c:v>
                </c:pt>
              </c:strCache>
            </c:strRef>
          </c:cat>
          <c:val>
            <c:numRef>
              <c:f>Hoja1!$C$2:$C$10</c:f>
              <c:numCache>
                <c:formatCode>0.0"x"</c:formatCode>
                <c:ptCount val="9"/>
                <c:pt idx="0">
                  <c:v>14.8</c:v>
                </c:pt>
                <c:pt idx="1">
                  <c:v>14.8</c:v>
                </c:pt>
                <c:pt idx="2">
                  <c:v>14.8</c:v>
                </c:pt>
                <c:pt idx="3">
                  <c:v>14.8</c:v>
                </c:pt>
                <c:pt idx="4">
                  <c:v>14.8</c:v>
                </c:pt>
                <c:pt idx="5">
                  <c:v>14.8</c:v>
                </c:pt>
                <c:pt idx="6">
                  <c:v>14.8</c:v>
                </c:pt>
                <c:pt idx="7">
                  <c:v>14.8</c:v>
                </c:pt>
                <c:pt idx="8">
                  <c:v>14.8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Booz Allen</c:v>
                </c:pt>
                <c:pt idx="1">
                  <c:v>Leidos</c:v>
                </c:pt>
                <c:pt idx="2">
                  <c:v>CACI International</c:v>
                </c:pt>
                <c:pt idx="3">
                  <c:v>SAIC</c:v>
                </c:pt>
                <c:pt idx="4">
                  <c:v>KBR</c:v>
                </c:pt>
                <c:pt idx="5">
                  <c:v>Parsons</c:v>
                </c:pt>
                <c:pt idx="6">
                  <c:v>ICF International</c:v>
                </c:pt>
                <c:pt idx="7">
                  <c:v>Maximus</c:v>
                </c:pt>
              </c:strCache>
            </c:strRef>
          </c:cat>
          <c:val>
            <c:numRef>
              <c:f>Hoja1!$B$2:$B$9</c:f>
              <c:numCache>
                <c:formatCode>0.0"x"</c:formatCode>
                <c:ptCount val="8"/>
                <c:pt idx="0">
                  <c:v>10.3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787</c:v>
                </c:pt>
                <c:pt idx="1">
                  <c:v>895</c:v>
                </c:pt>
                <c:pt idx="2">
                  <c:v>935</c:v>
                </c:pt>
                <c:pt idx="3">
                  <c:v>980</c:v>
                </c:pt>
                <c:pt idx="4">
                  <c:v>1018</c:v>
                </c:pt>
                <c:pt idx="5">
                  <c:v>1038</c:v>
                </c:pt>
                <c:pt idx="6">
                  <c:v>1066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4901</c:v>
                </c:pt>
                <c:pt idx="1">
                  <c:v>12200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74,26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62.26</c:v>
                </c:pt>
                <c:pt idx="1">
                  <c:v>107.94</c:v>
                </c:pt>
                <c:pt idx="2">
                  <c:v>126.27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74,26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(59,50 – 109,10)</c:v>
                </c:pt>
                <c:pt idx="1">
                  <c:v>Precio objetivo de los analistas (63,00 – 140,00)</c:v>
                </c:pt>
                <c:pt idx="2">
                  <c:v>Comparables: PER NTM (59,64 – 81,27)</c:v>
                </c:pt>
                <c:pt idx="3">
                  <c:v>DCF (WACC y g ± 0,5) (88,75 – 135,64)</c:v>
                </c:pt>
                <c:pt idx="4">
                  <c:v>Escenarios (bajista – alcista) (62,26 – 126,27)</c:v>
                </c:pt>
                <c:pt idx="5">
                  <c:v>DCF con la prima implícita del mercado (4,2 %)</c:v>
                </c:pt>
                <c:pt idx="6">
                  <c:v>Precio actual (74,26)</c:v>
                </c:pt>
              </c:strCache>
            </c:strRef>
          </c:cat>
          <c:val>
            <c:numRef>
              <c:f>Hoja1!$B$2:$B$8</c:f>
              <c:numCache>
                <c:formatCode>#,##0</c:formatCode>
                <c:ptCount val="7"/>
                <c:pt idx="0">
                  <c:v>59.5</c:v>
                </c:pt>
                <c:pt idx="1">
                  <c:v>63</c:v>
                </c:pt>
                <c:pt idx="2">
                  <c:v>59.64</c:v>
                </c:pt>
                <c:pt idx="3">
                  <c:v>88.75</c:v>
                </c:pt>
                <c:pt idx="4">
                  <c:v>62.26</c:v>
                </c:pt>
                <c:pt idx="5">
                  <c:v>114.42</c:v>
                </c:pt>
                <c:pt idx="6">
                  <c:v>73.89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(59,50 – 109,10)</c:v>
                </c:pt>
                <c:pt idx="1">
                  <c:v>Precio objetivo de los analistas (63,00 – 140,00)</c:v>
                </c:pt>
                <c:pt idx="2">
                  <c:v>Comparables: PER NTM (59,64 – 81,27)</c:v>
                </c:pt>
                <c:pt idx="3">
                  <c:v>DCF (WACC y g ± 0,5) (88,75 – 135,64)</c:v>
                </c:pt>
                <c:pt idx="4">
                  <c:v>Escenarios (bajista – alcista) (62,26 – 126,27)</c:v>
                </c:pt>
                <c:pt idx="5">
                  <c:v>DCF con la prima implícita del mercado (4,2 %)</c:v>
                </c:pt>
                <c:pt idx="6">
                  <c:v>Precio actual (74,26)</c:v>
                </c:pt>
              </c:strCache>
            </c:strRef>
          </c:cat>
          <c:val>
            <c:numRef>
              <c:f>Hoja1!$C$2:$C$8</c:f>
              <c:numCache>
                <c:formatCode>#,##0</c:formatCode>
                <c:ptCount val="7"/>
                <c:pt idx="0">
                  <c:v>49.599999999999994</c:v>
                </c:pt>
                <c:pt idx="1">
                  <c:v>77</c:v>
                </c:pt>
                <c:pt idx="2">
                  <c:v>21.629999999999995</c:v>
                </c:pt>
                <c:pt idx="3">
                  <c:v>46.889999999999986</c:v>
                </c:pt>
                <c:pt idx="4">
                  <c:v>64.00999999999999</c:v>
                </c:pt>
                <c:pt idx="5">
                  <c:v>34.92999999999999</c:v>
                </c:pt>
                <c:pt idx="6">
                  <c:v>0.7399999999999949</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